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767616C" w14:textId="4146F67D" w:rsidR="007136F6" w:rsidRPr="000C6002" w:rsidRDefault="007136F6" w:rsidP="000C6002">
      <w:pPr>
        <w:autoSpaceDE w:val="0"/>
        <w:autoSpaceDN w:val="0"/>
        <w:adjustRightInd w:val="0"/>
        <w:spacing w:after="480" w:line="276" w:lineRule="auto"/>
        <w:ind w:left="4540"/>
        <w:rPr>
          <w:rFonts w:ascii="Arial" w:hAnsi="Arial" w:cs="Arial"/>
          <w:b/>
          <w:color w:val="000000" w:themeColor="text1"/>
          <w:sz w:val="22"/>
          <w:szCs w:val="22"/>
        </w:rPr>
      </w:pPr>
      <w:bookmarkStart w:id="0" w:name="_Hlk102038110"/>
      <w:r w:rsidRPr="000C6002">
        <w:rPr>
          <w:rFonts w:ascii="Arial" w:hAnsi="Arial" w:cs="Arial"/>
          <w:b/>
          <w:color w:val="000000" w:themeColor="text1"/>
          <w:sz w:val="22"/>
          <w:szCs w:val="22"/>
        </w:rPr>
        <w:t xml:space="preserve">Załącznik </w:t>
      </w:r>
      <w:r w:rsidR="000C6002">
        <w:rPr>
          <w:rFonts w:ascii="Arial" w:hAnsi="Arial" w:cs="Arial"/>
          <w:b/>
          <w:color w:val="000000" w:themeColor="text1"/>
          <w:sz w:val="22"/>
          <w:szCs w:val="22"/>
        </w:rPr>
        <w:t>n</w:t>
      </w:r>
      <w:bookmarkStart w:id="1" w:name="_GoBack"/>
      <w:bookmarkEnd w:id="1"/>
      <w:r w:rsidR="00E900BD" w:rsidRPr="000C6002">
        <w:rPr>
          <w:rFonts w:ascii="Arial" w:hAnsi="Arial" w:cs="Arial"/>
          <w:b/>
          <w:color w:val="000000" w:themeColor="text1"/>
          <w:sz w:val="22"/>
          <w:szCs w:val="22"/>
        </w:rPr>
        <w:t xml:space="preserve">r 1 </w:t>
      </w:r>
      <w:r w:rsidRPr="000C6002">
        <w:rPr>
          <w:rFonts w:ascii="Arial" w:hAnsi="Arial" w:cs="Arial"/>
          <w:b/>
          <w:color w:val="000000" w:themeColor="text1"/>
          <w:sz w:val="22"/>
          <w:szCs w:val="22"/>
        </w:rPr>
        <w:t xml:space="preserve">do Uchwały </w:t>
      </w:r>
      <w:r w:rsidR="00EB0D53" w:rsidRPr="000C6002">
        <w:rPr>
          <w:rFonts w:ascii="Arial" w:hAnsi="Arial" w:cs="Arial"/>
          <w:b/>
          <w:color w:val="000000" w:themeColor="text1"/>
          <w:sz w:val="22"/>
          <w:szCs w:val="22"/>
        </w:rPr>
        <w:t xml:space="preserve">Nr </w:t>
      </w:r>
      <w:r w:rsidR="00E900BD" w:rsidRPr="000C6002">
        <w:rPr>
          <w:rFonts w:ascii="Arial" w:hAnsi="Arial" w:cs="Arial"/>
          <w:b/>
          <w:color w:val="000000" w:themeColor="text1"/>
          <w:sz w:val="22"/>
          <w:szCs w:val="22"/>
        </w:rPr>
        <w:t>527</w:t>
      </w:r>
      <w:r w:rsidR="00EB0D53" w:rsidRPr="000C6002">
        <w:rPr>
          <w:rFonts w:ascii="Arial" w:hAnsi="Arial" w:cs="Arial"/>
          <w:b/>
          <w:color w:val="000000" w:themeColor="text1"/>
          <w:sz w:val="22"/>
          <w:szCs w:val="22"/>
        </w:rPr>
        <w:t>/</w:t>
      </w:r>
      <w:r w:rsidR="00E900BD" w:rsidRPr="000C6002">
        <w:rPr>
          <w:rFonts w:ascii="Arial" w:hAnsi="Arial" w:cs="Arial"/>
          <w:b/>
          <w:color w:val="000000" w:themeColor="text1"/>
          <w:sz w:val="22"/>
          <w:szCs w:val="22"/>
        </w:rPr>
        <w:t>11073</w:t>
      </w:r>
      <w:r w:rsidR="00EB0D53" w:rsidRPr="000C6002">
        <w:rPr>
          <w:rFonts w:ascii="Arial" w:hAnsi="Arial" w:cs="Arial"/>
          <w:b/>
          <w:color w:val="000000" w:themeColor="text1"/>
          <w:sz w:val="22"/>
          <w:szCs w:val="22"/>
        </w:rPr>
        <w:t>/2</w:t>
      </w:r>
      <w:r w:rsidR="00724BB6" w:rsidRPr="000C6002">
        <w:rPr>
          <w:rFonts w:ascii="Arial" w:hAnsi="Arial" w:cs="Arial"/>
          <w:b/>
          <w:color w:val="000000" w:themeColor="text1"/>
          <w:sz w:val="22"/>
          <w:szCs w:val="22"/>
        </w:rPr>
        <w:t>3</w:t>
      </w:r>
      <w:r w:rsidRPr="000C6002">
        <w:rPr>
          <w:rFonts w:ascii="Arial" w:hAnsi="Arial" w:cs="Arial"/>
          <w:b/>
          <w:color w:val="000000" w:themeColor="text1"/>
          <w:sz w:val="22"/>
          <w:szCs w:val="22"/>
        </w:rPr>
        <w:br/>
        <w:t>Zarządu Województwa Podkarpackiego</w:t>
      </w:r>
      <w:r w:rsidR="00E900BD" w:rsidRPr="000C6002">
        <w:rPr>
          <w:rFonts w:ascii="Arial" w:hAnsi="Arial" w:cs="Arial"/>
          <w:b/>
          <w:color w:val="000000" w:themeColor="text1"/>
          <w:sz w:val="22"/>
          <w:szCs w:val="22"/>
        </w:rPr>
        <w:t xml:space="preserve"> </w:t>
      </w:r>
      <w:r w:rsidR="00E900BD" w:rsidRPr="000C6002">
        <w:rPr>
          <w:rFonts w:ascii="Arial" w:hAnsi="Arial" w:cs="Arial"/>
          <w:b/>
          <w:color w:val="000000" w:themeColor="text1"/>
          <w:sz w:val="22"/>
          <w:szCs w:val="22"/>
        </w:rPr>
        <w:br/>
      </w:r>
      <w:r w:rsidR="004E4FD3" w:rsidRPr="000C6002">
        <w:rPr>
          <w:rFonts w:ascii="Arial" w:hAnsi="Arial" w:cs="Arial"/>
          <w:b/>
          <w:color w:val="000000" w:themeColor="text1"/>
          <w:sz w:val="22"/>
          <w:szCs w:val="22"/>
        </w:rPr>
        <w:t>w Rzeszowie</w:t>
      </w:r>
      <w:r w:rsidRPr="000C6002">
        <w:rPr>
          <w:rFonts w:ascii="Arial" w:hAnsi="Arial" w:cs="Arial"/>
          <w:b/>
          <w:color w:val="000000" w:themeColor="text1"/>
          <w:sz w:val="22"/>
          <w:szCs w:val="22"/>
        </w:rPr>
        <w:br/>
        <w:t xml:space="preserve">z dnia </w:t>
      </w:r>
      <w:r w:rsidR="00E900BD" w:rsidRPr="000C6002">
        <w:rPr>
          <w:rFonts w:ascii="Arial" w:hAnsi="Arial" w:cs="Arial"/>
          <w:b/>
          <w:color w:val="000000" w:themeColor="text1"/>
          <w:sz w:val="22"/>
          <w:szCs w:val="22"/>
        </w:rPr>
        <w:t>26 września 2023</w:t>
      </w:r>
      <w:r w:rsidRPr="000C6002">
        <w:rPr>
          <w:rFonts w:ascii="Arial" w:hAnsi="Arial" w:cs="Arial"/>
          <w:b/>
          <w:color w:val="000000" w:themeColor="text1"/>
          <w:sz w:val="22"/>
          <w:szCs w:val="22"/>
        </w:rPr>
        <w:t xml:space="preserve"> roku</w:t>
      </w:r>
    </w:p>
    <w:bookmarkEnd w:id="0"/>
    <w:p w14:paraId="2411324B" w14:textId="77777777" w:rsidR="007136F6" w:rsidRPr="00544943" w:rsidRDefault="007136F6" w:rsidP="00F45E35">
      <w:pPr>
        <w:autoSpaceDE w:val="0"/>
        <w:autoSpaceDN w:val="0"/>
        <w:adjustRightInd w:val="0"/>
        <w:spacing w:after="360" w:line="276" w:lineRule="auto"/>
        <w:jc w:val="center"/>
        <w:rPr>
          <w:rFonts w:ascii="Arial" w:hAnsi="Arial" w:cs="Arial"/>
          <w:b/>
          <w:color w:val="000000" w:themeColor="text1"/>
          <w:sz w:val="22"/>
          <w:szCs w:val="22"/>
        </w:rPr>
      </w:pPr>
      <w:r w:rsidRPr="00544943">
        <w:rPr>
          <w:rFonts w:ascii="Arial" w:hAnsi="Arial" w:cs="Arial"/>
          <w:b/>
          <w:noProof/>
          <w:color w:val="000000" w:themeColor="text1"/>
          <w:sz w:val="22"/>
          <w:szCs w:val="22"/>
        </w:rPr>
        <w:drawing>
          <wp:inline distT="0" distB="0" distL="0" distR="0" wp14:anchorId="7AA1344F" wp14:editId="1560B7AF">
            <wp:extent cx="1113155" cy="1320165"/>
            <wp:effectExtent l="0" t="0" r="0" b="0"/>
            <wp:docPr id="7" name="Obraz 7" descr="Herb przedstawia na tarczy dwudzielnej w słup w prawym polu czerwonym gryfa ukoronowanego srebrnego wspiętego w lewo, w lewym błękitnym lwa ukoronowanego złotego wspiętego o języku czerwonym. Ponad nimi krzyż kawalerski srebrny." title="Herb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3155" cy="1320165"/>
                    </a:xfrm>
                    <a:prstGeom prst="rect">
                      <a:avLst/>
                    </a:prstGeom>
                    <a:noFill/>
                    <a:ln>
                      <a:noFill/>
                    </a:ln>
                  </pic:spPr>
                </pic:pic>
              </a:graphicData>
            </a:graphic>
          </wp:inline>
        </w:drawing>
      </w:r>
    </w:p>
    <w:p w14:paraId="7B76FB43" w14:textId="6FAF37C8" w:rsidR="0064345C" w:rsidRPr="00984D81" w:rsidRDefault="007136F6" w:rsidP="00984D81">
      <w:pPr>
        <w:autoSpaceDE w:val="0"/>
        <w:autoSpaceDN w:val="0"/>
        <w:adjustRightInd w:val="0"/>
        <w:spacing w:after="2280" w:line="276" w:lineRule="auto"/>
        <w:jc w:val="center"/>
        <w:rPr>
          <w:rFonts w:ascii="Arial" w:hAnsi="Arial" w:cs="Arial"/>
          <w:b/>
          <w:color w:val="000000" w:themeColor="text1"/>
          <w:sz w:val="36"/>
          <w:szCs w:val="36"/>
        </w:rPr>
      </w:pPr>
      <w:r w:rsidRPr="00544943">
        <w:rPr>
          <w:rFonts w:ascii="Arial" w:hAnsi="Arial" w:cs="Arial"/>
          <w:b/>
          <w:color w:val="000000" w:themeColor="text1"/>
          <w:sz w:val="36"/>
          <w:szCs w:val="36"/>
        </w:rPr>
        <w:t>ZARZĄD WOJEWÓDZTWA PODKARPACKIEGO</w:t>
      </w:r>
      <w:bookmarkStart w:id="2" w:name="_Toc88206537"/>
    </w:p>
    <w:p w14:paraId="693BA9A0" w14:textId="5CC7D3CE" w:rsidR="0064345C" w:rsidRPr="00984D81" w:rsidRDefault="007136F6" w:rsidP="00984D81">
      <w:pPr>
        <w:spacing w:after="480"/>
        <w:jc w:val="center"/>
        <w:rPr>
          <w:rFonts w:ascii="Arial" w:hAnsi="Arial" w:cs="Arial"/>
          <w:b/>
          <w:bCs/>
          <w:color w:val="000000" w:themeColor="text1"/>
          <w:sz w:val="42"/>
          <w:szCs w:val="42"/>
        </w:rPr>
      </w:pPr>
      <w:r w:rsidRPr="00544943">
        <w:rPr>
          <w:rFonts w:ascii="Arial" w:hAnsi="Arial" w:cs="Arial"/>
          <w:b/>
          <w:bCs/>
          <w:color w:val="000000" w:themeColor="text1"/>
          <w:sz w:val="42"/>
          <w:szCs w:val="42"/>
        </w:rPr>
        <w:t xml:space="preserve">PROGRAM STRATEGICZNY </w:t>
      </w:r>
      <w:r w:rsidR="00D8285A" w:rsidRPr="00544943">
        <w:rPr>
          <w:rFonts w:ascii="Arial" w:hAnsi="Arial" w:cs="Arial"/>
          <w:b/>
          <w:bCs/>
          <w:color w:val="000000" w:themeColor="text1"/>
          <w:sz w:val="42"/>
          <w:szCs w:val="42"/>
        </w:rPr>
        <w:br/>
      </w:r>
      <w:r w:rsidRPr="00544943">
        <w:rPr>
          <w:rFonts w:ascii="Arial" w:hAnsi="Arial" w:cs="Arial"/>
          <w:b/>
          <w:bCs/>
          <w:color w:val="000000" w:themeColor="text1"/>
          <w:sz w:val="42"/>
          <w:szCs w:val="42"/>
        </w:rPr>
        <w:t>ROZWOJU</w:t>
      </w:r>
      <w:r w:rsidR="00D8285A" w:rsidRPr="00544943">
        <w:rPr>
          <w:rFonts w:ascii="Arial" w:hAnsi="Arial" w:cs="Arial"/>
          <w:b/>
          <w:bCs/>
          <w:color w:val="000000" w:themeColor="text1"/>
          <w:sz w:val="42"/>
          <w:szCs w:val="42"/>
        </w:rPr>
        <w:t xml:space="preserve"> </w:t>
      </w:r>
      <w:r w:rsidRPr="00544943">
        <w:rPr>
          <w:rFonts w:ascii="Arial" w:hAnsi="Arial" w:cs="Arial"/>
          <w:b/>
          <w:bCs/>
          <w:color w:val="000000" w:themeColor="text1"/>
          <w:sz w:val="42"/>
          <w:szCs w:val="42"/>
        </w:rPr>
        <w:t xml:space="preserve">TRANSPORTU </w:t>
      </w:r>
      <w:r w:rsidR="00D8285A" w:rsidRPr="00544943">
        <w:rPr>
          <w:rFonts w:ascii="Arial" w:hAnsi="Arial" w:cs="Arial"/>
          <w:b/>
          <w:bCs/>
          <w:color w:val="000000" w:themeColor="text1"/>
          <w:sz w:val="42"/>
          <w:szCs w:val="42"/>
        </w:rPr>
        <w:br/>
      </w:r>
      <w:r w:rsidRPr="00544943">
        <w:rPr>
          <w:rFonts w:ascii="Arial" w:hAnsi="Arial" w:cs="Arial"/>
          <w:b/>
          <w:bCs/>
          <w:color w:val="000000" w:themeColor="text1"/>
          <w:sz w:val="42"/>
          <w:szCs w:val="42"/>
        </w:rPr>
        <w:t>WOJEWÓDZTWA</w:t>
      </w:r>
      <w:r w:rsidR="00D8285A" w:rsidRPr="00544943">
        <w:rPr>
          <w:rFonts w:ascii="Arial" w:hAnsi="Arial" w:cs="Arial"/>
          <w:b/>
          <w:bCs/>
          <w:color w:val="000000" w:themeColor="text1"/>
          <w:sz w:val="42"/>
          <w:szCs w:val="42"/>
        </w:rPr>
        <w:t xml:space="preserve"> </w:t>
      </w:r>
      <w:r w:rsidRPr="00544943">
        <w:rPr>
          <w:rFonts w:ascii="Arial" w:hAnsi="Arial" w:cs="Arial"/>
          <w:b/>
          <w:bCs/>
          <w:color w:val="000000" w:themeColor="text1"/>
          <w:sz w:val="42"/>
          <w:szCs w:val="42"/>
        </w:rPr>
        <w:t>PODKARPACKIEGO</w:t>
      </w:r>
      <w:r w:rsidRPr="00544943">
        <w:rPr>
          <w:rFonts w:ascii="Arial" w:hAnsi="Arial" w:cs="Arial"/>
          <w:b/>
          <w:bCs/>
          <w:color w:val="000000" w:themeColor="text1"/>
          <w:sz w:val="42"/>
          <w:szCs w:val="42"/>
        </w:rPr>
        <w:br/>
      </w:r>
      <w:r w:rsidR="00EE4491" w:rsidRPr="00544943">
        <w:rPr>
          <w:rFonts w:ascii="Arial" w:hAnsi="Arial" w:cs="Arial"/>
          <w:b/>
          <w:bCs/>
          <w:color w:val="000000" w:themeColor="text1"/>
          <w:sz w:val="42"/>
          <w:szCs w:val="42"/>
        </w:rPr>
        <w:t xml:space="preserve">DO ROKU </w:t>
      </w:r>
      <w:r w:rsidRPr="00544943">
        <w:rPr>
          <w:rFonts w:ascii="Arial" w:hAnsi="Arial" w:cs="Arial"/>
          <w:b/>
          <w:bCs/>
          <w:color w:val="000000" w:themeColor="text1"/>
          <w:sz w:val="42"/>
          <w:szCs w:val="42"/>
        </w:rPr>
        <w:t>2030</w:t>
      </w:r>
      <w:bookmarkEnd w:id="2"/>
    </w:p>
    <w:p w14:paraId="423D9FE8" w14:textId="3CA92E07" w:rsidR="00325B57" w:rsidRPr="00544943" w:rsidRDefault="00197831" w:rsidP="00984D81">
      <w:pPr>
        <w:autoSpaceDE w:val="0"/>
        <w:autoSpaceDN w:val="0"/>
        <w:adjustRightInd w:val="0"/>
        <w:spacing w:after="2160" w:line="276" w:lineRule="auto"/>
        <w:jc w:val="center"/>
        <w:rPr>
          <w:rFonts w:ascii="Arial" w:hAnsi="Arial" w:cs="Arial"/>
          <w:b/>
          <w:color w:val="000000" w:themeColor="text1"/>
          <w:sz w:val="22"/>
          <w:szCs w:val="22"/>
        </w:rPr>
      </w:pPr>
      <w:r w:rsidRPr="00544943">
        <w:rPr>
          <w:rFonts w:ascii="Arial" w:hAnsi="Arial" w:cs="Arial"/>
          <w:b/>
          <w:color w:val="000000" w:themeColor="text1"/>
          <w:sz w:val="22"/>
          <w:szCs w:val="22"/>
        </w:rPr>
        <w:t xml:space="preserve">Wersja </w:t>
      </w:r>
      <w:r w:rsidR="000720A4" w:rsidRPr="00544943">
        <w:rPr>
          <w:rFonts w:ascii="Arial" w:hAnsi="Arial" w:cs="Arial"/>
          <w:b/>
          <w:color w:val="000000" w:themeColor="text1"/>
          <w:sz w:val="22"/>
          <w:szCs w:val="22"/>
        </w:rPr>
        <w:t>3</w:t>
      </w:r>
      <w:r w:rsidRPr="00544943">
        <w:rPr>
          <w:rFonts w:ascii="Arial" w:hAnsi="Arial" w:cs="Arial"/>
          <w:b/>
          <w:color w:val="000000" w:themeColor="text1"/>
          <w:sz w:val="22"/>
          <w:szCs w:val="22"/>
        </w:rPr>
        <w:t>.0.</w:t>
      </w:r>
    </w:p>
    <w:p w14:paraId="66B6EE6B" w14:textId="3CC0B5DA" w:rsidR="00474411" w:rsidRPr="006F4FD2" w:rsidRDefault="007136F6" w:rsidP="0064345C">
      <w:pPr>
        <w:autoSpaceDE w:val="0"/>
        <w:autoSpaceDN w:val="0"/>
        <w:adjustRightInd w:val="0"/>
        <w:spacing w:line="276" w:lineRule="auto"/>
        <w:jc w:val="center"/>
        <w:rPr>
          <w:rFonts w:ascii="Arial" w:hAnsi="Arial" w:cs="Arial"/>
          <w:b/>
          <w:sz w:val="22"/>
          <w:szCs w:val="22"/>
        </w:rPr>
      </w:pPr>
      <w:r w:rsidRPr="00544943">
        <w:rPr>
          <w:rFonts w:ascii="Arial" w:hAnsi="Arial" w:cs="Arial"/>
          <w:b/>
          <w:color w:val="000000" w:themeColor="text1"/>
          <w:sz w:val="22"/>
          <w:szCs w:val="22"/>
        </w:rPr>
        <w:t>Rzeszów,</w:t>
      </w:r>
      <w:r w:rsidR="00E900BD">
        <w:rPr>
          <w:rFonts w:ascii="Arial" w:hAnsi="Arial" w:cs="Arial"/>
          <w:b/>
          <w:color w:val="000000" w:themeColor="text1"/>
          <w:sz w:val="22"/>
          <w:szCs w:val="22"/>
        </w:rPr>
        <w:t xml:space="preserve"> 26</w:t>
      </w:r>
      <w:r w:rsidR="00DE78CE" w:rsidRPr="00544943">
        <w:rPr>
          <w:rFonts w:ascii="Arial" w:hAnsi="Arial" w:cs="Arial"/>
          <w:b/>
          <w:color w:val="000000" w:themeColor="text1"/>
          <w:sz w:val="22"/>
          <w:szCs w:val="22"/>
        </w:rPr>
        <w:t xml:space="preserve"> </w:t>
      </w:r>
      <w:r w:rsidR="00BF53CC" w:rsidRPr="00544943">
        <w:rPr>
          <w:rFonts w:ascii="Arial" w:hAnsi="Arial" w:cs="Arial"/>
          <w:b/>
          <w:color w:val="000000" w:themeColor="text1"/>
          <w:sz w:val="22"/>
          <w:szCs w:val="22"/>
        </w:rPr>
        <w:t>września</w:t>
      </w:r>
      <w:r w:rsidR="00197831" w:rsidRPr="00544943">
        <w:rPr>
          <w:rFonts w:ascii="Arial" w:hAnsi="Arial" w:cs="Arial"/>
          <w:b/>
          <w:color w:val="000000" w:themeColor="text1"/>
          <w:sz w:val="22"/>
          <w:szCs w:val="22"/>
        </w:rPr>
        <w:t xml:space="preserve"> </w:t>
      </w:r>
      <w:r w:rsidR="009B541F" w:rsidRPr="00544943">
        <w:rPr>
          <w:rFonts w:ascii="Arial" w:hAnsi="Arial" w:cs="Arial"/>
          <w:b/>
          <w:color w:val="000000" w:themeColor="text1"/>
          <w:sz w:val="22"/>
          <w:szCs w:val="22"/>
        </w:rPr>
        <w:t>202</w:t>
      </w:r>
      <w:r w:rsidR="00724BB6" w:rsidRPr="00544943">
        <w:rPr>
          <w:rFonts w:ascii="Arial" w:hAnsi="Arial" w:cs="Arial"/>
          <w:b/>
          <w:color w:val="000000" w:themeColor="text1"/>
          <w:sz w:val="22"/>
          <w:szCs w:val="22"/>
        </w:rPr>
        <w:t>3</w:t>
      </w:r>
      <w:r w:rsidR="009B541F" w:rsidRPr="00544943">
        <w:rPr>
          <w:rFonts w:ascii="Arial" w:hAnsi="Arial" w:cs="Arial"/>
          <w:b/>
          <w:color w:val="000000" w:themeColor="text1"/>
          <w:sz w:val="22"/>
          <w:szCs w:val="22"/>
        </w:rPr>
        <w:t xml:space="preserve"> </w:t>
      </w:r>
      <w:r w:rsidR="00474411" w:rsidRPr="006F4FD2">
        <w:rPr>
          <w:rFonts w:ascii="Arial" w:hAnsi="Arial" w:cs="Arial"/>
          <w:b/>
          <w:sz w:val="22"/>
          <w:szCs w:val="22"/>
        </w:rPr>
        <w:br w:type="page"/>
      </w:r>
    </w:p>
    <w:p w14:paraId="0DA720E4" w14:textId="77777777" w:rsidR="006F25E0" w:rsidRDefault="00D8285A" w:rsidP="00984D81">
      <w:pPr>
        <w:spacing w:after="0" w:line="276" w:lineRule="auto"/>
        <w:jc w:val="both"/>
        <w:rPr>
          <w:noProof/>
        </w:rPr>
      </w:pPr>
      <w:bookmarkStart w:id="3" w:name="_Hlk85804635"/>
      <w:r w:rsidRPr="006F4FD2">
        <w:rPr>
          <w:rFonts w:ascii="Arial" w:hAnsi="Arial" w:cs="Arial"/>
          <w:b/>
          <w:sz w:val="26"/>
          <w:szCs w:val="26"/>
        </w:rPr>
        <w:lastRenderedPageBreak/>
        <w:t>Spis treści</w:t>
      </w:r>
      <w:r w:rsidR="000C47FA" w:rsidRPr="006F4FD2">
        <w:rPr>
          <w:rFonts w:ascii="Arial" w:hAnsi="Arial" w:cs="Arial"/>
          <w:b/>
          <w:sz w:val="22"/>
          <w:szCs w:val="22"/>
        </w:rPr>
        <w:fldChar w:fldCharType="begin"/>
      </w:r>
      <w:r w:rsidR="000C47FA" w:rsidRPr="006F4FD2">
        <w:rPr>
          <w:rFonts w:ascii="Arial" w:hAnsi="Arial" w:cs="Arial"/>
          <w:b/>
          <w:sz w:val="22"/>
          <w:szCs w:val="22"/>
        </w:rPr>
        <w:instrText xml:space="preserve"> TOC \o "1-5" \h \z \u </w:instrText>
      </w:r>
      <w:r w:rsidR="000C47FA" w:rsidRPr="006F4FD2">
        <w:rPr>
          <w:rFonts w:ascii="Arial" w:hAnsi="Arial" w:cs="Arial"/>
          <w:b/>
          <w:sz w:val="22"/>
          <w:szCs w:val="22"/>
        </w:rPr>
        <w:fldChar w:fldCharType="separate"/>
      </w:r>
    </w:p>
    <w:p w14:paraId="5FA594DB"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776" w:history="1">
        <w:r w:rsidR="006F25E0" w:rsidRPr="00527EBC">
          <w:rPr>
            <w:rStyle w:val="Hipercze"/>
            <w:b/>
          </w:rPr>
          <w:t>Wykaz skrótów</w:t>
        </w:r>
        <w:r w:rsidR="006F25E0">
          <w:rPr>
            <w:webHidden/>
          </w:rPr>
          <w:tab/>
        </w:r>
        <w:r w:rsidR="006F25E0">
          <w:rPr>
            <w:webHidden/>
          </w:rPr>
          <w:fldChar w:fldCharType="begin"/>
        </w:r>
        <w:r w:rsidR="006F25E0">
          <w:rPr>
            <w:webHidden/>
          </w:rPr>
          <w:instrText xml:space="preserve"> PAGEREF _Toc146785776 \h </w:instrText>
        </w:r>
        <w:r w:rsidR="006F25E0">
          <w:rPr>
            <w:webHidden/>
          </w:rPr>
        </w:r>
        <w:r w:rsidR="006F25E0">
          <w:rPr>
            <w:webHidden/>
          </w:rPr>
          <w:fldChar w:fldCharType="separate"/>
        </w:r>
        <w:r w:rsidR="007403DE">
          <w:rPr>
            <w:webHidden/>
          </w:rPr>
          <w:t>4</w:t>
        </w:r>
        <w:r w:rsidR="006F25E0">
          <w:rPr>
            <w:webHidden/>
          </w:rPr>
          <w:fldChar w:fldCharType="end"/>
        </w:r>
      </w:hyperlink>
    </w:p>
    <w:p w14:paraId="6E4C8114"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777" w:history="1">
        <w:r w:rsidR="006F25E0" w:rsidRPr="00527EBC">
          <w:rPr>
            <w:rStyle w:val="Hipercze"/>
            <w:b/>
          </w:rPr>
          <w:t>Wprowadzenie</w:t>
        </w:r>
        <w:r w:rsidR="006F25E0">
          <w:rPr>
            <w:webHidden/>
          </w:rPr>
          <w:tab/>
        </w:r>
        <w:r w:rsidR="006F25E0">
          <w:rPr>
            <w:webHidden/>
          </w:rPr>
          <w:fldChar w:fldCharType="begin"/>
        </w:r>
        <w:r w:rsidR="006F25E0">
          <w:rPr>
            <w:webHidden/>
          </w:rPr>
          <w:instrText xml:space="preserve"> PAGEREF _Toc146785777 \h </w:instrText>
        </w:r>
        <w:r w:rsidR="006F25E0">
          <w:rPr>
            <w:webHidden/>
          </w:rPr>
        </w:r>
        <w:r w:rsidR="006F25E0">
          <w:rPr>
            <w:webHidden/>
          </w:rPr>
          <w:fldChar w:fldCharType="separate"/>
        </w:r>
        <w:r w:rsidR="007403DE">
          <w:rPr>
            <w:webHidden/>
          </w:rPr>
          <w:t>7</w:t>
        </w:r>
        <w:r w:rsidR="006F25E0">
          <w:rPr>
            <w:webHidden/>
          </w:rPr>
          <w:fldChar w:fldCharType="end"/>
        </w:r>
      </w:hyperlink>
    </w:p>
    <w:p w14:paraId="0800CF36"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778" w:history="1">
        <w:r w:rsidR="006F25E0" w:rsidRPr="00527EBC">
          <w:rPr>
            <w:rStyle w:val="Hipercze"/>
            <w:b/>
          </w:rPr>
          <w:t>Układ dokumentu</w:t>
        </w:r>
        <w:r w:rsidR="006F25E0">
          <w:rPr>
            <w:webHidden/>
          </w:rPr>
          <w:tab/>
        </w:r>
        <w:r w:rsidR="006F25E0">
          <w:rPr>
            <w:webHidden/>
          </w:rPr>
          <w:fldChar w:fldCharType="begin"/>
        </w:r>
        <w:r w:rsidR="006F25E0">
          <w:rPr>
            <w:webHidden/>
          </w:rPr>
          <w:instrText xml:space="preserve"> PAGEREF _Toc146785778 \h </w:instrText>
        </w:r>
        <w:r w:rsidR="006F25E0">
          <w:rPr>
            <w:webHidden/>
          </w:rPr>
        </w:r>
        <w:r w:rsidR="006F25E0">
          <w:rPr>
            <w:webHidden/>
          </w:rPr>
          <w:fldChar w:fldCharType="separate"/>
        </w:r>
        <w:r w:rsidR="007403DE">
          <w:rPr>
            <w:webHidden/>
          </w:rPr>
          <w:t>12</w:t>
        </w:r>
        <w:r w:rsidR="006F25E0">
          <w:rPr>
            <w:webHidden/>
          </w:rPr>
          <w:fldChar w:fldCharType="end"/>
        </w:r>
      </w:hyperlink>
    </w:p>
    <w:p w14:paraId="2219F04F"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779" w:history="1">
        <w:r w:rsidR="006F25E0" w:rsidRPr="00527EBC">
          <w:rPr>
            <w:rStyle w:val="Hipercze"/>
            <w:b/>
            <w:bCs/>
          </w:rPr>
          <w:t>I.</w:t>
        </w:r>
        <w:r w:rsidR="006F25E0">
          <w:rPr>
            <w:rFonts w:asciiTheme="minorHAnsi" w:eastAsiaTheme="minorEastAsia" w:hAnsiTheme="minorHAnsi" w:cstheme="minorBidi"/>
          </w:rPr>
          <w:tab/>
        </w:r>
        <w:r w:rsidR="006F25E0" w:rsidRPr="00527EBC">
          <w:rPr>
            <w:rStyle w:val="Hipercze"/>
            <w:b/>
            <w:bCs/>
          </w:rPr>
          <w:t>Diagnoza stanu systemu transportowego w województwie podkarpackim</w:t>
        </w:r>
        <w:r w:rsidR="006F25E0">
          <w:rPr>
            <w:webHidden/>
          </w:rPr>
          <w:tab/>
        </w:r>
        <w:r w:rsidR="006F25E0">
          <w:rPr>
            <w:webHidden/>
          </w:rPr>
          <w:fldChar w:fldCharType="begin"/>
        </w:r>
        <w:r w:rsidR="006F25E0">
          <w:rPr>
            <w:webHidden/>
          </w:rPr>
          <w:instrText xml:space="preserve"> PAGEREF _Toc146785779 \h </w:instrText>
        </w:r>
        <w:r w:rsidR="006F25E0">
          <w:rPr>
            <w:webHidden/>
          </w:rPr>
        </w:r>
        <w:r w:rsidR="006F25E0">
          <w:rPr>
            <w:webHidden/>
          </w:rPr>
          <w:fldChar w:fldCharType="separate"/>
        </w:r>
        <w:r w:rsidR="007403DE">
          <w:rPr>
            <w:webHidden/>
          </w:rPr>
          <w:t>17</w:t>
        </w:r>
        <w:r w:rsidR="006F25E0">
          <w:rPr>
            <w:webHidden/>
          </w:rPr>
          <w:fldChar w:fldCharType="end"/>
        </w:r>
      </w:hyperlink>
    </w:p>
    <w:p w14:paraId="5824C82F"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780" w:history="1">
        <w:r w:rsidR="006F25E0" w:rsidRPr="00527EBC">
          <w:rPr>
            <w:rStyle w:val="Hipercze"/>
          </w:rPr>
          <w:t>1.</w:t>
        </w:r>
        <w:r w:rsidR="006F25E0">
          <w:rPr>
            <w:rFonts w:asciiTheme="minorHAnsi" w:eastAsiaTheme="minorEastAsia" w:hAnsiTheme="minorHAnsi" w:cstheme="minorBidi"/>
          </w:rPr>
          <w:tab/>
        </w:r>
        <w:r w:rsidR="006F25E0" w:rsidRPr="00527EBC">
          <w:rPr>
            <w:rStyle w:val="Hipercze"/>
            <w:bCs/>
          </w:rPr>
          <w:t>Synteza diagnozy</w:t>
        </w:r>
        <w:r w:rsidR="006F25E0">
          <w:rPr>
            <w:webHidden/>
          </w:rPr>
          <w:tab/>
        </w:r>
        <w:r w:rsidR="006F25E0">
          <w:rPr>
            <w:webHidden/>
          </w:rPr>
          <w:fldChar w:fldCharType="begin"/>
        </w:r>
        <w:r w:rsidR="006F25E0">
          <w:rPr>
            <w:webHidden/>
          </w:rPr>
          <w:instrText xml:space="preserve"> PAGEREF _Toc146785780 \h </w:instrText>
        </w:r>
        <w:r w:rsidR="006F25E0">
          <w:rPr>
            <w:webHidden/>
          </w:rPr>
        </w:r>
        <w:r w:rsidR="006F25E0">
          <w:rPr>
            <w:webHidden/>
          </w:rPr>
          <w:fldChar w:fldCharType="separate"/>
        </w:r>
        <w:r w:rsidR="007403DE">
          <w:rPr>
            <w:webHidden/>
          </w:rPr>
          <w:t>17</w:t>
        </w:r>
        <w:r w:rsidR="006F25E0">
          <w:rPr>
            <w:webHidden/>
          </w:rPr>
          <w:fldChar w:fldCharType="end"/>
        </w:r>
      </w:hyperlink>
    </w:p>
    <w:p w14:paraId="1620A9D7"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81" w:history="1">
        <w:r w:rsidR="006F25E0" w:rsidRPr="006F25E0">
          <w:rPr>
            <w:rStyle w:val="Hipercze"/>
            <w:b w:val="0"/>
          </w:rPr>
          <w:t>1.1.</w:t>
        </w:r>
        <w:r w:rsidR="006F25E0" w:rsidRPr="006F25E0">
          <w:rPr>
            <w:rFonts w:asciiTheme="minorHAnsi" w:eastAsiaTheme="minorEastAsia" w:hAnsiTheme="minorHAnsi" w:cstheme="minorBidi"/>
            <w:b w:val="0"/>
            <w:bCs w:val="0"/>
          </w:rPr>
          <w:tab/>
        </w:r>
        <w:r w:rsidR="006F25E0" w:rsidRPr="006F25E0">
          <w:rPr>
            <w:rStyle w:val="Hipercze"/>
            <w:b w:val="0"/>
          </w:rPr>
          <w:t>Uwarunkowania dla rozwoju transportu w województwie</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_Toc146785781 \h </w:instrText>
        </w:r>
        <w:r w:rsidR="006F25E0" w:rsidRPr="006F25E0">
          <w:rPr>
            <w:b w:val="0"/>
            <w:webHidden/>
          </w:rPr>
        </w:r>
        <w:r w:rsidR="006F25E0" w:rsidRPr="006F25E0">
          <w:rPr>
            <w:b w:val="0"/>
            <w:webHidden/>
          </w:rPr>
          <w:fldChar w:fldCharType="separate"/>
        </w:r>
        <w:r w:rsidR="007403DE">
          <w:rPr>
            <w:b w:val="0"/>
            <w:webHidden/>
          </w:rPr>
          <w:t>17</w:t>
        </w:r>
        <w:r w:rsidR="006F25E0" w:rsidRPr="006F25E0">
          <w:rPr>
            <w:b w:val="0"/>
            <w:webHidden/>
          </w:rPr>
          <w:fldChar w:fldCharType="end"/>
        </w:r>
      </w:hyperlink>
    </w:p>
    <w:p w14:paraId="7E204CC2"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82" w:history="1">
        <w:r w:rsidR="006F25E0" w:rsidRPr="006F25E0">
          <w:rPr>
            <w:rStyle w:val="Hipercze"/>
            <w:b w:val="0"/>
          </w:rPr>
          <w:t>1.2.</w:t>
        </w:r>
        <w:r w:rsidR="006F25E0" w:rsidRPr="006F25E0">
          <w:rPr>
            <w:rFonts w:asciiTheme="minorHAnsi" w:eastAsiaTheme="minorEastAsia" w:hAnsiTheme="minorHAnsi" w:cstheme="minorBidi"/>
            <w:b w:val="0"/>
            <w:bCs w:val="0"/>
          </w:rPr>
          <w:tab/>
        </w:r>
        <w:r w:rsidR="006F25E0" w:rsidRPr="006F25E0">
          <w:rPr>
            <w:rStyle w:val="Hipercze"/>
            <w:b w:val="0"/>
          </w:rPr>
          <w:t>Generatory ruchu jako punktowe miejsca wymagające obsługi  w transporcie pasażerskim i towarowym</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_Toc146785782 \h </w:instrText>
        </w:r>
        <w:r w:rsidR="006F25E0" w:rsidRPr="006F25E0">
          <w:rPr>
            <w:b w:val="0"/>
            <w:webHidden/>
          </w:rPr>
        </w:r>
        <w:r w:rsidR="006F25E0" w:rsidRPr="006F25E0">
          <w:rPr>
            <w:b w:val="0"/>
            <w:webHidden/>
          </w:rPr>
          <w:fldChar w:fldCharType="separate"/>
        </w:r>
        <w:r w:rsidR="007403DE">
          <w:rPr>
            <w:b w:val="0"/>
            <w:webHidden/>
          </w:rPr>
          <w:t>21</w:t>
        </w:r>
        <w:r w:rsidR="006F25E0" w:rsidRPr="006F25E0">
          <w:rPr>
            <w:b w:val="0"/>
            <w:webHidden/>
          </w:rPr>
          <w:fldChar w:fldCharType="end"/>
        </w:r>
      </w:hyperlink>
    </w:p>
    <w:p w14:paraId="382D9C66"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83" w:history="1">
        <w:r w:rsidR="006F25E0" w:rsidRPr="006F25E0">
          <w:rPr>
            <w:rStyle w:val="Hipercze"/>
            <w:b w:val="0"/>
          </w:rPr>
          <w:t>1.3.</w:t>
        </w:r>
        <w:r w:rsidR="006F25E0" w:rsidRPr="006F25E0">
          <w:rPr>
            <w:rFonts w:asciiTheme="minorHAnsi" w:eastAsiaTheme="minorEastAsia" w:hAnsiTheme="minorHAnsi" w:cstheme="minorBidi"/>
            <w:b w:val="0"/>
            <w:bCs w:val="0"/>
          </w:rPr>
          <w:tab/>
        </w:r>
        <w:r w:rsidR="006F25E0" w:rsidRPr="006F25E0">
          <w:rPr>
            <w:rStyle w:val="Hipercze"/>
            <w:b w:val="0"/>
          </w:rPr>
          <w:t>Infrastruktura transportowa</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_Toc146785783 \h </w:instrText>
        </w:r>
        <w:r w:rsidR="006F25E0" w:rsidRPr="006F25E0">
          <w:rPr>
            <w:b w:val="0"/>
            <w:webHidden/>
          </w:rPr>
        </w:r>
        <w:r w:rsidR="006F25E0" w:rsidRPr="006F25E0">
          <w:rPr>
            <w:b w:val="0"/>
            <w:webHidden/>
          </w:rPr>
          <w:fldChar w:fldCharType="separate"/>
        </w:r>
        <w:r w:rsidR="007403DE">
          <w:rPr>
            <w:b w:val="0"/>
            <w:webHidden/>
          </w:rPr>
          <w:t>25</w:t>
        </w:r>
        <w:r w:rsidR="006F25E0" w:rsidRPr="006F25E0">
          <w:rPr>
            <w:b w:val="0"/>
            <w:webHidden/>
          </w:rPr>
          <w:fldChar w:fldCharType="end"/>
        </w:r>
      </w:hyperlink>
    </w:p>
    <w:p w14:paraId="48D5BA83"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84" w:history="1">
        <w:r w:rsidR="006F25E0" w:rsidRPr="006F25E0">
          <w:rPr>
            <w:rStyle w:val="Hipercze"/>
            <w:b w:val="0"/>
          </w:rPr>
          <w:t>1.4.</w:t>
        </w:r>
        <w:r w:rsidR="006F25E0" w:rsidRPr="006F25E0">
          <w:rPr>
            <w:rFonts w:asciiTheme="minorHAnsi" w:eastAsiaTheme="minorEastAsia" w:hAnsiTheme="minorHAnsi" w:cstheme="minorBidi"/>
            <w:b w:val="0"/>
            <w:bCs w:val="0"/>
          </w:rPr>
          <w:tab/>
        </w:r>
        <w:r w:rsidR="006F25E0" w:rsidRPr="006F25E0">
          <w:rPr>
            <w:rStyle w:val="Hipercze"/>
            <w:b w:val="0"/>
          </w:rPr>
          <w:t>System transportowy województwa podkarpackiego w układach przestrzennych</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_Toc146785784 \h </w:instrText>
        </w:r>
        <w:r w:rsidR="006F25E0" w:rsidRPr="006F25E0">
          <w:rPr>
            <w:b w:val="0"/>
            <w:webHidden/>
          </w:rPr>
        </w:r>
        <w:r w:rsidR="006F25E0" w:rsidRPr="006F25E0">
          <w:rPr>
            <w:b w:val="0"/>
            <w:webHidden/>
          </w:rPr>
          <w:fldChar w:fldCharType="separate"/>
        </w:r>
        <w:r w:rsidR="007403DE">
          <w:rPr>
            <w:b w:val="0"/>
            <w:webHidden/>
          </w:rPr>
          <w:t>34</w:t>
        </w:r>
        <w:r w:rsidR="006F25E0" w:rsidRPr="006F25E0">
          <w:rPr>
            <w:b w:val="0"/>
            <w:webHidden/>
          </w:rPr>
          <w:fldChar w:fldCharType="end"/>
        </w:r>
      </w:hyperlink>
    </w:p>
    <w:p w14:paraId="4A611C0A"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85" w:history="1">
        <w:r w:rsidR="006F25E0" w:rsidRPr="006F25E0">
          <w:rPr>
            <w:rStyle w:val="Hipercze"/>
            <w:b w:val="0"/>
          </w:rPr>
          <w:t>1.5.</w:t>
        </w:r>
        <w:r w:rsidR="006F25E0" w:rsidRPr="006F25E0">
          <w:rPr>
            <w:rFonts w:asciiTheme="minorHAnsi" w:eastAsiaTheme="minorEastAsia" w:hAnsiTheme="minorHAnsi" w:cstheme="minorBidi"/>
            <w:b w:val="0"/>
            <w:bCs w:val="0"/>
          </w:rPr>
          <w:tab/>
        </w:r>
        <w:r w:rsidR="006F25E0" w:rsidRPr="006F25E0">
          <w:rPr>
            <w:rStyle w:val="Hipercze"/>
            <w:b w:val="0"/>
          </w:rPr>
          <w:t>Przepływy w sieci transportowej</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_Toc146785785 \h </w:instrText>
        </w:r>
        <w:r w:rsidR="006F25E0" w:rsidRPr="006F25E0">
          <w:rPr>
            <w:b w:val="0"/>
            <w:webHidden/>
          </w:rPr>
        </w:r>
        <w:r w:rsidR="006F25E0" w:rsidRPr="006F25E0">
          <w:rPr>
            <w:b w:val="0"/>
            <w:webHidden/>
          </w:rPr>
          <w:fldChar w:fldCharType="separate"/>
        </w:r>
        <w:r w:rsidR="007403DE">
          <w:rPr>
            <w:b w:val="0"/>
            <w:webHidden/>
          </w:rPr>
          <w:t>56</w:t>
        </w:r>
        <w:r w:rsidR="006F25E0" w:rsidRPr="006F25E0">
          <w:rPr>
            <w:b w:val="0"/>
            <w:webHidden/>
          </w:rPr>
          <w:fldChar w:fldCharType="end"/>
        </w:r>
      </w:hyperlink>
    </w:p>
    <w:p w14:paraId="0A7D8D6B"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86" w:history="1">
        <w:r w:rsidR="006F25E0" w:rsidRPr="006F25E0">
          <w:rPr>
            <w:rStyle w:val="Hipercze"/>
            <w:b w:val="0"/>
          </w:rPr>
          <w:t>1.6.</w:t>
        </w:r>
        <w:r w:rsidR="006F25E0" w:rsidRPr="006F25E0">
          <w:rPr>
            <w:rFonts w:asciiTheme="minorHAnsi" w:eastAsiaTheme="minorEastAsia" w:hAnsiTheme="minorHAnsi" w:cstheme="minorBidi"/>
            <w:b w:val="0"/>
            <w:bCs w:val="0"/>
          </w:rPr>
          <w:tab/>
        </w:r>
        <w:r w:rsidR="006F25E0" w:rsidRPr="006F25E0">
          <w:rPr>
            <w:rStyle w:val="Hipercze"/>
            <w:b w:val="0"/>
          </w:rPr>
          <w:t>Koszty eksploatacji i konserwacji istniejącej infrastruktury</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_Toc146785786 \h </w:instrText>
        </w:r>
        <w:r w:rsidR="006F25E0" w:rsidRPr="006F25E0">
          <w:rPr>
            <w:b w:val="0"/>
            <w:webHidden/>
          </w:rPr>
        </w:r>
        <w:r w:rsidR="006F25E0" w:rsidRPr="006F25E0">
          <w:rPr>
            <w:b w:val="0"/>
            <w:webHidden/>
          </w:rPr>
          <w:fldChar w:fldCharType="separate"/>
        </w:r>
        <w:r w:rsidR="007403DE">
          <w:rPr>
            <w:b w:val="0"/>
            <w:webHidden/>
          </w:rPr>
          <w:t>68</w:t>
        </w:r>
        <w:r w:rsidR="006F25E0" w:rsidRPr="006F25E0">
          <w:rPr>
            <w:b w:val="0"/>
            <w:webHidden/>
          </w:rPr>
          <w:fldChar w:fldCharType="end"/>
        </w:r>
      </w:hyperlink>
    </w:p>
    <w:p w14:paraId="0DA6F6EC"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87" w:history="1">
        <w:r w:rsidR="006F25E0" w:rsidRPr="006F25E0">
          <w:rPr>
            <w:rStyle w:val="Hipercze"/>
            <w:b w:val="0"/>
          </w:rPr>
          <w:t>1.7.</w:t>
        </w:r>
        <w:r w:rsidR="006F25E0" w:rsidRPr="006F25E0">
          <w:rPr>
            <w:rFonts w:asciiTheme="minorHAnsi" w:eastAsiaTheme="minorEastAsia" w:hAnsiTheme="minorHAnsi" w:cstheme="minorBidi"/>
            <w:b w:val="0"/>
            <w:bCs w:val="0"/>
          </w:rPr>
          <w:tab/>
        </w:r>
        <w:r w:rsidR="006F25E0" w:rsidRPr="006F25E0">
          <w:rPr>
            <w:rStyle w:val="Hipercze"/>
            <w:b w:val="0"/>
          </w:rPr>
          <w:t>Wpływ transportu na bezpieczeństwo i środowisko</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_Toc146785787 \h </w:instrText>
        </w:r>
        <w:r w:rsidR="006F25E0" w:rsidRPr="006F25E0">
          <w:rPr>
            <w:b w:val="0"/>
            <w:webHidden/>
          </w:rPr>
        </w:r>
        <w:r w:rsidR="006F25E0" w:rsidRPr="006F25E0">
          <w:rPr>
            <w:b w:val="0"/>
            <w:webHidden/>
          </w:rPr>
          <w:fldChar w:fldCharType="separate"/>
        </w:r>
        <w:r w:rsidR="007403DE">
          <w:rPr>
            <w:b w:val="0"/>
            <w:webHidden/>
          </w:rPr>
          <w:t>70</w:t>
        </w:r>
        <w:r w:rsidR="006F25E0" w:rsidRPr="006F25E0">
          <w:rPr>
            <w:b w:val="0"/>
            <w:webHidden/>
          </w:rPr>
          <w:fldChar w:fldCharType="end"/>
        </w:r>
      </w:hyperlink>
    </w:p>
    <w:p w14:paraId="595B8649"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88" w:history="1">
        <w:r w:rsidR="006F25E0" w:rsidRPr="006F25E0">
          <w:rPr>
            <w:rStyle w:val="Hipercze"/>
            <w:b w:val="0"/>
          </w:rPr>
          <w:t>1.8.</w:t>
        </w:r>
        <w:r w:rsidR="006F25E0" w:rsidRPr="006F25E0">
          <w:rPr>
            <w:rFonts w:asciiTheme="minorHAnsi" w:eastAsiaTheme="minorEastAsia" w:hAnsiTheme="minorHAnsi" w:cstheme="minorBidi"/>
            <w:b w:val="0"/>
            <w:bCs w:val="0"/>
          </w:rPr>
          <w:tab/>
        </w:r>
        <w:r w:rsidR="006F25E0" w:rsidRPr="006F25E0">
          <w:rPr>
            <w:rStyle w:val="Hipercze"/>
            <w:b w:val="0"/>
          </w:rPr>
          <w:t>Inwestycje infrastrukturalne</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_Toc146785788 \h </w:instrText>
        </w:r>
        <w:r w:rsidR="006F25E0" w:rsidRPr="006F25E0">
          <w:rPr>
            <w:b w:val="0"/>
            <w:webHidden/>
          </w:rPr>
        </w:r>
        <w:r w:rsidR="006F25E0" w:rsidRPr="006F25E0">
          <w:rPr>
            <w:b w:val="0"/>
            <w:webHidden/>
          </w:rPr>
          <w:fldChar w:fldCharType="separate"/>
        </w:r>
        <w:r w:rsidR="007403DE">
          <w:rPr>
            <w:b w:val="0"/>
            <w:webHidden/>
          </w:rPr>
          <w:t>78</w:t>
        </w:r>
        <w:r w:rsidR="006F25E0" w:rsidRPr="006F25E0">
          <w:rPr>
            <w:b w:val="0"/>
            <w:webHidden/>
          </w:rPr>
          <w:fldChar w:fldCharType="end"/>
        </w:r>
      </w:hyperlink>
    </w:p>
    <w:p w14:paraId="273B9475"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789" w:history="1">
        <w:r w:rsidR="006F25E0" w:rsidRPr="00527EBC">
          <w:rPr>
            <w:rStyle w:val="Hipercze"/>
          </w:rPr>
          <w:t>2.</w:t>
        </w:r>
        <w:r w:rsidR="006F25E0">
          <w:rPr>
            <w:rFonts w:asciiTheme="minorHAnsi" w:eastAsiaTheme="minorEastAsia" w:hAnsiTheme="minorHAnsi" w:cstheme="minorBidi"/>
          </w:rPr>
          <w:tab/>
        </w:r>
        <w:r w:rsidR="006F25E0" w:rsidRPr="00527EBC">
          <w:rPr>
            <w:rStyle w:val="Hipercze"/>
            <w:bCs/>
          </w:rPr>
          <w:t>Analiza popytowa uzupełniona o wykorzystanie elementów istniejących modeli krajowych</w:t>
        </w:r>
        <w:r w:rsidR="006F25E0">
          <w:rPr>
            <w:webHidden/>
          </w:rPr>
          <w:tab/>
        </w:r>
        <w:r w:rsidR="006F25E0">
          <w:rPr>
            <w:webHidden/>
          </w:rPr>
          <w:fldChar w:fldCharType="begin"/>
        </w:r>
        <w:r w:rsidR="006F25E0">
          <w:rPr>
            <w:webHidden/>
          </w:rPr>
          <w:instrText xml:space="preserve"> PAGEREF _Toc146785789 \h </w:instrText>
        </w:r>
        <w:r w:rsidR="006F25E0">
          <w:rPr>
            <w:webHidden/>
          </w:rPr>
        </w:r>
        <w:r w:rsidR="006F25E0">
          <w:rPr>
            <w:webHidden/>
          </w:rPr>
          <w:fldChar w:fldCharType="separate"/>
        </w:r>
        <w:r w:rsidR="007403DE">
          <w:rPr>
            <w:webHidden/>
          </w:rPr>
          <w:t>80</w:t>
        </w:r>
        <w:r w:rsidR="006F25E0">
          <w:rPr>
            <w:webHidden/>
          </w:rPr>
          <w:fldChar w:fldCharType="end"/>
        </w:r>
      </w:hyperlink>
    </w:p>
    <w:p w14:paraId="33BB2299"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92" w:history="1">
        <w:r w:rsidR="006F25E0" w:rsidRPr="006F25E0">
          <w:rPr>
            <w:rStyle w:val="Hipercze"/>
            <w:b w:val="0"/>
          </w:rPr>
          <w:t>2.1.</w:t>
        </w:r>
        <w:r w:rsidR="006F25E0" w:rsidRPr="006F25E0">
          <w:rPr>
            <w:rFonts w:asciiTheme="minorHAnsi" w:eastAsiaTheme="minorEastAsia" w:hAnsiTheme="minorHAnsi" w:cstheme="minorBidi"/>
            <w:b w:val="0"/>
            <w:bCs w:val="0"/>
          </w:rPr>
          <w:tab/>
        </w:r>
        <w:r w:rsidR="006F25E0" w:rsidRPr="006F25E0">
          <w:rPr>
            <w:rStyle w:val="Hipercze"/>
            <w:b w:val="0"/>
          </w:rPr>
          <w:t>Analiza popytowa uzupełniona o wykorzystanie elementów istniejących modeli krajowych – wprowadzenie</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_Toc146785792 \h </w:instrText>
        </w:r>
        <w:r w:rsidR="006F25E0" w:rsidRPr="006F25E0">
          <w:rPr>
            <w:b w:val="0"/>
            <w:webHidden/>
          </w:rPr>
        </w:r>
        <w:r w:rsidR="006F25E0" w:rsidRPr="006F25E0">
          <w:rPr>
            <w:b w:val="0"/>
            <w:webHidden/>
          </w:rPr>
          <w:fldChar w:fldCharType="separate"/>
        </w:r>
        <w:r w:rsidR="007403DE">
          <w:rPr>
            <w:b w:val="0"/>
            <w:webHidden/>
          </w:rPr>
          <w:t>80</w:t>
        </w:r>
        <w:r w:rsidR="006F25E0" w:rsidRPr="006F25E0">
          <w:rPr>
            <w:b w:val="0"/>
            <w:webHidden/>
          </w:rPr>
          <w:fldChar w:fldCharType="end"/>
        </w:r>
      </w:hyperlink>
    </w:p>
    <w:p w14:paraId="2D2B161C"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93" w:history="1">
        <w:r w:rsidR="006F25E0" w:rsidRPr="006F25E0">
          <w:rPr>
            <w:rStyle w:val="Hipercze"/>
            <w:b w:val="0"/>
          </w:rPr>
          <w:t>2.2.</w:t>
        </w:r>
        <w:r w:rsidR="006F25E0" w:rsidRPr="006F25E0">
          <w:rPr>
            <w:rFonts w:asciiTheme="minorHAnsi" w:eastAsiaTheme="minorEastAsia" w:hAnsiTheme="minorHAnsi" w:cstheme="minorBidi"/>
            <w:b w:val="0"/>
            <w:bCs w:val="0"/>
          </w:rPr>
          <w:tab/>
        </w:r>
        <w:r w:rsidR="006F25E0" w:rsidRPr="006F25E0">
          <w:rPr>
            <w:rStyle w:val="Hipercze"/>
            <w:b w:val="0"/>
          </w:rPr>
          <w:t>Zintegrowany Model Ruchu CUPT dla roku 2022 a diagnoza stanu systemu transportowego województwa podkarpackiego</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_Toc146785793 \h </w:instrText>
        </w:r>
        <w:r w:rsidR="006F25E0" w:rsidRPr="006F25E0">
          <w:rPr>
            <w:b w:val="0"/>
            <w:webHidden/>
          </w:rPr>
        </w:r>
        <w:r w:rsidR="006F25E0" w:rsidRPr="006F25E0">
          <w:rPr>
            <w:b w:val="0"/>
            <w:webHidden/>
          </w:rPr>
          <w:fldChar w:fldCharType="separate"/>
        </w:r>
        <w:r w:rsidR="007403DE">
          <w:rPr>
            <w:b w:val="0"/>
            <w:webHidden/>
          </w:rPr>
          <w:t>82</w:t>
        </w:r>
        <w:r w:rsidR="006F25E0" w:rsidRPr="006F25E0">
          <w:rPr>
            <w:b w:val="0"/>
            <w:webHidden/>
          </w:rPr>
          <w:fldChar w:fldCharType="end"/>
        </w:r>
      </w:hyperlink>
    </w:p>
    <w:p w14:paraId="68FBF16F"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94" w:history="1">
        <w:r w:rsidR="006F25E0" w:rsidRPr="006F25E0">
          <w:rPr>
            <w:rStyle w:val="Hipercze"/>
            <w:b w:val="0"/>
          </w:rPr>
          <w:t>2.3.</w:t>
        </w:r>
        <w:r w:rsidR="006F25E0" w:rsidRPr="006F25E0">
          <w:rPr>
            <w:rFonts w:asciiTheme="minorHAnsi" w:eastAsiaTheme="minorEastAsia" w:hAnsiTheme="minorHAnsi" w:cstheme="minorBidi"/>
            <w:b w:val="0"/>
            <w:bCs w:val="0"/>
          </w:rPr>
          <w:tab/>
        </w:r>
        <w:r w:rsidR="006F25E0" w:rsidRPr="006F25E0">
          <w:rPr>
            <w:rStyle w:val="Hipercze"/>
            <w:b w:val="0"/>
          </w:rPr>
          <w:t>Badanie pilotażowe zachowań komunikacyjnych ludności w Polsce (GUS)</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_Toc146785794 \h </w:instrText>
        </w:r>
        <w:r w:rsidR="006F25E0" w:rsidRPr="006F25E0">
          <w:rPr>
            <w:b w:val="0"/>
            <w:webHidden/>
          </w:rPr>
        </w:r>
        <w:r w:rsidR="006F25E0" w:rsidRPr="006F25E0">
          <w:rPr>
            <w:b w:val="0"/>
            <w:webHidden/>
          </w:rPr>
          <w:fldChar w:fldCharType="separate"/>
        </w:r>
        <w:r w:rsidR="007403DE">
          <w:rPr>
            <w:b w:val="0"/>
            <w:webHidden/>
          </w:rPr>
          <w:t>116</w:t>
        </w:r>
        <w:r w:rsidR="006F25E0" w:rsidRPr="006F25E0">
          <w:rPr>
            <w:b w:val="0"/>
            <w:webHidden/>
          </w:rPr>
          <w:fldChar w:fldCharType="end"/>
        </w:r>
      </w:hyperlink>
    </w:p>
    <w:p w14:paraId="246A112F" w14:textId="77777777" w:rsidR="006F25E0" w:rsidRPr="006F25E0" w:rsidRDefault="000C6002" w:rsidP="006F25E0">
      <w:pPr>
        <w:pStyle w:val="Spistreci3"/>
        <w:spacing w:before="40" w:after="40" w:line="276" w:lineRule="auto"/>
        <w:rPr>
          <w:rFonts w:asciiTheme="minorHAnsi" w:eastAsiaTheme="minorEastAsia" w:hAnsiTheme="minorHAnsi" w:cstheme="minorBidi"/>
          <w:b w:val="0"/>
          <w:bCs w:val="0"/>
        </w:rPr>
      </w:pPr>
      <w:hyperlink w:anchor="_Toc146785795" w:history="1">
        <w:r w:rsidR="006F25E0" w:rsidRPr="006F25E0">
          <w:rPr>
            <w:rStyle w:val="Hipercze"/>
            <w:b w:val="0"/>
          </w:rPr>
          <w:t>2.4.</w:t>
        </w:r>
        <w:r w:rsidR="006F25E0" w:rsidRPr="006F25E0">
          <w:rPr>
            <w:rFonts w:asciiTheme="minorHAnsi" w:eastAsiaTheme="minorEastAsia" w:hAnsiTheme="minorHAnsi" w:cstheme="minorBidi"/>
            <w:b w:val="0"/>
            <w:bCs w:val="0"/>
          </w:rPr>
          <w:tab/>
        </w:r>
        <w:r w:rsidR="006F25E0" w:rsidRPr="006F25E0">
          <w:rPr>
            <w:rStyle w:val="Hipercze"/>
            <w:b w:val="0"/>
          </w:rPr>
          <w:t>Oczekiwany rozkład ruchu</w:t>
        </w:r>
        <w:r w:rsidR="006F25E0" w:rsidRPr="006F25E0">
          <w:rPr>
            <w:b w:val="0"/>
            <w:webHidden/>
          </w:rPr>
          <w:tab/>
        </w:r>
        <w:r w:rsidR="006F25E0" w:rsidRPr="006F25E0">
          <w:rPr>
            <w:b w:val="0"/>
            <w:webHidden/>
          </w:rPr>
          <w:fldChar w:fldCharType="begin"/>
        </w:r>
        <w:r w:rsidR="006F25E0" w:rsidRPr="006F25E0">
          <w:rPr>
            <w:b w:val="0"/>
            <w:webHidden/>
          </w:rPr>
          <w:instrText xml:space="preserve"> PAGEREF _Toc146785795 \h </w:instrText>
        </w:r>
        <w:r w:rsidR="006F25E0" w:rsidRPr="006F25E0">
          <w:rPr>
            <w:b w:val="0"/>
            <w:webHidden/>
          </w:rPr>
        </w:r>
        <w:r w:rsidR="006F25E0" w:rsidRPr="006F25E0">
          <w:rPr>
            <w:b w:val="0"/>
            <w:webHidden/>
          </w:rPr>
          <w:fldChar w:fldCharType="separate"/>
        </w:r>
        <w:r w:rsidR="007403DE">
          <w:rPr>
            <w:b w:val="0"/>
            <w:webHidden/>
          </w:rPr>
          <w:t>121</w:t>
        </w:r>
        <w:r w:rsidR="006F25E0" w:rsidRPr="006F25E0">
          <w:rPr>
            <w:b w:val="0"/>
            <w:webHidden/>
          </w:rPr>
          <w:fldChar w:fldCharType="end"/>
        </w:r>
      </w:hyperlink>
    </w:p>
    <w:p w14:paraId="1421F418"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796" w:history="1">
        <w:r w:rsidR="006F25E0" w:rsidRPr="00527EBC">
          <w:rPr>
            <w:rStyle w:val="Hipercze"/>
          </w:rPr>
          <w:t>3.</w:t>
        </w:r>
        <w:r w:rsidR="006F25E0">
          <w:rPr>
            <w:rFonts w:asciiTheme="minorHAnsi" w:eastAsiaTheme="minorEastAsia" w:hAnsiTheme="minorHAnsi" w:cstheme="minorBidi"/>
          </w:rPr>
          <w:tab/>
        </w:r>
        <w:r w:rsidR="006F25E0" w:rsidRPr="00527EBC">
          <w:rPr>
            <w:rStyle w:val="Hipercze"/>
          </w:rPr>
          <w:t>Analiza SWOT</w:t>
        </w:r>
        <w:r w:rsidR="006F25E0">
          <w:rPr>
            <w:webHidden/>
          </w:rPr>
          <w:tab/>
        </w:r>
        <w:r w:rsidR="006F25E0">
          <w:rPr>
            <w:webHidden/>
          </w:rPr>
          <w:fldChar w:fldCharType="begin"/>
        </w:r>
        <w:r w:rsidR="006F25E0">
          <w:rPr>
            <w:webHidden/>
          </w:rPr>
          <w:instrText xml:space="preserve"> PAGEREF _Toc146785796 \h </w:instrText>
        </w:r>
        <w:r w:rsidR="006F25E0">
          <w:rPr>
            <w:webHidden/>
          </w:rPr>
        </w:r>
        <w:r w:rsidR="006F25E0">
          <w:rPr>
            <w:webHidden/>
          </w:rPr>
          <w:fldChar w:fldCharType="separate"/>
        </w:r>
        <w:r w:rsidR="007403DE">
          <w:rPr>
            <w:webHidden/>
          </w:rPr>
          <w:t>123</w:t>
        </w:r>
        <w:r w:rsidR="006F25E0">
          <w:rPr>
            <w:webHidden/>
          </w:rPr>
          <w:fldChar w:fldCharType="end"/>
        </w:r>
      </w:hyperlink>
    </w:p>
    <w:p w14:paraId="759E0326"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797" w:history="1">
        <w:r w:rsidR="006F25E0" w:rsidRPr="00527EBC">
          <w:rPr>
            <w:rStyle w:val="Hipercze"/>
            <w:b/>
            <w:bCs/>
          </w:rPr>
          <w:t>II.</w:t>
        </w:r>
        <w:r w:rsidR="006F25E0">
          <w:rPr>
            <w:rFonts w:asciiTheme="minorHAnsi" w:eastAsiaTheme="minorEastAsia" w:hAnsiTheme="minorHAnsi" w:cstheme="minorBidi"/>
          </w:rPr>
          <w:tab/>
        </w:r>
        <w:r w:rsidR="006F25E0" w:rsidRPr="00527EBC">
          <w:rPr>
            <w:rStyle w:val="Hipercze"/>
            <w:b/>
            <w:bCs/>
          </w:rPr>
          <w:t>Identyfikacja głównych problemów (wyzwań) związanych  z rozwojem transportu i możliwości ich rozwiązania</w:t>
        </w:r>
        <w:r w:rsidR="006F25E0">
          <w:rPr>
            <w:webHidden/>
          </w:rPr>
          <w:tab/>
        </w:r>
        <w:r w:rsidR="006F25E0">
          <w:rPr>
            <w:webHidden/>
          </w:rPr>
          <w:fldChar w:fldCharType="begin"/>
        </w:r>
        <w:r w:rsidR="006F25E0">
          <w:rPr>
            <w:webHidden/>
          </w:rPr>
          <w:instrText xml:space="preserve"> PAGEREF _Toc146785797 \h </w:instrText>
        </w:r>
        <w:r w:rsidR="006F25E0">
          <w:rPr>
            <w:webHidden/>
          </w:rPr>
        </w:r>
        <w:r w:rsidR="006F25E0">
          <w:rPr>
            <w:webHidden/>
          </w:rPr>
          <w:fldChar w:fldCharType="separate"/>
        </w:r>
        <w:r w:rsidR="007403DE">
          <w:rPr>
            <w:webHidden/>
          </w:rPr>
          <w:t>126</w:t>
        </w:r>
        <w:r w:rsidR="006F25E0">
          <w:rPr>
            <w:webHidden/>
          </w:rPr>
          <w:fldChar w:fldCharType="end"/>
        </w:r>
      </w:hyperlink>
    </w:p>
    <w:p w14:paraId="49EBBF1E"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798" w:history="1">
        <w:r w:rsidR="006F25E0" w:rsidRPr="00527EBC">
          <w:rPr>
            <w:rStyle w:val="Hipercze"/>
          </w:rPr>
          <w:t>1.</w:t>
        </w:r>
        <w:r w:rsidR="006F25E0">
          <w:rPr>
            <w:rFonts w:asciiTheme="minorHAnsi" w:eastAsiaTheme="minorEastAsia" w:hAnsiTheme="minorHAnsi" w:cstheme="minorBidi"/>
          </w:rPr>
          <w:tab/>
        </w:r>
        <w:r w:rsidR="006F25E0" w:rsidRPr="00527EBC">
          <w:rPr>
            <w:rStyle w:val="Hipercze"/>
          </w:rPr>
          <w:t>Problemy bazowe związane z rozwojem sieci i organizacją transportu  w regionie</w:t>
        </w:r>
        <w:r w:rsidR="006F25E0">
          <w:rPr>
            <w:webHidden/>
          </w:rPr>
          <w:tab/>
        </w:r>
        <w:r w:rsidR="006F25E0">
          <w:rPr>
            <w:webHidden/>
          </w:rPr>
          <w:fldChar w:fldCharType="begin"/>
        </w:r>
        <w:r w:rsidR="006F25E0">
          <w:rPr>
            <w:webHidden/>
          </w:rPr>
          <w:instrText xml:space="preserve"> PAGEREF _Toc146785798 \h </w:instrText>
        </w:r>
        <w:r w:rsidR="006F25E0">
          <w:rPr>
            <w:webHidden/>
          </w:rPr>
        </w:r>
        <w:r w:rsidR="006F25E0">
          <w:rPr>
            <w:webHidden/>
          </w:rPr>
          <w:fldChar w:fldCharType="separate"/>
        </w:r>
        <w:r w:rsidR="007403DE">
          <w:rPr>
            <w:webHidden/>
          </w:rPr>
          <w:t>126</w:t>
        </w:r>
        <w:r w:rsidR="006F25E0">
          <w:rPr>
            <w:webHidden/>
          </w:rPr>
          <w:fldChar w:fldCharType="end"/>
        </w:r>
      </w:hyperlink>
    </w:p>
    <w:p w14:paraId="740FB48B"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799" w:history="1">
        <w:r w:rsidR="006F25E0" w:rsidRPr="00527EBC">
          <w:rPr>
            <w:rStyle w:val="Hipercze"/>
          </w:rPr>
          <w:t>2.</w:t>
        </w:r>
        <w:r w:rsidR="006F25E0">
          <w:rPr>
            <w:rFonts w:asciiTheme="minorHAnsi" w:eastAsiaTheme="minorEastAsia" w:hAnsiTheme="minorHAnsi" w:cstheme="minorBidi"/>
          </w:rPr>
          <w:tab/>
        </w:r>
        <w:r w:rsidR="006F25E0" w:rsidRPr="00527EBC">
          <w:rPr>
            <w:rStyle w:val="Hipercze"/>
          </w:rPr>
          <w:t>Warianty planistyczne</w:t>
        </w:r>
        <w:r w:rsidR="006F25E0">
          <w:rPr>
            <w:webHidden/>
          </w:rPr>
          <w:tab/>
        </w:r>
        <w:r w:rsidR="006F25E0">
          <w:rPr>
            <w:webHidden/>
          </w:rPr>
          <w:fldChar w:fldCharType="begin"/>
        </w:r>
        <w:r w:rsidR="006F25E0">
          <w:rPr>
            <w:webHidden/>
          </w:rPr>
          <w:instrText xml:space="preserve"> PAGEREF _Toc146785799 \h </w:instrText>
        </w:r>
        <w:r w:rsidR="006F25E0">
          <w:rPr>
            <w:webHidden/>
          </w:rPr>
        </w:r>
        <w:r w:rsidR="006F25E0">
          <w:rPr>
            <w:webHidden/>
          </w:rPr>
          <w:fldChar w:fldCharType="separate"/>
        </w:r>
        <w:r w:rsidR="007403DE">
          <w:rPr>
            <w:webHidden/>
          </w:rPr>
          <w:t>131</w:t>
        </w:r>
        <w:r w:rsidR="006F25E0">
          <w:rPr>
            <w:webHidden/>
          </w:rPr>
          <w:fldChar w:fldCharType="end"/>
        </w:r>
      </w:hyperlink>
    </w:p>
    <w:p w14:paraId="198E1FC0"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800" w:history="1">
        <w:r w:rsidR="006F25E0" w:rsidRPr="00527EBC">
          <w:rPr>
            <w:rStyle w:val="Hipercze"/>
            <w:b/>
            <w:bCs/>
          </w:rPr>
          <w:t>III.</w:t>
        </w:r>
        <w:r w:rsidR="006F25E0">
          <w:rPr>
            <w:rFonts w:asciiTheme="minorHAnsi" w:eastAsiaTheme="minorEastAsia" w:hAnsiTheme="minorHAnsi" w:cstheme="minorBidi"/>
          </w:rPr>
          <w:tab/>
        </w:r>
        <w:r w:rsidR="006F25E0" w:rsidRPr="00527EBC">
          <w:rPr>
            <w:rStyle w:val="Hipercze"/>
            <w:b/>
            <w:bCs/>
          </w:rPr>
          <w:t>Cele i kierunki rozwoju regionalnego systemu transportowego</w:t>
        </w:r>
        <w:r w:rsidR="006F25E0">
          <w:rPr>
            <w:webHidden/>
          </w:rPr>
          <w:tab/>
        </w:r>
        <w:r w:rsidR="006F25E0">
          <w:rPr>
            <w:webHidden/>
          </w:rPr>
          <w:fldChar w:fldCharType="begin"/>
        </w:r>
        <w:r w:rsidR="006F25E0">
          <w:rPr>
            <w:webHidden/>
          </w:rPr>
          <w:instrText xml:space="preserve"> PAGEREF _Toc146785800 \h </w:instrText>
        </w:r>
        <w:r w:rsidR="006F25E0">
          <w:rPr>
            <w:webHidden/>
          </w:rPr>
        </w:r>
        <w:r w:rsidR="006F25E0">
          <w:rPr>
            <w:webHidden/>
          </w:rPr>
          <w:fldChar w:fldCharType="separate"/>
        </w:r>
        <w:r w:rsidR="007403DE">
          <w:rPr>
            <w:webHidden/>
          </w:rPr>
          <w:t>141</w:t>
        </w:r>
        <w:r w:rsidR="006F25E0">
          <w:rPr>
            <w:webHidden/>
          </w:rPr>
          <w:fldChar w:fldCharType="end"/>
        </w:r>
      </w:hyperlink>
    </w:p>
    <w:p w14:paraId="7C64C7E9"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801" w:history="1">
        <w:r w:rsidR="006F25E0" w:rsidRPr="00527EBC">
          <w:rPr>
            <w:rStyle w:val="Hipercze"/>
          </w:rPr>
          <w:t>1.</w:t>
        </w:r>
        <w:r w:rsidR="006F25E0">
          <w:rPr>
            <w:rFonts w:asciiTheme="minorHAnsi" w:eastAsiaTheme="minorEastAsia" w:hAnsiTheme="minorHAnsi" w:cstheme="minorBidi"/>
          </w:rPr>
          <w:tab/>
        </w:r>
        <w:r w:rsidR="006F25E0" w:rsidRPr="00527EBC">
          <w:rPr>
            <w:rStyle w:val="Hipercze"/>
            <w:bCs/>
          </w:rPr>
          <w:t>Cele podstawowe i horyzontalne</w:t>
        </w:r>
        <w:r w:rsidR="006F25E0">
          <w:rPr>
            <w:webHidden/>
          </w:rPr>
          <w:tab/>
        </w:r>
        <w:r w:rsidR="006F25E0">
          <w:rPr>
            <w:webHidden/>
          </w:rPr>
          <w:fldChar w:fldCharType="begin"/>
        </w:r>
        <w:r w:rsidR="006F25E0">
          <w:rPr>
            <w:webHidden/>
          </w:rPr>
          <w:instrText xml:space="preserve"> PAGEREF _Toc146785801 \h </w:instrText>
        </w:r>
        <w:r w:rsidR="006F25E0">
          <w:rPr>
            <w:webHidden/>
          </w:rPr>
        </w:r>
        <w:r w:rsidR="006F25E0">
          <w:rPr>
            <w:webHidden/>
          </w:rPr>
          <w:fldChar w:fldCharType="separate"/>
        </w:r>
        <w:r w:rsidR="007403DE">
          <w:rPr>
            <w:webHidden/>
          </w:rPr>
          <w:t>141</w:t>
        </w:r>
        <w:r w:rsidR="006F25E0">
          <w:rPr>
            <w:webHidden/>
          </w:rPr>
          <w:fldChar w:fldCharType="end"/>
        </w:r>
      </w:hyperlink>
    </w:p>
    <w:p w14:paraId="41563A91"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802" w:history="1">
        <w:r w:rsidR="006F25E0" w:rsidRPr="00527EBC">
          <w:rPr>
            <w:rStyle w:val="Hipercze"/>
          </w:rPr>
          <w:t>2.</w:t>
        </w:r>
        <w:r w:rsidR="006F25E0">
          <w:rPr>
            <w:rFonts w:asciiTheme="minorHAnsi" w:eastAsiaTheme="minorEastAsia" w:hAnsiTheme="minorHAnsi" w:cstheme="minorBidi"/>
          </w:rPr>
          <w:tab/>
        </w:r>
        <w:r w:rsidR="006F25E0" w:rsidRPr="00527EBC">
          <w:rPr>
            <w:rStyle w:val="Hipercze"/>
            <w:bCs/>
          </w:rPr>
          <w:t>Kierunki rozwoju w ramach celów podstawowych i horyzontalnych</w:t>
        </w:r>
        <w:r w:rsidR="006F25E0">
          <w:rPr>
            <w:webHidden/>
          </w:rPr>
          <w:tab/>
        </w:r>
        <w:r w:rsidR="006F25E0">
          <w:rPr>
            <w:webHidden/>
          </w:rPr>
          <w:fldChar w:fldCharType="begin"/>
        </w:r>
        <w:r w:rsidR="006F25E0">
          <w:rPr>
            <w:webHidden/>
          </w:rPr>
          <w:instrText xml:space="preserve"> PAGEREF _Toc146785802 \h </w:instrText>
        </w:r>
        <w:r w:rsidR="006F25E0">
          <w:rPr>
            <w:webHidden/>
          </w:rPr>
        </w:r>
        <w:r w:rsidR="006F25E0">
          <w:rPr>
            <w:webHidden/>
          </w:rPr>
          <w:fldChar w:fldCharType="separate"/>
        </w:r>
        <w:r w:rsidR="007403DE">
          <w:rPr>
            <w:webHidden/>
          </w:rPr>
          <w:t>152</w:t>
        </w:r>
        <w:r w:rsidR="006F25E0">
          <w:rPr>
            <w:webHidden/>
          </w:rPr>
          <w:fldChar w:fldCharType="end"/>
        </w:r>
      </w:hyperlink>
    </w:p>
    <w:p w14:paraId="2411AF82"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803" w:history="1">
        <w:r w:rsidR="006F25E0" w:rsidRPr="00527EBC">
          <w:rPr>
            <w:rStyle w:val="Hipercze"/>
          </w:rPr>
          <w:t>3.</w:t>
        </w:r>
        <w:r w:rsidR="006F25E0">
          <w:rPr>
            <w:rFonts w:asciiTheme="minorHAnsi" w:eastAsiaTheme="minorEastAsia" w:hAnsiTheme="minorHAnsi" w:cstheme="minorBidi"/>
          </w:rPr>
          <w:tab/>
        </w:r>
        <w:r w:rsidR="006F25E0" w:rsidRPr="00527EBC">
          <w:rPr>
            <w:rStyle w:val="Hipercze"/>
            <w:bCs/>
          </w:rPr>
          <w:t>Inwestycje w ramach celów podstawowych i horyzontalnych</w:t>
        </w:r>
        <w:r w:rsidR="006F25E0">
          <w:rPr>
            <w:webHidden/>
          </w:rPr>
          <w:tab/>
        </w:r>
        <w:r w:rsidR="006F25E0">
          <w:rPr>
            <w:webHidden/>
          </w:rPr>
          <w:fldChar w:fldCharType="begin"/>
        </w:r>
        <w:r w:rsidR="006F25E0">
          <w:rPr>
            <w:webHidden/>
          </w:rPr>
          <w:instrText xml:space="preserve"> PAGEREF _Toc146785803 \h </w:instrText>
        </w:r>
        <w:r w:rsidR="006F25E0">
          <w:rPr>
            <w:webHidden/>
          </w:rPr>
        </w:r>
        <w:r w:rsidR="006F25E0">
          <w:rPr>
            <w:webHidden/>
          </w:rPr>
          <w:fldChar w:fldCharType="separate"/>
        </w:r>
        <w:r w:rsidR="007403DE">
          <w:rPr>
            <w:webHidden/>
          </w:rPr>
          <w:t>165</w:t>
        </w:r>
        <w:r w:rsidR="006F25E0">
          <w:rPr>
            <w:webHidden/>
          </w:rPr>
          <w:fldChar w:fldCharType="end"/>
        </w:r>
      </w:hyperlink>
    </w:p>
    <w:p w14:paraId="5586D81B"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804" w:history="1">
        <w:r w:rsidR="006F25E0" w:rsidRPr="00527EBC">
          <w:rPr>
            <w:rStyle w:val="Hipercze"/>
            <w:b/>
            <w:bCs/>
          </w:rPr>
          <w:t>IV.</w:t>
        </w:r>
        <w:r w:rsidR="006F25E0">
          <w:rPr>
            <w:rFonts w:asciiTheme="minorHAnsi" w:eastAsiaTheme="minorEastAsia" w:hAnsiTheme="minorHAnsi" w:cstheme="minorBidi"/>
          </w:rPr>
          <w:tab/>
        </w:r>
        <w:r w:rsidR="006F25E0" w:rsidRPr="00527EBC">
          <w:rPr>
            <w:rStyle w:val="Hipercze"/>
            <w:b/>
            <w:bCs/>
          </w:rPr>
          <w:t>System wdrażania i realizacji</w:t>
        </w:r>
        <w:r w:rsidR="006F25E0">
          <w:rPr>
            <w:webHidden/>
          </w:rPr>
          <w:tab/>
        </w:r>
        <w:r w:rsidR="006F25E0">
          <w:rPr>
            <w:webHidden/>
          </w:rPr>
          <w:fldChar w:fldCharType="begin"/>
        </w:r>
        <w:r w:rsidR="006F25E0">
          <w:rPr>
            <w:webHidden/>
          </w:rPr>
          <w:instrText xml:space="preserve"> PAGEREF _Toc146785804 \h </w:instrText>
        </w:r>
        <w:r w:rsidR="006F25E0">
          <w:rPr>
            <w:webHidden/>
          </w:rPr>
        </w:r>
        <w:r w:rsidR="006F25E0">
          <w:rPr>
            <w:webHidden/>
          </w:rPr>
          <w:fldChar w:fldCharType="separate"/>
        </w:r>
        <w:r w:rsidR="007403DE">
          <w:rPr>
            <w:webHidden/>
          </w:rPr>
          <w:t>228</w:t>
        </w:r>
        <w:r w:rsidR="006F25E0">
          <w:rPr>
            <w:webHidden/>
          </w:rPr>
          <w:fldChar w:fldCharType="end"/>
        </w:r>
      </w:hyperlink>
    </w:p>
    <w:p w14:paraId="311D6165"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805" w:history="1">
        <w:r w:rsidR="006F25E0" w:rsidRPr="00527EBC">
          <w:rPr>
            <w:rStyle w:val="Hipercze"/>
          </w:rPr>
          <w:t>1.</w:t>
        </w:r>
        <w:r w:rsidR="006F25E0">
          <w:rPr>
            <w:rFonts w:asciiTheme="minorHAnsi" w:eastAsiaTheme="minorEastAsia" w:hAnsiTheme="minorHAnsi" w:cstheme="minorBidi"/>
          </w:rPr>
          <w:tab/>
        </w:r>
        <w:r w:rsidR="006F25E0" w:rsidRPr="00527EBC">
          <w:rPr>
            <w:rStyle w:val="Hipercze"/>
            <w:bCs/>
          </w:rPr>
          <w:t>System realizacji – założenia ogólne</w:t>
        </w:r>
        <w:r w:rsidR="006F25E0">
          <w:rPr>
            <w:webHidden/>
          </w:rPr>
          <w:tab/>
        </w:r>
        <w:r w:rsidR="006F25E0">
          <w:rPr>
            <w:webHidden/>
          </w:rPr>
          <w:fldChar w:fldCharType="begin"/>
        </w:r>
        <w:r w:rsidR="006F25E0">
          <w:rPr>
            <w:webHidden/>
          </w:rPr>
          <w:instrText xml:space="preserve"> PAGEREF _Toc146785805 \h </w:instrText>
        </w:r>
        <w:r w:rsidR="006F25E0">
          <w:rPr>
            <w:webHidden/>
          </w:rPr>
        </w:r>
        <w:r w:rsidR="006F25E0">
          <w:rPr>
            <w:webHidden/>
          </w:rPr>
          <w:fldChar w:fldCharType="separate"/>
        </w:r>
        <w:r w:rsidR="007403DE">
          <w:rPr>
            <w:webHidden/>
          </w:rPr>
          <w:t>228</w:t>
        </w:r>
        <w:r w:rsidR="006F25E0">
          <w:rPr>
            <w:webHidden/>
          </w:rPr>
          <w:fldChar w:fldCharType="end"/>
        </w:r>
      </w:hyperlink>
    </w:p>
    <w:p w14:paraId="4F2E3482"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806" w:history="1">
        <w:r w:rsidR="006F25E0" w:rsidRPr="00527EBC">
          <w:rPr>
            <w:rStyle w:val="Hipercze"/>
            <w:bCs/>
          </w:rPr>
          <w:t>2.</w:t>
        </w:r>
        <w:r w:rsidR="006F25E0">
          <w:rPr>
            <w:rFonts w:asciiTheme="minorHAnsi" w:eastAsiaTheme="minorEastAsia" w:hAnsiTheme="minorHAnsi" w:cstheme="minorBidi"/>
          </w:rPr>
          <w:tab/>
        </w:r>
        <w:r w:rsidR="006F25E0" w:rsidRPr="00527EBC">
          <w:rPr>
            <w:rStyle w:val="Hipercze"/>
            <w:bCs/>
          </w:rPr>
          <w:t>Podmioty zaangażowane w przygotowanie i realizację Programu</w:t>
        </w:r>
        <w:r w:rsidR="006F25E0">
          <w:rPr>
            <w:webHidden/>
          </w:rPr>
          <w:tab/>
        </w:r>
        <w:r w:rsidR="006F25E0">
          <w:rPr>
            <w:webHidden/>
          </w:rPr>
          <w:fldChar w:fldCharType="begin"/>
        </w:r>
        <w:r w:rsidR="006F25E0">
          <w:rPr>
            <w:webHidden/>
          </w:rPr>
          <w:instrText xml:space="preserve"> PAGEREF _Toc146785806 \h </w:instrText>
        </w:r>
        <w:r w:rsidR="006F25E0">
          <w:rPr>
            <w:webHidden/>
          </w:rPr>
        </w:r>
        <w:r w:rsidR="006F25E0">
          <w:rPr>
            <w:webHidden/>
          </w:rPr>
          <w:fldChar w:fldCharType="separate"/>
        </w:r>
        <w:r w:rsidR="007403DE">
          <w:rPr>
            <w:webHidden/>
          </w:rPr>
          <w:t>230</w:t>
        </w:r>
        <w:r w:rsidR="006F25E0">
          <w:rPr>
            <w:webHidden/>
          </w:rPr>
          <w:fldChar w:fldCharType="end"/>
        </w:r>
      </w:hyperlink>
    </w:p>
    <w:p w14:paraId="3AA150BE"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807" w:history="1">
        <w:r w:rsidR="006F25E0" w:rsidRPr="00527EBC">
          <w:rPr>
            <w:rStyle w:val="Hipercze"/>
          </w:rPr>
          <w:t>3.</w:t>
        </w:r>
        <w:r w:rsidR="006F25E0">
          <w:rPr>
            <w:rFonts w:asciiTheme="minorHAnsi" w:eastAsiaTheme="minorEastAsia" w:hAnsiTheme="minorHAnsi" w:cstheme="minorBidi"/>
          </w:rPr>
          <w:tab/>
        </w:r>
        <w:r w:rsidR="006F25E0" w:rsidRPr="00527EBC">
          <w:rPr>
            <w:rStyle w:val="Hipercze"/>
            <w:bCs/>
          </w:rPr>
          <w:t>Podmiot koordynujący realizację Programu</w:t>
        </w:r>
        <w:r w:rsidR="006F25E0">
          <w:rPr>
            <w:webHidden/>
          </w:rPr>
          <w:tab/>
        </w:r>
        <w:r w:rsidR="006F25E0">
          <w:rPr>
            <w:webHidden/>
          </w:rPr>
          <w:fldChar w:fldCharType="begin"/>
        </w:r>
        <w:r w:rsidR="006F25E0">
          <w:rPr>
            <w:webHidden/>
          </w:rPr>
          <w:instrText xml:space="preserve"> PAGEREF _Toc146785807 \h </w:instrText>
        </w:r>
        <w:r w:rsidR="006F25E0">
          <w:rPr>
            <w:webHidden/>
          </w:rPr>
        </w:r>
        <w:r w:rsidR="006F25E0">
          <w:rPr>
            <w:webHidden/>
          </w:rPr>
          <w:fldChar w:fldCharType="separate"/>
        </w:r>
        <w:r w:rsidR="007403DE">
          <w:rPr>
            <w:webHidden/>
          </w:rPr>
          <w:t>236</w:t>
        </w:r>
        <w:r w:rsidR="006F25E0">
          <w:rPr>
            <w:webHidden/>
          </w:rPr>
          <w:fldChar w:fldCharType="end"/>
        </w:r>
      </w:hyperlink>
    </w:p>
    <w:p w14:paraId="59A369FB"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808" w:history="1">
        <w:r w:rsidR="006F25E0" w:rsidRPr="00527EBC">
          <w:rPr>
            <w:rStyle w:val="Hipercze"/>
          </w:rPr>
          <w:t>4.</w:t>
        </w:r>
        <w:r w:rsidR="006F25E0">
          <w:rPr>
            <w:rFonts w:asciiTheme="minorHAnsi" w:eastAsiaTheme="minorEastAsia" w:hAnsiTheme="minorHAnsi" w:cstheme="minorBidi"/>
          </w:rPr>
          <w:tab/>
        </w:r>
        <w:r w:rsidR="006F25E0" w:rsidRPr="00527EBC">
          <w:rPr>
            <w:rStyle w:val="Hipercze"/>
            <w:bCs/>
          </w:rPr>
          <w:t>Kryteria wyboru projektów</w:t>
        </w:r>
        <w:r w:rsidR="006F25E0">
          <w:rPr>
            <w:webHidden/>
          </w:rPr>
          <w:tab/>
        </w:r>
        <w:r w:rsidR="006F25E0">
          <w:rPr>
            <w:webHidden/>
          </w:rPr>
          <w:fldChar w:fldCharType="begin"/>
        </w:r>
        <w:r w:rsidR="006F25E0">
          <w:rPr>
            <w:webHidden/>
          </w:rPr>
          <w:instrText xml:space="preserve"> PAGEREF _Toc146785808 \h </w:instrText>
        </w:r>
        <w:r w:rsidR="006F25E0">
          <w:rPr>
            <w:webHidden/>
          </w:rPr>
        </w:r>
        <w:r w:rsidR="006F25E0">
          <w:rPr>
            <w:webHidden/>
          </w:rPr>
          <w:fldChar w:fldCharType="separate"/>
        </w:r>
        <w:r w:rsidR="007403DE">
          <w:rPr>
            <w:webHidden/>
          </w:rPr>
          <w:t>239</w:t>
        </w:r>
        <w:r w:rsidR="006F25E0">
          <w:rPr>
            <w:webHidden/>
          </w:rPr>
          <w:fldChar w:fldCharType="end"/>
        </w:r>
      </w:hyperlink>
    </w:p>
    <w:p w14:paraId="6D259DAB"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809" w:history="1">
        <w:r w:rsidR="006F25E0" w:rsidRPr="00527EBC">
          <w:rPr>
            <w:rStyle w:val="Hipercze"/>
          </w:rPr>
          <w:t>5.</w:t>
        </w:r>
        <w:r w:rsidR="006F25E0">
          <w:rPr>
            <w:rFonts w:asciiTheme="minorHAnsi" w:eastAsiaTheme="minorEastAsia" w:hAnsiTheme="minorHAnsi" w:cstheme="minorBidi"/>
          </w:rPr>
          <w:tab/>
        </w:r>
        <w:r w:rsidR="006F25E0" w:rsidRPr="00527EBC">
          <w:rPr>
            <w:rStyle w:val="Hipercze"/>
            <w:bCs/>
          </w:rPr>
          <w:t>Ramy finansowe ze wskazaniem potencjalnych i rzeczywistych źródeł finansowania (publicznych i niepublicznych)</w:t>
        </w:r>
        <w:r w:rsidR="006F25E0">
          <w:rPr>
            <w:webHidden/>
          </w:rPr>
          <w:tab/>
        </w:r>
        <w:r w:rsidR="006F25E0">
          <w:rPr>
            <w:webHidden/>
          </w:rPr>
          <w:fldChar w:fldCharType="begin"/>
        </w:r>
        <w:r w:rsidR="006F25E0">
          <w:rPr>
            <w:webHidden/>
          </w:rPr>
          <w:instrText xml:space="preserve"> PAGEREF _Toc146785809 \h </w:instrText>
        </w:r>
        <w:r w:rsidR="006F25E0">
          <w:rPr>
            <w:webHidden/>
          </w:rPr>
        </w:r>
        <w:r w:rsidR="006F25E0">
          <w:rPr>
            <w:webHidden/>
          </w:rPr>
          <w:fldChar w:fldCharType="separate"/>
        </w:r>
        <w:r w:rsidR="007403DE">
          <w:rPr>
            <w:webHidden/>
          </w:rPr>
          <w:t>247</w:t>
        </w:r>
        <w:r w:rsidR="006F25E0">
          <w:rPr>
            <w:webHidden/>
          </w:rPr>
          <w:fldChar w:fldCharType="end"/>
        </w:r>
      </w:hyperlink>
    </w:p>
    <w:p w14:paraId="571EA101"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810" w:history="1">
        <w:r w:rsidR="006F25E0" w:rsidRPr="00527EBC">
          <w:rPr>
            <w:rStyle w:val="Hipercze"/>
          </w:rPr>
          <w:t>6.</w:t>
        </w:r>
        <w:r w:rsidR="006F25E0">
          <w:rPr>
            <w:rFonts w:asciiTheme="minorHAnsi" w:eastAsiaTheme="minorEastAsia" w:hAnsiTheme="minorHAnsi" w:cstheme="minorBidi"/>
          </w:rPr>
          <w:tab/>
        </w:r>
        <w:r w:rsidR="006F25E0" w:rsidRPr="00527EBC">
          <w:rPr>
            <w:rStyle w:val="Hipercze"/>
            <w:bCs/>
          </w:rPr>
          <w:t>System monitoringu i ewaluacji (oceny realizacji Programu)</w:t>
        </w:r>
        <w:r w:rsidR="006F25E0">
          <w:rPr>
            <w:webHidden/>
          </w:rPr>
          <w:tab/>
        </w:r>
        <w:r w:rsidR="006F25E0">
          <w:rPr>
            <w:webHidden/>
          </w:rPr>
          <w:fldChar w:fldCharType="begin"/>
        </w:r>
        <w:r w:rsidR="006F25E0">
          <w:rPr>
            <w:webHidden/>
          </w:rPr>
          <w:instrText xml:space="preserve"> PAGEREF _Toc146785810 \h </w:instrText>
        </w:r>
        <w:r w:rsidR="006F25E0">
          <w:rPr>
            <w:webHidden/>
          </w:rPr>
        </w:r>
        <w:r w:rsidR="006F25E0">
          <w:rPr>
            <w:webHidden/>
          </w:rPr>
          <w:fldChar w:fldCharType="separate"/>
        </w:r>
        <w:r w:rsidR="007403DE">
          <w:rPr>
            <w:webHidden/>
          </w:rPr>
          <w:t>284</w:t>
        </w:r>
        <w:r w:rsidR="006F25E0">
          <w:rPr>
            <w:webHidden/>
          </w:rPr>
          <w:fldChar w:fldCharType="end"/>
        </w:r>
      </w:hyperlink>
    </w:p>
    <w:p w14:paraId="4D13952E"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811" w:history="1">
        <w:r w:rsidR="006F25E0" w:rsidRPr="00527EBC">
          <w:rPr>
            <w:rStyle w:val="Hipercze"/>
            <w:b/>
            <w:bCs/>
          </w:rPr>
          <w:t>V.</w:t>
        </w:r>
        <w:r w:rsidR="006F25E0">
          <w:rPr>
            <w:rFonts w:asciiTheme="minorHAnsi" w:eastAsiaTheme="minorEastAsia" w:hAnsiTheme="minorHAnsi" w:cstheme="minorBidi"/>
          </w:rPr>
          <w:tab/>
        </w:r>
        <w:r w:rsidR="006F25E0" w:rsidRPr="00527EBC">
          <w:rPr>
            <w:rStyle w:val="Hipercze"/>
            <w:b/>
            <w:bCs/>
          </w:rPr>
          <w:t>Prognoza oddziaływania na środowisko – najważniejsze wnioski</w:t>
        </w:r>
        <w:r w:rsidR="006F25E0">
          <w:rPr>
            <w:webHidden/>
          </w:rPr>
          <w:tab/>
        </w:r>
        <w:r w:rsidR="006F25E0">
          <w:rPr>
            <w:webHidden/>
          </w:rPr>
          <w:fldChar w:fldCharType="begin"/>
        </w:r>
        <w:r w:rsidR="006F25E0">
          <w:rPr>
            <w:webHidden/>
          </w:rPr>
          <w:instrText xml:space="preserve"> PAGEREF _Toc146785811 \h </w:instrText>
        </w:r>
        <w:r w:rsidR="006F25E0">
          <w:rPr>
            <w:webHidden/>
          </w:rPr>
        </w:r>
        <w:r w:rsidR="006F25E0">
          <w:rPr>
            <w:webHidden/>
          </w:rPr>
          <w:fldChar w:fldCharType="separate"/>
        </w:r>
        <w:r w:rsidR="007403DE">
          <w:rPr>
            <w:webHidden/>
          </w:rPr>
          <w:t>294</w:t>
        </w:r>
        <w:r w:rsidR="006F25E0">
          <w:rPr>
            <w:webHidden/>
          </w:rPr>
          <w:fldChar w:fldCharType="end"/>
        </w:r>
      </w:hyperlink>
    </w:p>
    <w:p w14:paraId="034EDC2F"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812" w:history="1">
        <w:r w:rsidR="006F25E0" w:rsidRPr="00527EBC">
          <w:rPr>
            <w:rStyle w:val="Hipercze"/>
            <w:b/>
            <w:bCs/>
          </w:rPr>
          <w:t>VI.</w:t>
        </w:r>
        <w:r w:rsidR="006F25E0">
          <w:rPr>
            <w:rFonts w:asciiTheme="minorHAnsi" w:eastAsiaTheme="minorEastAsia" w:hAnsiTheme="minorHAnsi" w:cstheme="minorBidi"/>
          </w:rPr>
          <w:tab/>
        </w:r>
        <w:r w:rsidR="006F25E0" w:rsidRPr="00527EBC">
          <w:rPr>
            <w:rStyle w:val="Hipercze"/>
            <w:b/>
            <w:bCs/>
          </w:rPr>
          <w:t>Podsumowanie z przeprowadzonych konsultacji społecznych</w:t>
        </w:r>
        <w:r w:rsidR="006F25E0">
          <w:rPr>
            <w:webHidden/>
          </w:rPr>
          <w:tab/>
        </w:r>
        <w:r w:rsidR="006F25E0">
          <w:rPr>
            <w:webHidden/>
          </w:rPr>
          <w:fldChar w:fldCharType="begin"/>
        </w:r>
        <w:r w:rsidR="006F25E0">
          <w:rPr>
            <w:webHidden/>
          </w:rPr>
          <w:instrText xml:space="preserve"> PAGEREF _Toc146785812 \h </w:instrText>
        </w:r>
        <w:r w:rsidR="006F25E0">
          <w:rPr>
            <w:webHidden/>
          </w:rPr>
        </w:r>
        <w:r w:rsidR="006F25E0">
          <w:rPr>
            <w:webHidden/>
          </w:rPr>
          <w:fldChar w:fldCharType="separate"/>
        </w:r>
        <w:r w:rsidR="007403DE">
          <w:rPr>
            <w:webHidden/>
          </w:rPr>
          <w:t>297</w:t>
        </w:r>
        <w:r w:rsidR="006F25E0">
          <w:rPr>
            <w:webHidden/>
          </w:rPr>
          <w:fldChar w:fldCharType="end"/>
        </w:r>
      </w:hyperlink>
    </w:p>
    <w:p w14:paraId="03619BB8"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813" w:history="1">
        <w:r w:rsidR="006F25E0" w:rsidRPr="00527EBC">
          <w:rPr>
            <w:rStyle w:val="Hipercze"/>
            <w:b/>
            <w:bCs/>
          </w:rPr>
          <w:t>VII.</w:t>
        </w:r>
        <w:r w:rsidR="006F25E0">
          <w:rPr>
            <w:rFonts w:asciiTheme="minorHAnsi" w:eastAsiaTheme="minorEastAsia" w:hAnsiTheme="minorHAnsi" w:cstheme="minorBidi"/>
          </w:rPr>
          <w:tab/>
        </w:r>
        <w:r w:rsidR="006F25E0" w:rsidRPr="00527EBC">
          <w:rPr>
            <w:rStyle w:val="Hipercze"/>
            <w:b/>
            <w:bCs/>
          </w:rPr>
          <w:t>Analiza ryzyka</w:t>
        </w:r>
        <w:r w:rsidR="006F25E0">
          <w:rPr>
            <w:webHidden/>
          </w:rPr>
          <w:tab/>
        </w:r>
        <w:r w:rsidR="006F25E0">
          <w:rPr>
            <w:webHidden/>
          </w:rPr>
          <w:fldChar w:fldCharType="begin"/>
        </w:r>
        <w:r w:rsidR="006F25E0">
          <w:rPr>
            <w:webHidden/>
          </w:rPr>
          <w:instrText xml:space="preserve"> PAGEREF _Toc146785813 \h </w:instrText>
        </w:r>
        <w:r w:rsidR="006F25E0">
          <w:rPr>
            <w:webHidden/>
          </w:rPr>
        </w:r>
        <w:r w:rsidR="006F25E0">
          <w:rPr>
            <w:webHidden/>
          </w:rPr>
          <w:fldChar w:fldCharType="separate"/>
        </w:r>
        <w:r w:rsidR="007403DE">
          <w:rPr>
            <w:webHidden/>
          </w:rPr>
          <w:t>301</w:t>
        </w:r>
        <w:r w:rsidR="006F25E0">
          <w:rPr>
            <w:webHidden/>
          </w:rPr>
          <w:fldChar w:fldCharType="end"/>
        </w:r>
      </w:hyperlink>
    </w:p>
    <w:p w14:paraId="529F8E81"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814" w:history="1">
        <w:r w:rsidR="006F25E0" w:rsidRPr="00527EBC">
          <w:rPr>
            <w:rStyle w:val="Hipercze"/>
            <w:b/>
          </w:rPr>
          <w:t>Spis rysunków</w:t>
        </w:r>
        <w:r w:rsidR="006F25E0">
          <w:rPr>
            <w:webHidden/>
          </w:rPr>
          <w:tab/>
        </w:r>
        <w:r w:rsidR="006F25E0">
          <w:rPr>
            <w:webHidden/>
          </w:rPr>
          <w:fldChar w:fldCharType="begin"/>
        </w:r>
        <w:r w:rsidR="006F25E0">
          <w:rPr>
            <w:webHidden/>
          </w:rPr>
          <w:instrText xml:space="preserve"> PAGEREF _Toc146785814 \h </w:instrText>
        </w:r>
        <w:r w:rsidR="006F25E0">
          <w:rPr>
            <w:webHidden/>
          </w:rPr>
        </w:r>
        <w:r w:rsidR="006F25E0">
          <w:rPr>
            <w:webHidden/>
          </w:rPr>
          <w:fldChar w:fldCharType="separate"/>
        </w:r>
        <w:r w:rsidR="007403DE">
          <w:rPr>
            <w:webHidden/>
          </w:rPr>
          <w:t>306</w:t>
        </w:r>
        <w:r w:rsidR="006F25E0">
          <w:rPr>
            <w:webHidden/>
          </w:rPr>
          <w:fldChar w:fldCharType="end"/>
        </w:r>
      </w:hyperlink>
    </w:p>
    <w:p w14:paraId="4E2ABF39"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815" w:history="1">
        <w:r w:rsidR="006F25E0" w:rsidRPr="00527EBC">
          <w:rPr>
            <w:rStyle w:val="Hipercze"/>
            <w:b/>
          </w:rPr>
          <w:t>Spis wykresów</w:t>
        </w:r>
        <w:r w:rsidR="006F25E0">
          <w:rPr>
            <w:webHidden/>
          </w:rPr>
          <w:tab/>
        </w:r>
        <w:r w:rsidR="006F25E0">
          <w:rPr>
            <w:webHidden/>
          </w:rPr>
          <w:fldChar w:fldCharType="begin"/>
        </w:r>
        <w:r w:rsidR="006F25E0">
          <w:rPr>
            <w:webHidden/>
          </w:rPr>
          <w:instrText xml:space="preserve"> PAGEREF _Toc146785815 \h </w:instrText>
        </w:r>
        <w:r w:rsidR="006F25E0">
          <w:rPr>
            <w:webHidden/>
          </w:rPr>
        </w:r>
        <w:r w:rsidR="006F25E0">
          <w:rPr>
            <w:webHidden/>
          </w:rPr>
          <w:fldChar w:fldCharType="separate"/>
        </w:r>
        <w:r w:rsidR="007403DE">
          <w:rPr>
            <w:webHidden/>
          </w:rPr>
          <w:t>309</w:t>
        </w:r>
        <w:r w:rsidR="006F25E0">
          <w:rPr>
            <w:webHidden/>
          </w:rPr>
          <w:fldChar w:fldCharType="end"/>
        </w:r>
      </w:hyperlink>
    </w:p>
    <w:p w14:paraId="58F6CC7D"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816" w:history="1">
        <w:r w:rsidR="006F25E0" w:rsidRPr="00527EBC">
          <w:rPr>
            <w:rStyle w:val="Hipercze"/>
            <w:b/>
          </w:rPr>
          <w:t>Spis tabel</w:t>
        </w:r>
        <w:r w:rsidR="006F25E0">
          <w:rPr>
            <w:webHidden/>
          </w:rPr>
          <w:tab/>
        </w:r>
        <w:r w:rsidR="006F25E0">
          <w:rPr>
            <w:webHidden/>
          </w:rPr>
          <w:fldChar w:fldCharType="begin"/>
        </w:r>
        <w:r w:rsidR="006F25E0">
          <w:rPr>
            <w:webHidden/>
          </w:rPr>
          <w:instrText xml:space="preserve"> PAGEREF _Toc146785816 \h </w:instrText>
        </w:r>
        <w:r w:rsidR="006F25E0">
          <w:rPr>
            <w:webHidden/>
          </w:rPr>
        </w:r>
        <w:r w:rsidR="006F25E0">
          <w:rPr>
            <w:webHidden/>
          </w:rPr>
          <w:fldChar w:fldCharType="separate"/>
        </w:r>
        <w:r w:rsidR="007403DE">
          <w:rPr>
            <w:webHidden/>
          </w:rPr>
          <w:t>309</w:t>
        </w:r>
        <w:r w:rsidR="006F25E0">
          <w:rPr>
            <w:webHidden/>
          </w:rPr>
          <w:fldChar w:fldCharType="end"/>
        </w:r>
      </w:hyperlink>
    </w:p>
    <w:p w14:paraId="0F0FCF00"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817" w:history="1">
        <w:r w:rsidR="006F25E0" w:rsidRPr="00527EBC">
          <w:rPr>
            <w:rStyle w:val="Hipercze"/>
            <w:b/>
            <w:bCs/>
          </w:rPr>
          <w:t>Słowniczek</w:t>
        </w:r>
        <w:r w:rsidR="006F25E0">
          <w:rPr>
            <w:webHidden/>
          </w:rPr>
          <w:tab/>
        </w:r>
        <w:r w:rsidR="006F25E0">
          <w:rPr>
            <w:webHidden/>
          </w:rPr>
          <w:fldChar w:fldCharType="begin"/>
        </w:r>
        <w:r w:rsidR="006F25E0">
          <w:rPr>
            <w:webHidden/>
          </w:rPr>
          <w:instrText xml:space="preserve"> PAGEREF _Toc146785817 \h </w:instrText>
        </w:r>
        <w:r w:rsidR="006F25E0">
          <w:rPr>
            <w:webHidden/>
          </w:rPr>
        </w:r>
        <w:r w:rsidR="006F25E0">
          <w:rPr>
            <w:webHidden/>
          </w:rPr>
          <w:fldChar w:fldCharType="separate"/>
        </w:r>
        <w:r w:rsidR="007403DE">
          <w:rPr>
            <w:webHidden/>
          </w:rPr>
          <w:t>312</w:t>
        </w:r>
        <w:r w:rsidR="006F25E0">
          <w:rPr>
            <w:webHidden/>
          </w:rPr>
          <w:fldChar w:fldCharType="end"/>
        </w:r>
      </w:hyperlink>
    </w:p>
    <w:p w14:paraId="6C84E294"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818" w:history="1">
        <w:r w:rsidR="006F25E0" w:rsidRPr="00527EBC">
          <w:rPr>
            <w:rStyle w:val="Hipercze"/>
            <w:b/>
          </w:rPr>
          <w:t>Aneks</w:t>
        </w:r>
        <w:r w:rsidR="006F25E0">
          <w:rPr>
            <w:webHidden/>
          </w:rPr>
          <w:tab/>
        </w:r>
        <w:r w:rsidR="006F25E0">
          <w:rPr>
            <w:webHidden/>
          </w:rPr>
          <w:fldChar w:fldCharType="begin"/>
        </w:r>
        <w:r w:rsidR="006F25E0">
          <w:rPr>
            <w:webHidden/>
          </w:rPr>
          <w:instrText xml:space="preserve"> PAGEREF _Toc146785818 \h </w:instrText>
        </w:r>
        <w:r w:rsidR="006F25E0">
          <w:rPr>
            <w:webHidden/>
          </w:rPr>
        </w:r>
        <w:r w:rsidR="006F25E0">
          <w:rPr>
            <w:webHidden/>
          </w:rPr>
          <w:fldChar w:fldCharType="separate"/>
        </w:r>
        <w:r w:rsidR="007403DE">
          <w:rPr>
            <w:webHidden/>
          </w:rPr>
          <w:t>330</w:t>
        </w:r>
        <w:r w:rsidR="006F25E0">
          <w:rPr>
            <w:webHidden/>
          </w:rPr>
          <w:fldChar w:fldCharType="end"/>
        </w:r>
      </w:hyperlink>
    </w:p>
    <w:p w14:paraId="40F52EB8" w14:textId="77777777" w:rsidR="006F25E0" w:rsidRDefault="000C6002" w:rsidP="006F25E0">
      <w:pPr>
        <w:pStyle w:val="Spistreci1"/>
        <w:spacing w:before="40" w:after="40" w:line="276" w:lineRule="auto"/>
        <w:rPr>
          <w:rFonts w:asciiTheme="minorHAnsi" w:eastAsiaTheme="minorEastAsia" w:hAnsiTheme="minorHAnsi" w:cstheme="minorBidi"/>
        </w:rPr>
      </w:pPr>
      <w:hyperlink w:anchor="_Toc146785819" w:history="1">
        <w:r w:rsidR="006F25E0" w:rsidRPr="00527EBC">
          <w:rPr>
            <w:rStyle w:val="Hipercze"/>
            <w:b/>
            <w:bCs/>
          </w:rPr>
          <w:t>Załączniki do Programu Strategicznego Rozwoju Transportu Województwa Podkarpackiego do roku 2030</w:t>
        </w:r>
        <w:r w:rsidR="006F25E0">
          <w:rPr>
            <w:webHidden/>
          </w:rPr>
          <w:tab/>
        </w:r>
        <w:r w:rsidR="006F25E0">
          <w:rPr>
            <w:webHidden/>
          </w:rPr>
          <w:fldChar w:fldCharType="begin"/>
        </w:r>
        <w:r w:rsidR="006F25E0">
          <w:rPr>
            <w:webHidden/>
          </w:rPr>
          <w:instrText xml:space="preserve"> PAGEREF _Toc146785819 \h </w:instrText>
        </w:r>
        <w:r w:rsidR="006F25E0">
          <w:rPr>
            <w:webHidden/>
          </w:rPr>
        </w:r>
        <w:r w:rsidR="006F25E0">
          <w:rPr>
            <w:webHidden/>
          </w:rPr>
          <w:fldChar w:fldCharType="separate"/>
        </w:r>
        <w:r w:rsidR="007403DE">
          <w:rPr>
            <w:webHidden/>
          </w:rPr>
          <w:t>332</w:t>
        </w:r>
        <w:r w:rsidR="006F25E0">
          <w:rPr>
            <w:webHidden/>
          </w:rPr>
          <w:fldChar w:fldCharType="end"/>
        </w:r>
      </w:hyperlink>
    </w:p>
    <w:p w14:paraId="190E1280"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820" w:history="1">
        <w:r w:rsidR="006F25E0" w:rsidRPr="00527EBC">
          <w:rPr>
            <w:rStyle w:val="Hipercze"/>
          </w:rPr>
          <w:t>1.</w:t>
        </w:r>
        <w:r w:rsidR="006F25E0">
          <w:rPr>
            <w:rFonts w:asciiTheme="minorHAnsi" w:eastAsiaTheme="minorEastAsia" w:hAnsiTheme="minorHAnsi" w:cstheme="minorBidi"/>
          </w:rPr>
          <w:tab/>
        </w:r>
        <w:r w:rsidR="006F25E0" w:rsidRPr="00527EBC">
          <w:rPr>
            <w:rStyle w:val="Hipercze"/>
          </w:rPr>
          <w:t>Spriorytetyzowane listy kluczowych projektów</w:t>
        </w:r>
        <w:r w:rsidR="006F25E0">
          <w:rPr>
            <w:webHidden/>
          </w:rPr>
          <w:tab/>
        </w:r>
        <w:r w:rsidR="006F25E0">
          <w:rPr>
            <w:webHidden/>
          </w:rPr>
          <w:fldChar w:fldCharType="begin"/>
        </w:r>
        <w:r w:rsidR="006F25E0">
          <w:rPr>
            <w:webHidden/>
          </w:rPr>
          <w:instrText xml:space="preserve"> PAGEREF _Toc146785820 \h </w:instrText>
        </w:r>
        <w:r w:rsidR="006F25E0">
          <w:rPr>
            <w:webHidden/>
          </w:rPr>
        </w:r>
        <w:r w:rsidR="006F25E0">
          <w:rPr>
            <w:webHidden/>
          </w:rPr>
          <w:fldChar w:fldCharType="separate"/>
        </w:r>
        <w:r w:rsidR="007403DE">
          <w:rPr>
            <w:webHidden/>
          </w:rPr>
          <w:t>332</w:t>
        </w:r>
        <w:r w:rsidR="006F25E0">
          <w:rPr>
            <w:webHidden/>
          </w:rPr>
          <w:fldChar w:fldCharType="end"/>
        </w:r>
      </w:hyperlink>
    </w:p>
    <w:p w14:paraId="4BE8812E" w14:textId="77777777" w:rsidR="006F25E0" w:rsidRDefault="000C6002" w:rsidP="006F25E0">
      <w:pPr>
        <w:pStyle w:val="Spistreci2"/>
        <w:spacing w:before="40" w:after="40" w:line="276" w:lineRule="auto"/>
        <w:rPr>
          <w:rFonts w:asciiTheme="minorHAnsi" w:eastAsiaTheme="minorEastAsia" w:hAnsiTheme="minorHAnsi" w:cstheme="minorBidi"/>
        </w:rPr>
      </w:pPr>
      <w:hyperlink w:anchor="_Toc146785821" w:history="1">
        <w:r w:rsidR="006F25E0" w:rsidRPr="00527EBC">
          <w:rPr>
            <w:rStyle w:val="Hipercze"/>
          </w:rPr>
          <w:t>2.</w:t>
        </w:r>
        <w:r w:rsidR="006F25E0">
          <w:rPr>
            <w:rFonts w:asciiTheme="minorHAnsi" w:eastAsiaTheme="minorEastAsia" w:hAnsiTheme="minorHAnsi" w:cstheme="minorBidi"/>
          </w:rPr>
          <w:tab/>
        </w:r>
        <w:r w:rsidR="006F25E0" w:rsidRPr="00527EBC">
          <w:rPr>
            <w:rStyle w:val="Hipercze"/>
          </w:rPr>
          <w:t>Ocena ex-ante Programu</w:t>
        </w:r>
        <w:r w:rsidR="006F25E0">
          <w:rPr>
            <w:webHidden/>
          </w:rPr>
          <w:tab/>
        </w:r>
        <w:r w:rsidR="006F25E0">
          <w:rPr>
            <w:webHidden/>
          </w:rPr>
          <w:fldChar w:fldCharType="begin"/>
        </w:r>
        <w:r w:rsidR="006F25E0">
          <w:rPr>
            <w:webHidden/>
          </w:rPr>
          <w:instrText xml:space="preserve"> PAGEREF _Toc146785821 \h </w:instrText>
        </w:r>
        <w:r w:rsidR="006F25E0">
          <w:rPr>
            <w:webHidden/>
          </w:rPr>
        </w:r>
        <w:r w:rsidR="006F25E0">
          <w:rPr>
            <w:webHidden/>
          </w:rPr>
          <w:fldChar w:fldCharType="separate"/>
        </w:r>
        <w:r w:rsidR="007403DE">
          <w:rPr>
            <w:webHidden/>
          </w:rPr>
          <w:t>350</w:t>
        </w:r>
        <w:r w:rsidR="006F25E0">
          <w:rPr>
            <w:webHidden/>
          </w:rPr>
          <w:fldChar w:fldCharType="end"/>
        </w:r>
      </w:hyperlink>
    </w:p>
    <w:p w14:paraId="2BC1518B" w14:textId="38B29168" w:rsidR="000C47FA" w:rsidRPr="006F4FD2" w:rsidRDefault="000C47FA" w:rsidP="0022791E">
      <w:pPr>
        <w:spacing w:line="276" w:lineRule="auto"/>
        <w:jc w:val="both"/>
        <w:rPr>
          <w:rFonts w:ascii="Arial" w:hAnsi="Arial" w:cs="Arial"/>
          <w:b/>
          <w:sz w:val="22"/>
          <w:szCs w:val="22"/>
        </w:rPr>
      </w:pPr>
      <w:r w:rsidRPr="006F4FD2">
        <w:rPr>
          <w:rFonts w:ascii="Arial" w:hAnsi="Arial" w:cs="Arial"/>
          <w:b/>
          <w:sz w:val="22"/>
          <w:szCs w:val="22"/>
        </w:rPr>
        <w:fldChar w:fldCharType="end"/>
      </w:r>
      <w:bookmarkEnd w:id="3"/>
      <w:r w:rsidRPr="006F4FD2">
        <w:rPr>
          <w:rFonts w:ascii="Arial" w:hAnsi="Arial" w:cs="Arial"/>
          <w:b/>
          <w:sz w:val="22"/>
          <w:szCs w:val="22"/>
        </w:rPr>
        <w:br w:type="page"/>
      </w:r>
    </w:p>
    <w:p w14:paraId="32620BFA" w14:textId="3B3D3869" w:rsidR="007136F6" w:rsidRPr="00544943" w:rsidRDefault="007136F6" w:rsidP="00241AE7">
      <w:pPr>
        <w:pStyle w:val="Nagwek1"/>
        <w:spacing w:after="0"/>
        <w:rPr>
          <w:rFonts w:cs="Arial"/>
          <w:b/>
          <w:color w:val="000000" w:themeColor="text1"/>
          <w:sz w:val="26"/>
        </w:rPr>
      </w:pPr>
      <w:bookmarkStart w:id="4" w:name="_Toc100335052"/>
      <w:bookmarkStart w:id="5" w:name="_Toc146785776"/>
      <w:r w:rsidRPr="006F4FD2">
        <w:rPr>
          <w:rFonts w:cs="Arial"/>
          <w:b/>
          <w:sz w:val="26"/>
        </w:rPr>
        <w:lastRenderedPageBreak/>
        <w:t>W</w:t>
      </w:r>
      <w:r w:rsidRPr="00544943">
        <w:rPr>
          <w:rFonts w:cs="Arial"/>
          <w:b/>
          <w:color w:val="000000" w:themeColor="text1"/>
          <w:sz w:val="26"/>
        </w:rPr>
        <w:t>ykaz skrótów</w:t>
      </w:r>
      <w:bookmarkEnd w:id="4"/>
      <w:bookmarkEnd w:id="5"/>
      <w:r w:rsidR="00A77A9E" w:rsidRPr="00544943">
        <w:rPr>
          <w:rFonts w:cs="Arial"/>
          <w:b/>
          <w:color w:val="000000" w:themeColor="text1"/>
          <w:sz w:val="26"/>
        </w:rPr>
        <w:t xml:space="preserve"> </w:t>
      </w:r>
    </w:p>
    <w:tbl>
      <w:tblPr>
        <w:tblStyle w:val="Tabela-Siatka"/>
        <w:tblW w:w="5000" w:type="pct"/>
        <w:jc w:val="center"/>
        <w:tblLayout w:type="fixed"/>
        <w:tblLook w:val="04A0" w:firstRow="1" w:lastRow="0" w:firstColumn="1" w:lastColumn="0" w:noHBand="0" w:noVBand="1"/>
        <w:tblCaption w:val="Wykaz skrótów"/>
        <w:tblDescription w:val="Tabela zawiera Skrót, Pełna nazwa skrótu"/>
      </w:tblPr>
      <w:tblGrid>
        <w:gridCol w:w="1696"/>
        <w:gridCol w:w="7366"/>
      </w:tblGrid>
      <w:tr w:rsidR="00BD10CD" w:rsidRPr="00544943" w14:paraId="10BBCD48" w14:textId="77777777" w:rsidTr="00BD10CD">
        <w:trPr>
          <w:tblHeader/>
          <w:jc w:val="center"/>
        </w:trPr>
        <w:tc>
          <w:tcPr>
            <w:tcW w:w="936" w:type="pct"/>
            <w:vAlign w:val="center"/>
          </w:tcPr>
          <w:p w14:paraId="3BDAC7BD" w14:textId="0FBEF7AF" w:rsidR="00BD10CD" w:rsidRPr="00544943" w:rsidRDefault="00BD10CD" w:rsidP="00446E0C">
            <w:pPr>
              <w:autoSpaceDE w:val="0"/>
              <w:autoSpaceDN w:val="0"/>
              <w:adjustRightInd w:val="0"/>
              <w:spacing w:beforeLines="20" w:before="48" w:afterLines="20" w:after="48"/>
              <w:ind w:firstLine="7"/>
              <w:rPr>
                <w:rFonts w:ascii="Arial" w:hAnsi="Arial" w:cs="Arial"/>
                <w:color w:val="000000" w:themeColor="text1"/>
                <w:sz w:val="22"/>
                <w:szCs w:val="22"/>
              </w:rPr>
            </w:pPr>
            <w:r>
              <w:rPr>
                <w:rFonts w:ascii="Arial" w:hAnsi="Arial" w:cs="Arial"/>
                <w:color w:val="000000" w:themeColor="text1"/>
                <w:sz w:val="22"/>
                <w:szCs w:val="22"/>
              </w:rPr>
              <w:t>Skrót</w:t>
            </w:r>
          </w:p>
        </w:tc>
        <w:tc>
          <w:tcPr>
            <w:tcW w:w="4064" w:type="pct"/>
            <w:vAlign w:val="center"/>
          </w:tcPr>
          <w:p w14:paraId="532D6D02" w14:textId="63919689" w:rsidR="00BD10CD" w:rsidRPr="00544943" w:rsidRDefault="00BD10CD" w:rsidP="00446E0C">
            <w:pPr>
              <w:autoSpaceDE w:val="0"/>
              <w:autoSpaceDN w:val="0"/>
              <w:adjustRightInd w:val="0"/>
              <w:spacing w:beforeLines="20" w:before="48" w:afterLines="20" w:after="48"/>
              <w:ind w:firstLine="7"/>
              <w:rPr>
                <w:rFonts w:ascii="Arial" w:hAnsi="Arial" w:cs="Arial"/>
                <w:color w:val="000000" w:themeColor="text1"/>
                <w:sz w:val="22"/>
                <w:szCs w:val="22"/>
              </w:rPr>
            </w:pPr>
            <w:r>
              <w:rPr>
                <w:rFonts w:ascii="Arial" w:hAnsi="Arial" w:cs="Arial"/>
                <w:color w:val="000000" w:themeColor="text1"/>
                <w:sz w:val="22"/>
                <w:szCs w:val="22"/>
              </w:rPr>
              <w:t>Pełna nazwa skrótu</w:t>
            </w:r>
          </w:p>
        </w:tc>
      </w:tr>
      <w:tr w:rsidR="00984D81" w:rsidRPr="00544943" w14:paraId="7C0CE3DA" w14:textId="77777777" w:rsidTr="00484C3B">
        <w:trPr>
          <w:jc w:val="center"/>
        </w:trPr>
        <w:tc>
          <w:tcPr>
            <w:tcW w:w="936" w:type="pct"/>
            <w:vAlign w:val="center"/>
          </w:tcPr>
          <w:p w14:paraId="6876CD89" w14:textId="08B81A7B"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BF</w:t>
            </w:r>
          </w:p>
        </w:tc>
        <w:tc>
          <w:tcPr>
            <w:tcW w:w="4064" w:type="pct"/>
            <w:vAlign w:val="center"/>
          </w:tcPr>
          <w:p w14:paraId="4A175461" w14:textId="3EAD2BB3"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Departament Budżetu i Finansów</w:t>
            </w:r>
          </w:p>
        </w:tc>
      </w:tr>
      <w:tr w:rsidR="00984D81" w:rsidRPr="00544943" w14:paraId="50D07531" w14:textId="77777777" w:rsidTr="00484C3B">
        <w:trPr>
          <w:jc w:val="center"/>
        </w:trPr>
        <w:tc>
          <w:tcPr>
            <w:tcW w:w="936" w:type="pct"/>
            <w:vAlign w:val="center"/>
          </w:tcPr>
          <w:p w14:paraId="19B4940D" w14:textId="22C14DA1"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CEPiK</w:t>
            </w:r>
          </w:p>
        </w:tc>
        <w:tc>
          <w:tcPr>
            <w:tcW w:w="4064" w:type="pct"/>
            <w:vAlign w:val="center"/>
          </w:tcPr>
          <w:p w14:paraId="349EF2AC" w14:textId="147256CF"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Centralna Ewidencja Pojazdów i Kierowców</w:t>
            </w:r>
          </w:p>
        </w:tc>
      </w:tr>
      <w:tr w:rsidR="00984D81" w:rsidRPr="00544943" w14:paraId="08A7F65B" w14:textId="77777777" w:rsidTr="00484C3B">
        <w:trPr>
          <w:jc w:val="center"/>
        </w:trPr>
        <w:tc>
          <w:tcPr>
            <w:tcW w:w="936" w:type="pct"/>
            <w:vAlign w:val="center"/>
          </w:tcPr>
          <w:p w14:paraId="0AB1DA33" w14:textId="0167F9F6"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CPK</w:t>
            </w:r>
          </w:p>
        </w:tc>
        <w:tc>
          <w:tcPr>
            <w:tcW w:w="4064" w:type="pct"/>
            <w:vAlign w:val="center"/>
          </w:tcPr>
          <w:p w14:paraId="158E2180" w14:textId="70EE2F37"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Centralny Port Komunikacyjny</w:t>
            </w:r>
          </w:p>
        </w:tc>
      </w:tr>
      <w:tr w:rsidR="00984D81" w:rsidRPr="00544943" w14:paraId="35983F0D" w14:textId="77777777" w:rsidTr="00484C3B">
        <w:trPr>
          <w:jc w:val="center"/>
        </w:trPr>
        <w:tc>
          <w:tcPr>
            <w:tcW w:w="936" w:type="pct"/>
            <w:vAlign w:val="center"/>
          </w:tcPr>
          <w:p w14:paraId="5078D5A3" w14:textId="3B927EBD"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CUPT</w:t>
            </w:r>
          </w:p>
        </w:tc>
        <w:tc>
          <w:tcPr>
            <w:tcW w:w="4064" w:type="pct"/>
            <w:vAlign w:val="center"/>
          </w:tcPr>
          <w:p w14:paraId="2EA2C625" w14:textId="039AAAAB"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Centrum Unijnych Projektów Transportowych</w:t>
            </w:r>
          </w:p>
        </w:tc>
      </w:tr>
      <w:tr w:rsidR="00984D81" w:rsidRPr="00544943" w14:paraId="1C5E69EE" w14:textId="77777777" w:rsidTr="00484C3B">
        <w:trPr>
          <w:jc w:val="center"/>
        </w:trPr>
        <w:tc>
          <w:tcPr>
            <w:tcW w:w="936" w:type="pct"/>
            <w:vAlign w:val="center"/>
          </w:tcPr>
          <w:p w14:paraId="51325C83" w14:textId="0A889A60" w:rsidR="00984D81" w:rsidRPr="00544943" w:rsidRDefault="00984D81" w:rsidP="003653EA">
            <w:pPr>
              <w:autoSpaceDE w:val="0"/>
              <w:autoSpaceDN w:val="0"/>
              <w:adjustRightInd w:val="0"/>
              <w:spacing w:beforeLines="20" w:before="48" w:afterLines="20" w:after="48"/>
              <w:rPr>
                <w:rFonts w:ascii="Arial" w:hAnsi="Arial" w:cs="Arial"/>
                <w:color w:val="000000" w:themeColor="text1"/>
                <w:sz w:val="22"/>
                <w:szCs w:val="22"/>
              </w:rPr>
            </w:pPr>
            <w:r w:rsidRPr="00544943">
              <w:rPr>
                <w:rFonts w:ascii="Arial" w:hAnsi="Arial" w:cs="Arial"/>
                <w:color w:val="000000" w:themeColor="text1"/>
                <w:sz w:val="22"/>
                <w:szCs w:val="22"/>
              </w:rPr>
              <w:t>DI</w:t>
            </w:r>
            <w:r w:rsidR="003653EA">
              <w:t xml:space="preserve"> </w:t>
            </w:r>
          </w:p>
        </w:tc>
        <w:tc>
          <w:tcPr>
            <w:tcW w:w="4064" w:type="pct"/>
            <w:vAlign w:val="center"/>
          </w:tcPr>
          <w:p w14:paraId="2CB7A5BF" w14:textId="5F9226C1" w:rsidR="00984D81" w:rsidRPr="00544943" w:rsidRDefault="00984D81" w:rsidP="00446E0C">
            <w:pPr>
              <w:autoSpaceDE w:val="0"/>
              <w:autoSpaceDN w:val="0"/>
              <w:adjustRightInd w:val="0"/>
              <w:spacing w:beforeLines="20" w:before="48" w:afterLines="20" w:after="48"/>
              <w:rPr>
                <w:rFonts w:ascii="Arial" w:hAnsi="Arial" w:cs="Arial"/>
                <w:color w:val="000000" w:themeColor="text1"/>
                <w:sz w:val="22"/>
                <w:szCs w:val="22"/>
              </w:rPr>
            </w:pPr>
            <w:r w:rsidRPr="00544943">
              <w:rPr>
                <w:rFonts w:ascii="Arial" w:hAnsi="Arial" w:cs="Arial"/>
                <w:color w:val="000000" w:themeColor="text1"/>
                <w:sz w:val="22"/>
                <w:szCs w:val="22"/>
              </w:rPr>
              <w:t>Dokument Implementacyjny do Strategii Rozwoju Transportu do 2020 r. (z perspektywą do 2030 r.)</w:t>
            </w:r>
          </w:p>
        </w:tc>
      </w:tr>
      <w:tr w:rsidR="00984D81" w:rsidRPr="00544943" w14:paraId="7A8F1ED9" w14:textId="77777777" w:rsidTr="00484C3B">
        <w:trPr>
          <w:jc w:val="center"/>
        </w:trPr>
        <w:tc>
          <w:tcPr>
            <w:tcW w:w="936" w:type="pct"/>
            <w:vAlign w:val="center"/>
          </w:tcPr>
          <w:p w14:paraId="5D9356BF" w14:textId="33FACB3C"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DK</w:t>
            </w:r>
          </w:p>
        </w:tc>
        <w:tc>
          <w:tcPr>
            <w:tcW w:w="4064" w:type="pct"/>
            <w:vAlign w:val="center"/>
          </w:tcPr>
          <w:p w14:paraId="6D128542" w14:textId="04E5A2A4"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Droga Krajowa</w:t>
            </w:r>
          </w:p>
        </w:tc>
      </w:tr>
      <w:tr w:rsidR="00984D81" w:rsidRPr="00544943" w14:paraId="7FE5E084" w14:textId="77777777" w:rsidTr="00484C3B">
        <w:trPr>
          <w:jc w:val="center"/>
        </w:trPr>
        <w:tc>
          <w:tcPr>
            <w:tcW w:w="936" w:type="pct"/>
            <w:vAlign w:val="center"/>
          </w:tcPr>
          <w:p w14:paraId="0F22C5E0" w14:textId="2C11E9EA"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DRR</w:t>
            </w:r>
          </w:p>
        </w:tc>
        <w:tc>
          <w:tcPr>
            <w:tcW w:w="4064" w:type="pct"/>
            <w:vAlign w:val="center"/>
          </w:tcPr>
          <w:p w14:paraId="5F9F5DFF" w14:textId="72C31DA2" w:rsidR="00984D81" w:rsidRPr="00544943" w:rsidRDefault="00484C3B" w:rsidP="00446E0C">
            <w:pPr>
              <w:autoSpaceDE w:val="0"/>
              <w:autoSpaceDN w:val="0"/>
              <w:adjustRightInd w:val="0"/>
              <w:spacing w:beforeLines="20" w:before="48" w:afterLines="20" w:after="48"/>
              <w:rPr>
                <w:rFonts w:ascii="Arial" w:hAnsi="Arial" w:cs="Arial"/>
                <w:color w:val="000000" w:themeColor="text1"/>
                <w:sz w:val="22"/>
                <w:szCs w:val="22"/>
              </w:rPr>
            </w:pPr>
            <w:r w:rsidRPr="00544943">
              <w:rPr>
                <w:rFonts w:ascii="Arial" w:hAnsi="Arial" w:cs="Arial"/>
                <w:color w:val="000000" w:themeColor="text1"/>
                <w:sz w:val="22"/>
                <w:szCs w:val="22"/>
              </w:rPr>
              <w:t>Departament Rozwoju Regionalnego</w:t>
            </w:r>
          </w:p>
        </w:tc>
      </w:tr>
      <w:tr w:rsidR="00984D81" w:rsidRPr="00544943" w14:paraId="14BC4163" w14:textId="77777777" w:rsidTr="00484C3B">
        <w:trPr>
          <w:jc w:val="center"/>
        </w:trPr>
        <w:tc>
          <w:tcPr>
            <w:tcW w:w="936" w:type="pct"/>
            <w:vAlign w:val="center"/>
          </w:tcPr>
          <w:p w14:paraId="65303711" w14:textId="6FA1FB16"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DT</w:t>
            </w:r>
          </w:p>
        </w:tc>
        <w:tc>
          <w:tcPr>
            <w:tcW w:w="4064" w:type="pct"/>
            <w:vAlign w:val="center"/>
          </w:tcPr>
          <w:p w14:paraId="30E322D6" w14:textId="32C9272F"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Departament Dróg i Publicznego Transportu Zbiorowego</w:t>
            </w:r>
          </w:p>
        </w:tc>
      </w:tr>
      <w:tr w:rsidR="00984D81" w:rsidRPr="00544943" w14:paraId="57DD30FE" w14:textId="77777777" w:rsidTr="00484C3B">
        <w:trPr>
          <w:jc w:val="center"/>
        </w:trPr>
        <w:tc>
          <w:tcPr>
            <w:tcW w:w="936" w:type="pct"/>
            <w:vAlign w:val="center"/>
          </w:tcPr>
          <w:p w14:paraId="51A0B5B0" w14:textId="5CD21C75"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DW</w:t>
            </w:r>
          </w:p>
        </w:tc>
        <w:tc>
          <w:tcPr>
            <w:tcW w:w="4064" w:type="pct"/>
            <w:vAlign w:val="center"/>
          </w:tcPr>
          <w:p w14:paraId="7B2F1247" w14:textId="69F10918"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Droga Wojewódzka</w:t>
            </w:r>
          </w:p>
        </w:tc>
      </w:tr>
      <w:tr w:rsidR="00984D81" w:rsidRPr="00544943" w14:paraId="50CA05FC" w14:textId="77777777" w:rsidTr="00484C3B">
        <w:trPr>
          <w:jc w:val="center"/>
        </w:trPr>
        <w:tc>
          <w:tcPr>
            <w:tcW w:w="936" w:type="pct"/>
            <w:vAlign w:val="center"/>
          </w:tcPr>
          <w:p w14:paraId="13396FC3" w14:textId="51632D9D"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EFRR</w:t>
            </w:r>
          </w:p>
        </w:tc>
        <w:tc>
          <w:tcPr>
            <w:tcW w:w="4064" w:type="pct"/>
            <w:vAlign w:val="center"/>
          </w:tcPr>
          <w:p w14:paraId="15253E0C" w14:textId="5EF6C172"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Europejski Fundusz Rozwoju Regionalnego</w:t>
            </w:r>
          </w:p>
        </w:tc>
      </w:tr>
      <w:tr w:rsidR="00984D81" w:rsidRPr="00544943" w14:paraId="611C8BCB" w14:textId="77777777" w:rsidTr="00484C3B">
        <w:trPr>
          <w:jc w:val="center"/>
        </w:trPr>
        <w:tc>
          <w:tcPr>
            <w:tcW w:w="936" w:type="pct"/>
            <w:vAlign w:val="center"/>
          </w:tcPr>
          <w:p w14:paraId="016FA339" w14:textId="77E9C026"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EIPA</w:t>
            </w:r>
          </w:p>
        </w:tc>
        <w:tc>
          <w:tcPr>
            <w:tcW w:w="4064" w:type="pct"/>
            <w:vAlign w:val="center"/>
          </w:tcPr>
          <w:p w14:paraId="2C30A451" w14:textId="6D427599"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Ewidencja Infrastruktury Paliw Alternatywnych</w:t>
            </w:r>
          </w:p>
        </w:tc>
      </w:tr>
      <w:tr w:rsidR="00984D81" w:rsidRPr="00544943" w14:paraId="4FF8F3AE" w14:textId="77777777" w:rsidTr="00484C3B">
        <w:trPr>
          <w:jc w:val="center"/>
        </w:trPr>
        <w:tc>
          <w:tcPr>
            <w:tcW w:w="936" w:type="pct"/>
            <w:vAlign w:val="center"/>
          </w:tcPr>
          <w:p w14:paraId="434ACEBF" w14:textId="76AAFE98"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EUROPA 2020</w:t>
            </w:r>
          </w:p>
        </w:tc>
        <w:tc>
          <w:tcPr>
            <w:tcW w:w="4064" w:type="pct"/>
            <w:vAlign w:val="center"/>
          </w:tcPr>
          <w:p w14:paraId="71547427" w14:textId="29A66B1D"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Strategia „Europa 2020”. Aktualizacja 2019/2020</w:t>
            </w:r>
          </w:p>
        </w:tc>
      </w:tr>
      <w:tr w:rsidR="00984D81" w:rsidRPr="00544943" w14:paraId="20A0BB05" w14:textId="77777777" w:rsidTr="00484C3B">
        <w:trPr>
          <w:jc w:val="center"/>
        </w:trPr>
        <w:tc>
          <w:tcPr>
            <w:tcW w:w="936" w:type="pct"/>
            <w:vAlign w:val="center"/>
          </w:tcPr>
          <w:p w14:paraId="61EFD139" w14:textId="603F2E73"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FS</w:t>
            </w:r>
          </w:p>
        </w:tc>
        <w:tc>
          <w:tcPr>
            <w:tcW w:w="4064" w:type="pct"/>
            <w:vAlign w:val="center"/>
          </w:tcPr>
          <w:p w14:paraId="1CA92943" w14:textId="70680D2D"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Fundusz Spójności</w:t>
            </w:r>
          </w:p>
        </w:tc>
      </w:tr>
      <w:tr w:rsidR="00984D81" w:rsidRPr="00544943" w14:paraId="3DEF4AA8" w14:textId="77777777" w:rsidTr="00484C3B">
        <w:trPr>
          <w:trHeight w:val="294"/>
          <w:jc w:val="center"/>
        </w:trPr>
        <w:tc>
          <w:tcPr>
            <w:tcW w:w="936" w:type="pct"/>
            <w:vAlign w:val="center"/>
          </w:tcPr>
          <w:p w14:paraId="03B592BD" w14:textId="2CE2DF3F"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FEnIKS</w:t>
            </w:r>
          </w:p>
        </w:tc>
        <w:tc>
          <w:tcPr>
            <w:tcW w:w="4064" w:type="pct"/>
            <w:vAlign w:val="center"/>
          </w:tcPr>
          <w:p w14:paraId="513373D3" w14:textId="01790271"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Fundusze Europejskie na Infrastrukturę, Klimat, Środowisko 2021-2027</w:t>
            </w:r>
          </w:p>
        </w:tc>
      </w:tr>
      <w:tr w:rsidR="00984D81" w:rsidRPr="00544943" w14:paraId="1C8B0E84" w14:textId="77777777" w:rsidTr="00484C3B">
        <w:trPr>
          <w:jc w:val="center"/>
        </w:trPr>
        <w:tc>
          <w:tcPr>
            <w:tcW w:w="936" w:type="pct"/>
            <w:vAlign w:val="center"/>
          </w:tcPr>
          <w:p w14:paraId="72D83029" w14:textId="0570AF0E"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FEP</w:t>
            </w:r>
          </w:p>
        </w:tc>
        <w:tc>
          <w:tcPr>
            <w:tcW w:w="4064" w:type="pct"/>
            <w:vAlign w:val="center"/>
          </w:tcPr>
          <w:p w14:paraId="200FE32E" w14:textId="2396E786"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Fundusze Europejskie dla Podkarpacia 2021-2027</w:t>
            </w:r>
          </w:p>
        </w:tc>
      </w:tr>
      <w:tr w:rsidR="00984D81" w:rsidRPr="00544943" w14:paraId="4D90308B" w14:textId="77777777" w:rsidTr="00484C3B">
        <w:trPr>
          <w:jc w:val="center"/>
        </w:trPr>
        <w:tc>
          <w:tcPr>
            <w:tcW w:w="936" w:type="pct"/>
            <w:vAlign w:val="center"/>
          </w:tcPr>
          <w:p w14:paraId="603AAB9F" w14:textId="1E5A4412"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FEPW</w:t>
            </w:r>
          </w:p>
        </w:tc>
        <w:tc>
          <w:tcPr>
            <w:tcW w:w="4064" w:type="pct"/>
            <w:vAlign w:val="center"/>
          </w:tcPr>
          <w:p w14:paraId="1DB89747" w14:textId="5BB54094"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bookmarkStart w:id="6" w:name="_Hlk90291271"/>
            <w:r w:rsidRPr="00544943">
              <w:rPr>
                <w:rFonts w:ascii="Arial" w:hAnsi="Arial" w:cs="Arial"/>
                <w:color w:val="000000" w:themeColor="text1"/>
                <w:sz w:val="22"/>
                <w:szCs w:val="22"/>
              </w:rPr>
              <w:t>Fundusze Europejskie dla Polski Wschodniej 2021-2027</w:t>
            </w:r>
            <w:bookmarkEnd w:id="6"/>
          </w:p>
        </w:tc>
      </w:tr>
      <w:tr w:rsidR="00984D81" w:rsidRPr="00544943" w14:paraId="23507291" w14:textId="77777777" w:rsidTr="00484C3B">
        <w:trPr>
          <w:jc w:val="center"/>
        </w:trPr>
        <w:tc>
          <w:tcPr>
            <w:tcW w:w="936" w:type="pct"/>
            <w:vAlign w:val="center"/>
          </w:tcPr>
          <w:p w14:paraId="5C8820B6" w14:textId="6AA7A0BA"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GA</w:t>
            </w:r>
          </w:p>
        </w:tc>
        <w:tc>
          <w:tcPr>
            <w:tcW w:w="4064" w:type="pct"/>
            <w:vAlign w:val="center"/>
          </w:tcPr>
          <w:p w14:paraId="2FA335B7" w14:textId="470B4725"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General Aviation (Lotnictwo ogólne) – obejmuje każde lotnictwo za wyjątkiem wojskowego, regularnych połączeń lotniczych, taksówek powietrznych (air taxi) oraz czarterów</w:t>
            </w:r>
          </w:p>
        </w:tc>
      </w:tr>
      <w:tr w:rsidR="00984D81" w:rsidRPr="00544943" w14:paraId="41F3C28B" w14:textId="77777777" w:rsidTr="00484C3B">
        <w:trPr>
          <w:jc w:val="center"/>
        </w:trPr>
        <w:tc>
          <w:tcPr>
            <w:tcW w:w="936" w:type="pct"/>
            <w:vAlign w:val="center"/>
          </w:tcPr>
          <w:p w14:paraId="753BBC06" w14:textId="09D82261"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GDDKiA</w:t>
            </w:r>
          </w:p>
        </w:tc>
        <w:tc>
          <w:tcPr>
            <w:tcW w:w="4064" w:type="pct"/>
            <w:vAlign w:val="center"/>
          </w:tcPr>
          <w:p w14:paraId="6047EA48" w14:textId="16B5215F"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Generalna Dyrekcja Dróg Krajowych i Autostrad</w:t>
            </w:r>
          </w:p>
        </w:tc>
      </w:tr>
      <w:tr w:rsidR="00984D81" w:rsidRPr="00544943" w14:paraId="72BBBD6E" w14:textId="77777777" w:rsidTr="00484C3B">
        <w:trPr>
          <w:jc w:val="center"/>
        </w:trPr>
        <w:tc>
          <w:tcPr>
            <w:tcW w:w="936" w:type="pct"/>
            <w:vAlign w:val="center"/>
          </w:tcPr>
          <w:p w14:paraId="68F32BDD" w14:textId="30FD6C5B"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GOP</w:t>
            </w:r>
          </w:p>
        </w:tc>
        <w:tc>
          <w:tcPr>
            <w:tcW w:w="4064" w:type="pct"/>
            <w:vAlign w:val="center"/>
          </w:tcPr>
          <w:p w14:paraId="3F7B2809" w14:textId="3DCE0590"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Górnośląski Okręg Przemysłowy</w:t>
            </w:r>
          </w:p>
        </w:tc>
      </w:tr>
      <w:tr w:rsidR="00984D81" w:rsidRPr="00544943" w14:paraId="67F12506" w14:textId="77777777" w:rsidTr="00484C3B">
        <w:trPr>
          <w:jc w:val="center"/>
        </w:trPr>
        <w:tc>
          <w:tcPr>
            <w:tcW w:w="936" w:type="pct"/>
            <w:vAlign w:val="center"/>
          </w:tcPr>
          <w:p w14:paraId="53B2F098" w14:textId="27FB7526"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GPR</w:t>
            </w:r>
          </w:p>
        </w:tc>
        <w:tc>
          <w:tcPr>
            <w:tcW w:w="4064" w:type="pct"/>
            <w:vAlign w:val="center"/>
          </w:tcPr>
          <w:p w14:paraId="7D816448" w14:textId="1A5F6838"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Generalny Pomiar Ruchu</w:t>
            </w:r>
          </w:p>
        </w:tc>
      </w:tr>
      <w:tr w:rsidR="00984D81" w:rsidRPr="00544943" w14:paraId="04C8F48C" w14:textId="77777777" w:rsidTr="00484C3B">
        <w:trPr>
          <w:jc w:val="center"/>
        </w:trPr>
        <w:tc>
          <w:tcPr>
            <w:tcW w:w="936" w:type="pct"/>
            <w:vAlign w:val="center"/>
          </w:tcPr>
          <w:p w14:paraId="23A35D7A" w14:textId="7FDD0590"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GUS</w:t>
            </w:r>
          </w:p>
        </w:tc>
        <w:tc>
          <w:tcPr>
            <w:tcW w:w="4064" w:type="pct"/>
            <w:vAlign w:val="center"/>
          </w:tcPr>
          <w:p w14:paraId="275F0ED6" w14:textId="707514A7"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Główny Urząd Statystyczny</w:t>
            </w:r>
          </w:p>
        </w:tc>
      </w:tr>
      <w:tr w:rsidR="00984D81" w:rsidRPr="00544943" w14:paraId="2120D2E4" w14:textId="77777777" w:rsidTr="00484C3B">
        <w:trPr>
          <w:jc w:val="center"/>
        </w:trPr>
        <w:tc>
          <w:tcPr>
            <w:tcW w:w="936" w:type="pct"/>
            <w:vAlign w:val="center"/>
          </w:tcPr>
          <w:p w14:paraId="0B3399E9" w14:textId="645AD876"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GUS BDL</w:t>
            </w:r>
          </w:p>
        </w:tc>
        <w:tc>
          <w:tcPr>
            <w:tcW w:w="4064" w:type="pct"/>
            <w:vAlign w:val="center"/>
          </w:tcPr>
          <w:p w14:paraId="2C5A594E" w14:textId="56A6470C"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Główny Urząd Statystyczny Bank Danych Lokalnych</w:t>
            </w:r>
          </w:p>
        </w:tc>
      </w:tr>
      <w:tr w:rsidR="00984D81" w:rsidRPr="00544943" w14:paraId="5BDF2A23" w14:textId="77777777" w:rsidTr="00484C3B">
        <w:trPr>
          <w:jc w:val="center"/>
        </w:trPr>
        <w:tc>
          <w:tcPr>
            <w:tcW w:w="936" w:type="pct"/>
            <w:vAlign w:val="center"/>
          </w:tcPr>
          <w:p w14:paraId="1849D26D" w14:textId="37E5EC9B" w:rsidR="00984D81" w:rsidRPr="00544943" w:rsidRDefault="00984D81" w:rsidP="00446E0C">
            <w:pPr>
              <w:autoSpaceDE w:val="0"/>
              <w:autoSpaceDN w:val="0"/>
              <w:adjustRightInd w:val="0"/>
              <w:spacing w:beforeLines="20" w:before="48" w:afterLines="20" w:after="48"/>
              <w:rPr>
                <w:rFonts w:ascii="Arial" w:hAnsi="Arial" w:cs="Arial"/>
                <w:color w:val="000000" w:themeColor="text1"/>
                <w:sz w:val="22"/>
                <w:szCs w:val="22"/>
              </w:rPr>
            </w:pPr>
            <w:r w:rsidRPr="00544943">
              <w:rPr>
                <w:rFonts w:ascii="Arial" w:hAnsi="Arial" w:cs="Arial"/>
                <w:color w:val="000000" w:themeColor="text1"/>
                <w:sz w:val="22"/>
                <w:szCs w:val="22"/>
              </w:rPr>
              <w:t>ILS</w:t>
            </w:r>
            <w:r w:rsidR="00446E0C">
              <w:t xml:space="preserve"> </w:t>
            </w:r>
          </w:p>
        </w:tc>
        <w:tc>
          <w:tcPr>
            <w:tcW w:w="4064" w:type="pct"/>
            <w:vAlign w:val="center"/>
          </w:tcPr>
          <w:p w14:paraId="0347283C" w14:textId="04DD420A" w:rsidR="00984D81" w:rsidRPr="00544943" w:rsidRDefault="00446E0C" w:rsidP="00446E0C">
            <w:pPr>
              <w:autoSpaceDE w:val="0"/>
              <w:autoSpaceDN w:val="0"/>
              <w:adjustRightInd w:val="0"/>
              <w:spacing w:beforeLines="20" w:before="48" w:afterLines="20" w:after="48"/>
              <w:rPr>
                <w:rFonts w:ascii="Arial" w:hAnsi="Arial" w:cs="Arial"/>
                <w:color w:val="000000" w:themeColor="text1"/>
                <w:sz w:val="22"/>
                <w:szCs w:val="22"/>
              </w:rPr>
            </w:pPr>
            <w:r w:rsidRPr="00446E0C">
              <w:rPr>
                <w:rFonts w:ascii="Arial" w:hAnsi="Arial" w:cs="Arial"/>
                <w:color w:val="000000" w:themeColor="text1"/>
                <w:sz w:val="22"/>
                <w:szCs w:val="22"/>
              </w:rPr>
              <w:t>Instrument landing system</w:t>
            </w:r>
            <w:r w:rsidRPr="00544943">
              <w:rPr>
                <w:rFonts w:ascii="Arial" w:hAnsi="Arial" w:cs="Arial"/>
                <w:color w:val="000000" w:themeColor="text1"/>
                <w:sz w:val="22"/>
                <w:szCs w:val="22"/>
              </w:rPr>
              <w:t xml:space="preserve"> </w:t>
            </w:r>
            <w:r w:rsidR="00984D81" w:rsidRPr="00544943">
              <w:rPr>
                <w:rFonts w:ascii="Arial" w:hAnsi="Arial" w:cs="Arial"/>
                <w:color w:val="000000" w:themeColor="text1"/>
                <w:sz w:val="22"/>
                <w:szCs w:val="22"/>
              </w:rPr>
              <w:t>– radiowy system nawigacyjny wspomagający lądowanie samolotu w warunkach ograniczonej widoczności</w:t>
            </w:r>
          </w:p>
        </w:tc>
      </w:tr>
      <w:tr w:rsidR="00984D81" w:rsidRPr="00544943" w14:paraId="5B0BBBEC" w14:textId="77777777" w:rsidTr="00484C3B">
        <w:trPr>
          <w:jc w:val="center"/>
        </w:trPr>
        <w:tc>
          <w:tcPr>
            <w:tcW w:w="936" w:type="pct"/>
            <w:vAlign w:val="center"/>
          </w:tcPr>
          <w:p w14:paraId="06675541" w14:textId="0209C206"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IST</w:t>
            </w:r>
          </w:p>
        </w:tc>
        <w:tc>
          <w:tcPr>
            <w:tcW w:w="4064" w:type="pct"/>
            <w:vAlign w:val="center"/>
          </w:tcPr>
          <w:p w14:paraId="1B605E3B" w14:textId="6305E08A"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Inteligentny System Transportowy</w:t>
            </w:r>
          </w:p>
        </w:tc>
      </w:tr>
      <w:tr w:rsidR="00984D81" w:rsidRPr="00544943" w14:paraId="50E446BE" w14:textId="77777777" w:rsidTr="00484C3B">
        <w:trPr>
          <w:jc w:val="center"/>
        </w:trPr>
        <w:tc>
          <w:tcPr>
            <w:tcW w:w="936" w:type="pct"/>
            <w:vAlign w:val="center"/>
          </w:tcPr>
          <w:p w14:paraId="05894F62" w14:textId="55398992"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JST</w:t>
            </w:r>
          </w:p>
        </w:tc>
        <w:tc>
          <w:tcPr>
            <w:tcW w:w="4064" w:type="pct"/>
            <w:vAlign w:val="center"/>
          </w:tcPr>
          <w:p w14:paraId="6C35394E" w14:textId="7383EF9D"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Jednostki Samorządu Terytorialnego</w:t>
            </w:r>
          </w:p>
        </w:tc>
      </w:tr>
      <w:tr w:rsidR="00984D81" w:rsidRPr="00544943" w14:paraId="792E3BF3" w14:textId="77777777" w:rsidTr="00484C3B">
        <w:trPr>
          <w:jc w:val="center"/>
        </w:trPr>
        <w:tc>
          <w:tcPr>
            <w:tcW w:w="936" w:type="pct"/>
            <w:vAlign w:val="center"/>
          </w:tcPr>
          <w:p w14:paraId="2B220E1B" w14:textId="31B59B2E"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KE</w:t>
            </w:r>
          </w:p>
        </w:tc>
        <w:tc>
          <w:tcPr>
            <w:tcW w:w="4064" w:type="pct"/>
            <w:vAlign w:val="center"/>
          </w:tcPr>
          <w:p w14:paraId="342B38C9" w14:textId="278C3FF0"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Komisja Europejska</w:t>
            </w:r>
          </w:p>
        </w:tc>
      </w:tr>
      <w:tr w:rsidR="00984D81" w:rsidRPr="00544943" w14:paraId="61092729" w14:textId="77777777" w:rsidTr="00484C3B">
        <w:trPr>
          <w:jc w:val="center"/>
        </w:trPr>
        <w:tc>
          <w:tcPr>
            <w:tcW w:w="936" w:type="pct"/>
            <w:vAlign w:val="center"/>
          </w:tcPr>
          <w:p w14:paraId="65A7A8FE" w14:textId="39E0EF91"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KOBiZE</w:t>
            </w:r>
          </w:p>
        </w:tc>
        <w:tc>
          <w:tcPr>
            <w:tcW w:w="4064" w:type="pct"/>
            <w:vAlign w:val="center"/>
          </w:tcPr>
          <w:p w14:paraId="607AC5F5" w14:textId="4A7DB53A"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Krajowy Ośrodek Bilansowania i Zarządzania Emisjami</w:t>
            </w:r>
          </w:p>
        </w:tc>
      </w:tr>
      <w:tr w:rsidR="00984D81" w:rsidRPr="00544943" w14:paraId="51ABF5B4" w14:textId="77777777" w:rsidTr="00484C3B">
        <w:trPr>
          <w:jc w:val="center"/>
        </w:trPr>
        <w:tc>
          <w:tcPr>
            <w:tcW w:w="936" w:type="pct"/>
            <w:vAlign w:val="center"/>
          </w:tcPr>
          <w:p w14:paraId="7EB16944" w14:textId="0646247E"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KRBRD</w:t>
            </w:r>
          </w:p>
        </w:tc>
        <w:tc>
          <w:tcPr>
            <w:tcW w:w="4064" w:type="pct"/>
            <w:vAlign w:val="center"/>
          </w:tcPr>
          <w:p w14:paraId="373043F6" w14:textId="539E4025"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Krajowa Rada Bezpieczeństwa Ruchu Drogowego</w:t>
            </w:r>
          </w:p>
        </w:tc>
      </w:tr>
      <w:tr w:rsidR="00984D81" w:rsidRPr="00544943" w14:paraId="4302933E" w14:textId="77777777" w:rsidTr="00484C3B">
        <w:trPr>
          <w:jc w:val="center"/>
        </w:trPr>
        <w:tc>
          <w:tcPr>
            <w:tcW w:w="936" w:type="pct"/>
            <w:vAlign w:val="center"/>
          </w:tcPr>
          <w:p w14:paraId="306F614D" w14:textId="3887FB2C"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KSRR</w:t>
            </w:r>
          </w:p>
        </w:tc>
        <w:tc>
          <w:tcPr>
            <w:tcW w:w="4064" w:type="pct"/>
            <w:vAlign w:val="center"/>
          </w:tcPr>
          <w:p w14:paraId="4CFDE337" w14:textId="790FAF9E"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Krajowa Strategia Rozwoju Regionalnego 2030</w:t>
            </w:r>
          </w:p>
        </w:tc>
      </w:tr>
      <w:tr w:rsidR="00984D81" w:rsidRPr="00544943" w14:paraId="6930214E" w14:textId="77777777" w:rsidTr="00484C3B">
        <w:trPr>
          <w:jc w:val="center"/>
        </w:trPr>
        <w:tc>
          <w:tcPr>
            <w:tcW w:w="936" w:type="pct"/>
            <w:vAlign w:val="center"/>
          </w:tcPr>
          <w:p w14:paraId="338214F5" w14:textId="4D3C5CBA"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KWP</w:t>
            </w:r>
          </w:p>
        </w:tc>
        <w:tc>
          <w:tcPr>
            <w:tcW w:w="4064" w:type="pct"/>
            <w:vAlign w:val="center"/>
          </w:tcPr>
          <w:p w14:paraId="54D77854" w14:textId="69D13AFB"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Komenda Wojewódzka Policji</w:t>
            </w:r>
          </w:p>
        </w:tc>
      </w:tr>
      <w:tr w:rsidR="00984D81" w:rsidRPr="00544943" w14:paraId="7594B7FF" w14:textId="77777777" w:rsidTr="00484C3B">
        <w:trPr>
          <w:jc w:val="center"/>
        </w:trPr>
        <w:tc>
          <w:tcPr>
            <w:tcW w:w="936" w:type="pct"/>
            <w:vAlign w:val="center"/>
          </w:tcPr>
          <w:p w14:paraId="3E1AECA4" w14:textId="2AD04B1D"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LHS</w:t>
            </w:r>
          </w:p>
        </w:tc>
        <w:tc>
          <w:tcPr>
            <w:tcW w:w="4064" w:type="pct"/>
            <w:vAlign w:val="center"/>
          </w:tcPr>
          <w:p w14:paraId="3C7BD485" w14:textId="1AD08F52"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Linia Hutnicza Szerokotorowa</w:t>
            </w:r>
          </w:p>
        </w:tc>
      </w:tr>
      <w:tr w:rsidR="00984D81" w:rsidRPr="00544943" w14:paraId="573308EA" w14:textId="77777777" w:rsidTr="00484C3B">
        <w:trPr>
          <w:jc w:val="center"/>
        </w:trPr>
        <w:tc>
          <w:tcPr>
            <w:tcW w:w="936" w:type="pct"/>
            <w:vAlign w:val="center"/>
          </w:tcPr>
          <w:p w14:paraId="3BDE4F94" w14:textId="4EF997BD"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MDW</w:t>
            </w:r>
          </w:p>
        </w:tc>
        <w:tc>
          <w:tcPr>
            <w:tcW w:w="4064" w:type="pct"/>
            <w:vAlign w:val="center"/>
          </w:tcPr>
          <w:p w14:paraId="767A91A9" w14:textId="4E16F1FD"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Międzynarodowa Droga Wodna</w:t>
            </w:r>
          </w:p>
        </w:tc>
      </w:tr>
      <w:tr w:rsidR="00984D81" w:rsidRPr="00544943" w14:paraId="3405A39C" w14:textId="77777777" w:rsidTr="00484C3B">
        <w:trPr>
          <w:jc w:val="center"/>
        </w:trPr>
        <w:tc>
          <w:tcPr>
            <w:tcW w:w="936" w:type="pct"/>
            <w:vAlign w:val="center"/>
          </w:tcPr>
          <w:p w14:paraId="3E8CC98C" w14:textId="51FCE0A2"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MFiPR</w:t>
            </w:r>
          </w:p>
        </w:tc>
        <w:tc>
          <w:tcPr>
            <w:tcW w:w="4064" w:type="pct"/>
            <w:vAlign w:val="center"/>
          </w:tcPr>
          <w:p w14:paraId="5BE9D10C" w14:textId="614E4F66"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Ministerstwo  Funduszy i Polityki Regionalnej</w:t>
            </w:r>
          </w:p>
        </w:tc>
      </w:tr>
      <w:tr w:rsidR="00984D81" w:rsidRPr="00544943" w14:paraId="742B5CF8" w14:textId="77777777" w:rsidTr="00484C3B">
        <w:trPr>
          <w:jc w:val="center"/>
        </w:trPr>
        <w:tc>
          <w:tcPr>
            <w:tcW w:w="936" w:type="pct"/>
            <w:vAlign w:val="center"/>
          </w:tcPr>
          <w:p w14:paraId="7FEF78A9" w14:textId="08F5A1EA"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MOF</w:t>
            </w:r>
          </w:p>
        </w:tc>
        <w:tc>
          <w:tcPr>
            <w:tcW w:w="4064" w:type="pct"/>
            <w:vAlign w:val="center"/>
          </w:tcPr>
          <w:p w14:paraId="576260E0" w14:textId="1048CED5"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Miejski Obszar Funkcjonalny</w:t>
            </w:r>
          </w:p>
        </w:tc>
      </w:tr>
      <w:tr w:rsidR="00984D81" w:rsidRPr="00544943" w14:paraId="4A933E38" w14:textId="77777777" w:rsidTr="00484C3B">
        <w:trPr>
          <w:jc w:val="center"/>
        </w:trPr>
        <w:tc>
          <w:tcPr>
            <w:tcW w:w="936" w:type="pct"/>
            <w:vAlign w:val="center"/>
          </w:tcPr>
          <w:p w14:paraId="6FBCD5CA" w14:textId="1961B14F"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MKS</w:t>
            </w:r>
          </w:p>
        </w:tc>
        <w:tc>
          <w:tcPr>
            <w:tcW w:w="4064" w:type="pct"/>
            <w:vAlign w:val="center"/>
          </w:tcPr>
          <w:p w14:paraId="3E9A9001" w14:textId="54337108"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Międzygminna Komunikacja Samochodowa</w:t>
            </w:r>
          </w:p>
        </w:tc>
      </w:tr>
      <w:tr w:rsidR="00984D81" w:rsidRPr="00544943" w14:paraId="1E7DA3F2" w14:textId="77777777" w:rsidTr="00484C3B">
        <w:trPr>
          <w:jc w:val="center"/>
        </w:trPr>
        <w:tc>
          <w:tcPr>
            <w:tcW w:w="936" w:type="pct"/>
            <w:vAlign w:val="center"/>
          </w:tcPr>
          <w:p w14:paraId="761374DC" w14:textId="13B134B8"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MPK</w:t>
            </w:r>
          </w:p>
        </w:tc>
        <w:tc>
          <w:tcPr>
            <w:tcW w:w="4064" w:type="pct"/>
            <w:vAlign w:val="center"/>
          </w:tcPr>
          <w:p w14:paraId="0DC6CB9B" w14:textId="54842DD3"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Miejskie Przedsiębiorstwo Komunikacyjne</w:t>
            </w:r>
          </w:p>
        </w:tc>
      </w:tr>
      <w:tr w:rsidR="00984D81" w:rsidRPr="00544943" w14:paraId="1193CC98" w14:textId="77777777" w:rsidTr="00484C3B">
        <w:trPr>
          <w:jc w:val="center"/>
        </w:trPr>
        <w:tc>
          <w:tcPr>
            <w:tcW w:w="936" w:type="pct"/>
            <w:vAlign w:val="center"/>
          </w:tcPr>
          <w:p w14:paraId="691A84FE" w14:textId="70F65647"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MZD</w:t>
            </w:r>
          </w:p>
        </w:tc>
        <w:tc>
          <w:tcPr>
            <w:tcW w:w="4064" w:type="pct"/>
            <w:vAlign w:val="center"/>
          </w:tcPr>
          <w:p w14:paraId="55073BF3" w14:textId="6DDEE366"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Miejski Zarząd Dróg w Rzeszowie</w:t>
            </w:r>
          </w:p>
        </w:tc>
      </w:tr>
      <w:tr w:rsidR="00984D81" w:rsidRPr="00544943" w14:paraId="5CEFF841" w14:textId="77777777" w:rsidTr="00484C3B">
        <w:trPr>
          <w:jc w:val="center"/>
        </w:trPr>
        <w:tc>
          <w:tcPr>
            <w:tcW w:w="936" w:type="pct"/>
            <w:vAlign w:val="center"/>
          </w:tcPr>
          <w:p w14:paraId="21E7E0D2" w14:textId="4ED7A568"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OR</w:t>
            </w:r>
          </w:p>
        </w:tc>
        <w:tc>
          <w:tcPr>
            <w:tcW w:w="4064" w:type="pct"/>
            <w:vAlign w:val="center"/>
          </w:tcPr>
          <w:p w14:paraId="6E1CAB99" w14:textId="1AC6A18A"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Departament Organizacyjno - Prawny</w:t>
            </w:r>
          </w:p>
        </w:tc>
      </w:tr>
      <w:tr w:rsidR="00984D81" w:rsidRPr="00544943" w14:paraId="775B8584" w14:textId="77777777" w:rsidTr="00484C3B">
        <w:trPr>
          <w:jc w:val="center"/>
        </w:trPr>
        <w:tc>
          <w:tcPr>
            <w:tcW w:w="936" w:type="pct"/>
            <w:vAlign w:val="center"/>
          </w:tcPr>
          <w:p w14:paraId="7934824B" w14:textId="3743AD66"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OSI</w:t>
            </w:r>
          </w:p>
        </w:tc>
        <w:tc>
          <w:tcPr>
            <w:tcW w:w="4064" w:type="pct"/>
            <w:vAlign w:val="center"/>
          </w:tcPr>
          <w:p w14:paraId="7D13B033" w14:textId="512FEABF"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Obszar Strategicznej Interwencji</w:t>
            </w:r>
          </w:p>
        </w:tc>
      </w:tr>
      <w:tr w:rsidR="00984D81" w:rsidRPr="00544943" w14:paraId="02B0CB42" w14:textId="77777777" w:rsidTr="00484C3B">
        <w:trPr>
          <w:jc w:val="center"/>
        </w:trPr>
        <w:tc>
          <w:tcPr>
            <w:tcW w:w="936" w:type="pct"/>
            <w:vAlign w:val="center"/>
          </w:tcPr>
          <w:p w14:paraId="7681FBDE" w14:textId="331375EA"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OZE</w:t>
            </w:r>
          </w:p>
        </w:tc>
        <w:tc>
          <w:tcPr>
            <w:tcW w:w="4064" w:type="pct"/>
            <w:vAlign w:val="center"/>
          </w:tcPr>
          <w:p w14:paraId="5F956E2E" w14:textId="364D8365"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Odnawialne źródła energii</w:t>
            </w:r>
          </w:p>
        </w:tc>
      </w:tr>
      <w:tr w:rsidR="00984D81" w:rsidRPr="00544943" w14:paraId="56396AF8" w14:textId="77777777" w:rsidTr="00484C3B">
        <w:trPr>
          <w:jc w:val="center"/>
        </w:trPr>
        <w:tc>
          <w:tcPr>
            <w:tcW w:w="936" w:type="pct"/>
            <w:vAlign w:val="center"/>
          </w:tcPr>
          <w:p w14:paraId="1CC26E5D" w14:textId="5FE9B301"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PBPP</w:t>
            </w:r>
          </w:p>
        </w:tc>
        <w:tc>
          <w:tcPr>
            <w:tcW w:w="4064" w:type="pct"/>
            <w:vAlign w:val="center"/>
          </w:tcPr>
          <w:p w14:paraId="0D1E15DD" w14:textId="56B683A5"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Podkarpackie Biuro Planowania Przestrzennego w Rzeszowie</w:t>
            </w:r>
          </w:p>
        </w:tc>
      </w:tr>
      <w:tr w:rsidR="00984D81" w:rsidRPr="00544943" w14:paraId="148B9A5A" w14:textId="77777777" w:rsidTr="00484C3B">
        <w:trPr>
          <w:jc w:val="center"/>
        </w:trPr>
        <w:tc>
          <w:tcPr>
            <w:tcW w:w="936" w:type="pct"/>
            <w:vAlign w:val="center"/>
          </w:tcPr>
          <w:p w14:paraId="1C2A561D" w14:textId="19E55BF8"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PKP PLK S.A.</w:t>
            </w:r>
          </w:p>
        </w:tc>
        <w:tc>
          <w:tcPr>
            <w:tcW w:w="4064" w:type="pct"/>
            <w:vAlign w:val="center"/>
          </w:tcPr>
          <w:p w14:paraId="73C981F5" w14:textId="32E5357F"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Polskie Koleje Państwowe Polskie Linie Kolejowe Spółka Akcyjna</w:t>
            </w:r>
          </w:p>
        </w:tc>
      </w:tr>
      <w:tr w:rsidR="00984D81" w:rsidRPr="00544943" w14:paraId="5BD0BB30" w14:textId="77777777" w:rsidTr="00484C3B">
        <w:trPr>
          <w:jc w:val="center"/>
        </w:trPr>
        <w:tc>
          <w:tcPr>
            <w:tcW w:w="936" w:type="pct"/>
            <w:vAlign w:val="center"/>
          </w:tcPr>
          <w:p w14:paraId="0476BC17" w14:textId="468BED4E"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PKS</w:t>
            </w:r>
          </w:p>
        </w:tc>
        <w:tc>
          <w:tcPr>
            <w:tcW w:w="4064" w:type="pct"/>
            <w:vAlign w:val="center"/>
          </w:tcPr>
          <w:p w14:paraId="7D81135C" w14:textId="1E4219D6"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„Państwowa Komunikacja Samochodowa” lub „Przedsiębiorstwo Komunikacji Samochodowej” lub też „Podkarpacka Komunikacja Samochodowa”.</w:t>
            </w:r>
          </w:p>
        </w:tc>
      </w:tr>
      <w:tr w:rsidR="00984D81" w:rsidRPr="00544943" w14:paraId="72F2D664" w14:textId="77777777" w:rsidTr="00484C3B">
        <w:trPr>
          <w:jc w:val="center"/>
        </w:trPr>
        <w:tc>
          <w:tcPr>
            <w:tcW w:w="936" w:type="pct"/>
            <w:vAlign w:val="center"/>
          </w:tcPr>
          <w:p w14:paraId="40E76892" w14:textId="77F8A821"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PSME</w:t>
            </w:r>
          </w:p>
        </w:tc>
        <w:tc>
          <w:tcPr>
            <w:tcW w:w="4064" w:type="pct"/>
            <w:vAlign w:val="center"/>
          </w:tcPr>
          <w:p w14:paraId="4AAD3C65" w14:textId="68E5F245"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Podkarpacki System Monitoringu i Ewaluacji</w:t>
            </w:r>
          </w:p>
        </w:tc>
      </w:tr>
      <w:tr w:rsidR="00984D81" w:rsidRPr="00544943" w14:paraId="4ADAED81" w14:textId="77777777" w:rsidTr="00484C3B">
        <w:trPr>
          <w:jc w:val="center"/>
        </w:trPr>
        <w:tc>
          <w:tcPr>
            <w:tcW w:w="936" w:type="pct"/>
            <w:vAlign w:val="center"/>
          </w:tcPr>
          <w:p w14:paraId="05D4ECE9" w14:textId="6B830C61"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PSRT WP</w:t>
            </w:r>
          </w:p>
        </w:tc>
        <w:tc>
          <w:tcPr>
            <w:tcW w:w="4064" w:type="pct"/>
            <w:vAlign w:val="center"/>
          </w:tcPr>
          <w:p w14:paraId="6917A327" w14:textId="588C1E80"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bookmarkStart w:id="7" w:name="_Hlk84490477"/>
            <w:r w:rsidRPr="00544943">
              <w:rPr>
                <w:rFonts w:ascii="Arial" w:hAnsi="Arial" w:cs="Arial"/>
                <w:color w:val="000000" w:themeColor="text1"/>
                <w:sz w:val="22"/>
                <w:szCs w:val="22"/>
              </w:rPr>
              <w:t>Program Strategiczny Rozwoju Transportu Województwa Podkarpackiego do roku 2030</w:t>
            </w:r>
          </w:p>
        </w:tc>
      </w:tr>
      <w:tr w:rsidR="00984D81" w:rsidRPr="00544943" w14:paraId="74BACAE2" w14:textId="77777777" w:rsidTr="00484C3B">
        <w:trPr>
          <w:jc w:val="center"/>
        </w:trPr>
        <w:tc>
          <w:tcPr>
            <w:tcW w:w="936" w:type="pct"/>
            <w:vAlign w:val="center"/>
          </w:tcPr>
          <w:p w14:paraId="68F01546" w14:textId="7884BD08"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PWRBRD</w:t>
            </w:r>
          </w:p>
        </w:tc>
        <w:bookmarkEnd w:id="7"/>
        <w:tc>
          <w:tcPr>
            <w:tcW w:w="4064" w:type="pct"/>
            <w:vAlign w:val="center"/>
          </w:tcPr>
          <w:p w14:paraId="4BD63BA3" w14:textId="127B01C0"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Podkarpacka Wojewódzka Rada Bezpieczeństwa Ruchu Drogowego</w:t>
            </w:r>
          </w:p>
        </w:tc>
      </w:tr>
      <w:tr w:rsidR="00984D81" w:rsidRPr="00544943" w14:paraId="2FBED179" w14:textId="77777777" w:rsidTr="00484C3B">
        <w:trPr>
          <w:jc w:val="center"/>
        </w:trPr>
        <w:tc>
          <w:tcPr>
            <w:tcW w:w="936" w:type="pct"/>
            <w:vAlign w:val="center"/>
          </w:tcPr>
          <w:p w14:paraId="3C48D507" w14:textId="2DF73CAF"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PZDW</w:t>
            </w:r>
          </w:p>
        </w:tc>
        <w:tc>
          <w:tcPr>
            <w:tcW w:w="4064" w:type="pct"/>
            <w:vAlign w:val="center"/>
          </w:tcPr>
          <w:p w14:paraId="3D0624CE" w14:textId="13FECFC9"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Podkarpacki Zarząd Dróg Wojewódzkich w Rzeszowie</w:t>
            </w:r>
          </w:p>
        </w:tc>
      </w:tr>
      <w:tr w:rsidR="00984D81" w:rsidRPr="00544943" w14:paraId="576C72B5" w14:textId="77777777" w:rsidTr="00484C3B">
        <w:trPr>
          <w:jc w:val="center"/>
        </w:trPr>
        <w:tc>
          <w:tcPr>
            <w:tcW w:w="936" w:type="pct"/>
            <w:vAlign w:val="center"/>
          </w:tcPr>
          <w:p w14:paraId="02E4E17D" w14:textId="22B8086F"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RFIL</w:t>
            </w:r>
          </w:p>
        </w:tc>
        <w:tc>
          <w:tcPr>
            <w:tcW w:w="4064" w:type="pct"/>
            <w:vAlign w:val="center"/>
          </w:tcPr>
          <w:p w14:paraId="4676D23E" w14:textId="31760BDE"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bookmarkStart w:id="8" w:name="_Hlk92210206"/>
            <w:r w:rsidRPr="00544943">
              <w:rPr>
                <w:rFonts w:ascii="Arial" w:hAnsi="Arial" w:cs="Arial"/>
                <w:color w:val="000000" w:themeColor="text1"/>
                <w:sz w:val="22"/>
                <w:szCs w:val="22"/>
              </w:rPr>
              <w:t>Rządowy Fundusz Inwestycji Lokalnych</w:t>
            </w:r>
          </w:p>
        </w:tc>
      </w:tr>
      <w:tr w:rsidR="00984D81" w:rsidRPr="00544943" w14:paraId="2BC8DA8E" w14:textId="77777777" w:rsidTr="00484C3B">
        <w:trPr>
          <w:jc w:val="center"/>
        </w:trPr>
        <w:tc>
          <w:tcPr>
            <w:tcW w:w="936" w:type="pct"/>
            <w:vAlign w:val="center"/>
          </w:tcPr>
          <w:p w14:paraId="3C7ACF43" w14:textId="52F98997"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RFRD</w:t>
            </w:r>
          </w:p>
        </w:tc>
        <w:tc>
          <w:tcPr>
            <w:tcW w:w="4064" w:type="pct"/>
            <w:vAlign w:val="center"/>
          </w:tcPr>
          <w:p w14:paraId="76796FF4" w14:textId="18B1FFD2"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bookmarkStart w:id="9" w:name="_Hlk92206839"/>
            <w:bookmarkEnd w:id="8"/>
            <w:r w:rsidRPr="00544943">
              <w:rPr>
                <w:rFonts w:ascii="Arial" w:hAnsi="Arial" w:cs="Arial"/>
                <w:color w:val="000000" w:themeColor="text1"/>
                <w:sz w:val="22"/>
                <w:szCs w:val="22"/>
              </w:rPr>
              <w:t>Rządowy Fundusz Rozwoju Dróg</w:t>
            </w:r>
          </w:p>
        </w:tc>
      </w:tr>
      <w:tr w:rsidR="00984D81" w:rsidRPr="00544943" w14:paraId="52D57EE5" w14:textId="77777777" w:rsidTr="00484C3B">
        <w:trPr>
          <w:jc w:val="center"/>
        </w:trPr>
        <w:tc>
          <w:tcPr>
            <w:tcW w:w="936" w:type="pct"/>
            <w:vAlign w:val="center"/>
          </w:tcPr>
          <w:p w14:paraId="72229E5E" w14:textId="09B8A59F"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ROF</w:t>
            </w:r>
          </w:p>
        </w:tc>
        <w:bookmarkEnd w:id="9"/>
        <w:tc>
          <w:tcPr>
            <w:tcW w:w="4064" w:type="pct"/>
            <w:vAlign w:val="center"/>
          </w:tcPr>
          <w:p w14:paraId="53753740" w14:textId="7FAFC94B"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Rzeszowski Obszar Funkcjonalny</w:t>
            </w:r>
          </w:p>
        </w:tc>
      </w:tr>
      <w:tr w:rsidR="00984D81" w:rsidRPr="00544943" w14:paraId="2766387E" w14:textId="77777777" w:rsidTr="00484C3B">
        <w:trPr>
          <w:jc w:val="center"/>
        </w:trPr>
        <w:tc>
          <w:tcPr>
            <w:tcW w:w="936" w:type="pct"/>
            <w:vAlign w:val="center"/>
          </w:tcPr>
          <w:p w14:paraId="082BAD4F" w14:textId="49E478C6"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ROT</w:t>
            </w:r>
          </w:p>
        </w:tc>
        <w:tc>
          <w:tcPr>
            <w:tcW w:w="4064" w:type="pct"/>
            <w:vAlign w:val="center"/>
          </w:tcPr>
          <w:p w14:paraId="6371FF91" w14:textId="15CA3052"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Regionalne Obserwatorium Terytorialne</w:t>
            </w:r>
          </w:p>
        </w:tc>
      </w:tr>
      <w:tr w:rsidR="00984D81" w:rsidRPr="00544943" w14:paraId="5521F818" w14:textId="77777777" w:rsidTr="00484C3B">
        <w:trPr>
          <w:jc w:val="center"/>
        </w:trPr>
        <w:tc>
          <w:tcPr>
            <w:tcW w:w="936" w:type="pct"/>
            <w:vAlign w:val="center"/>
          </w:tcPr>
          <w:p w14:paraId="54499DD6" w14:textId="5B89C8AC"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SEWiK</w:t>
            </w:r>
          </w:p>
        </w:tc>
        <w:tc>
          <w:tcPr>
            <w:tcW w:w="4064" w:type="pct"/>
            <w:vAlign w:val="center"/>
          </w:tcPr>
          <w:p w14:paraId="1791F2F2" w14:textId="08AC66D3"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System Ewidencji Wypadków i Kolizji</w:t>
            </w:r>
          </w:p>
        </w:tc>
      </w:tr>
      <w:tr w:rsidR="00984D81" w:rsidRPr="00544943" w14:paraId="53C8AD42" w14:textId="77777777" w:rsidTr="00484C3B">
        <w:trPr>
          <w:jc w:val="center"/>
        </w:trPr>
        <w:tc>
          <w:tcPr>
            <w:tcW w:w="936" w:type="pct"/>
            <w:vAlign w:val="center"/>
          </w:tcPr>
          <w:p w14:paraId="511F91E0" w14:textId="05ACA8CD"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SOOŚ</w:t>
            </w:r>
          </w:p>
        </w:tc>
        <w:tc>
          <w:tcPr>
            <w:tcW w:w="4064" w:type="pct"/>
            <w:vAlign w:val="center"/>
          </w:tcPr>
          <w:p w14:paraId="133783D1" w14:textId="58F1667F"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Strategiczna Ocena Oddziaływania na Środowisko</w:t>
            </w:r>
          </w:p>
        </w:tc>
      </w:tr>
      <w:tr w:rsidR="00984D81" w:rsidRPr="00544943" w14:paraId="598B7625" w14:textId="77777777" w:rsidTr="00484C3B">
        <w:trPr>
          <w:jc w:val="center"/>
        </w:trPr>
        <w:tc>
          <w:tcPr>
            <w:tcW w:w="936" w:type="pct"/>
            <w:vAlign w:val="center"/>
          </w:tcPr>
          <w:p w14:paraId="0E536007" w14:textId="58BD8802"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SOR</w:t>
            </w:r>
          </w:p>
        </w:tc>
        <w:tc>
          <w:tcPr>
            <w:tcW w:w="4064" w:type="pct"/>
            <w:vAlign w:val="center"/>
          </w:tcPr>
          <w:p w14:paraId="54ABAFFE" w14:textId="3FF5F8AB"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 xml:space="preserve">Strategia na rzecz Odpowiedzialnego Rozwoju do roku 2020 (z perspektywą do </w:t>
            </w:r>
            <w:r w:rsidRPr="00544943">
              <w:rPr>
                <w:rFonts w:ascii="Arial" w:hAnsi="Arial" w:cs="Arial"/>
                <w:color w:val="000000" w:themeColor="text1"/>
                <w:sz w:val="22"/>
                <w:szCs w:val="22"/>
              </w:rPr>
              <w:br/>
              <w:t>2030 r.)</w:t>
            </w:r>
          </w:p>
        </w:tc>
      </w:tr>
      <w:tr w:rsidR="00984D81" w:rsidRPr="00544943" w14:paraId="79C6B9CF" w14:textId="77777777" w:rsidTr="00484C3B">
        <w:trPr>
          <w:jc w:val="center"/>
        </w:trPr>
        <w:tc>
          <w:tcPr>
            <w:tcW w:w="936" w:type="pct"/>
            <w:vAlign w:val="center"/>
          </w:tcPr>
          <w:p w14:paraId="64E028A3" w14:textId="655D8AB3"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SRW 2030</w:t>
            </w:r>
          </w:p>
        </w:tc>
        <w:tc>
          <w:tcPr>
            <w:tcW w:w="4064" w:type="pct"/>
            <w:vAlign w:val="center"/>
          </w:tcPr>
          <w:p w14:paraId="56403F3C" w14:textId="5A518C7D"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Strategia Rozwoju Województwa - Podkarpackie 2030</w:t>
            </w:r>
          </w:p>
        </w:tc>
      </w:tr>
      <w:tr w:rsidR="00984D81" w:rsidRPr="00984D81" w14:paraId="5C3DE121" w14:textId="77777777" w:rsidTr="00484C3B">
        <w:trPr>
          <w:jc w:val="center"/>
        </w:trPr>
        <w:tc>
          <w:tcPr>
            <w:tcW w:w="936" w:type="pct"/>
            <w:vAlign w:val="center"/>
          </w:tcPr>
          <w:p w14:paraId="0AEA2F68" w14:textId="0DF35814"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484C3B">
              <w:rPr>
                <w:rFonts w:ascii="Arial" w:hAnsi="Arial" w:cs="Arial"/>
                <w:color w:val="000000" w:themeColor="text1"/>
                <w:sz w:val="22"/>
                <w:szCs w:val="22"/>
              </w:rPr>
              <w:t>SWOT</w:t>
            </w:r>
          </w:p>
        </w:tc>
        <w:tc>
          <w:tcPr>
            <w:tcW w:w="4064" w:type="pct"/>
            <w:vAlign w:val="center"/>
          </w:tcPr>
          <w:p w14:paraId="57D3324F" w14:textId="0587857C" w:rsidR="00984D81" w:rsidRPr="00984D81"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lang w:val="en-GB"/>
              </w:rPr>
            </w:pPr>
            <w:r w:rsidRPr="00446E0C">
              <w:rPr>
                <w:rFonts w:ascii="Arial" w:hAnsi="Arial" w:cs="Arial"/>
                <w:color w:val="000000" w:themeColor="text1"/>
                <w:sz w:val="22"/>
                <w:szCs w:val="22"/>
              </w:rPr>
              <w:t xml:space="preserve">Analiza SWOT – Mocne strony, Słabe strony, Szanse, Zagrożenia (ang. </w:t>
            </w:r>
            <w:r w:rsidRPr="00984D81">
              <w:rPr>
                <w:rFonts w:ascii="Arial" w:hAnsi="Arial" w:cs="Arial"/>
                <w:color w:val="000000" w:themeColor="text1"/>
                <w:sz w:val="22"/>
                <w:szCs w:val="22"/>
                <w:lang w:val="en-GB"/>
              </w:rPr>
              <w:t>Strengths, Weaknesses, Opportunities, Threats)</w:t>
            </w:r>
          </w:p>
        </w:tc>
      </w:tr>
      <w:tr w:rsidR="00984D81" w:rsidRPr="00544943" w14:paraId="13E76B9B" w14:textId="77777777" w:rsidTr="00484C3B">
        <w:trPr>
          <w:jc w:val="center"/>
        </w:trPr>
        <w:tc>
          <w:tcPr>
            <w:tcW w:w="936" w:type="pct"/>
            <w:vAlign w:val="center"/>
          </w:tcPr>
          <w:p w14:paraId="2F23FD62" w14:textId="42044A45" w:rsidR="00984D81" w:rsidRPr="00984D81"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lang w:val="en-GB"/>
              </w:rPr>
            </w:pPr>
            <w:r w:rsidRPr="00544943">
              <w:rPr>
                <w:rFonts w:ascii="Arial" w:hAnsi="Arial" w:cs="Arial"/>
                <w:color w:val="000000" w:themeColor="text1"/>
                <w:sz w:val="22"/>
                <w:szCs w:val="22"/>
              </w:rPr>
              <w:t>SWP</w:t>
            </w:r>
          </w:p>
        </w:tc>
        <w:tc>
          <w:tcPr>
            <w:tcW w:w="4064" w:type="pct"/>
            <w:vAlign w:val="center"/>
          </w:tcPr>
          <w:p w14:paraId="4CF2A66C" w14:textId="3B189301"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Samorząd Województwa Podkarpackiego</w:t>
            </w:r>
          </w:p>
        </w:tc>
      </w:tr>
      <w:tr w:rsidR="00984D81" w:rsidRPr="00544943" w14:paraId="1F4B47D6" w14:textId="77777777" w:rsidTr="00484C3B">
        <w:trPr>
          <w:jc w:val="center"/>
        </w:trPr>
        <w:tc>
          <w:tcPr>
            <w:tcW w:w="936" w:type="pct"/>
            <w:vAlign w:val="center"/>
          </w:tcPr>
          <w:p w14:paraId="5F4BEF94" w14:textId="220B4376"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SZRT do 2030</w:t>
            </w:r>
          </w:p>
        </w:tc>
        <w:tc>
          <w:tcPr>
            <w:tcW w:w="4064" w:type="pct"/>
            <w:vAlign w:val="center"/>
          </w:tcPr>
          <w:p w14:paraId="3017E224" w14:textId="38CC669B"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Strategia Zintegrowanego Rozwoju Transportu do 2030 r.</w:t>
            </w:r>
          </w:p>
        </w:tc>
      </w:tr>
      <w:tr w:rsidR="00984D81" w:rsidRPr="00544943" w14:paraId="40418D51" w14:textId="77777777" w:rsidTr="00484C3B">
        <w:trPr>
          <w:jc w:val="center"/>
        </w:trPr>
        <w:tc>
          <w:tcPr>
            <w:tcW w:w="936" w:type="pct"/>
            <w:vAlign w:val="center"/>
          </w:tcPr>
          <w:p w14:paraId="60717604" w14:textId="73C77198"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TEN-T</w:t>
            </w:r>
          </w:p>
        </w:tc>
        <w:tc>
          <w:tcPr>
            <w:tcW w:w="4064" w:type="pct"/>
            <w:vAlign w:val="center"/>
          </w:tcPr>
          <w:p w14:paraId="260F9E88" w14:textId="1489089A"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Transeuropejska sieć transportowa</w:t>
            </w:r>
          </w:p>
        </w:tc>
      </w:tr>
      <w:tr w:rsidR="00984D81" w:rsidRPr="00544943" w14:paraId="313EA36C" w14:textId="77777777" w:rsidTr="00484C3B">
        <w:trPr>
          <w:jc w:val="center"/>
        </w:trPr>
        <w:tc>
          <w:tcPr>
            <w:tcW w:w="936" w:type="pct"/>
            <w:vAlign w:val="center"/>
          </w:tcPr>
          <w:p w14:paraId="79D54726" w14:textId="30E264E7"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TSL</w:t>
            </w:r>
          </w:p>
        </w:tc>
        <w:tc>
          <w:tcPr>
            <w:tcW w:w="4064" w:type="pct"/>
            <w:vAlign w:val="center"/>
          </w:tcPr>
          <w:p w14:paraId="2DD721F6" w14:textId="681BA993"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Transport, Spedycja, Logistyka</w:t>
            </w:r>
          </w:p>
        </w:tc>
      </w:tr>
      <w:tr w:rsidR="00984D81" w:rsidRPr="00544943" w14:paraId="4A0983FA" w14:textId="77777777" w:rsidTr="00484C3B">
        <w:trPr>
          <w:jc w:val="center"/>
        </w:trPr>
        <w:tc>
          <w:tcPr>
            <w:tcW w:w="936" w:type="pct"/>
            <w:vAlign w:val="center"/>
          </w:tcPr>
          <w:p w14:paraId="4F14FC9C" w14:textId="2CCEE5E3"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ULC</w:t>
            </w:r>
          </w:p>
        </w:tc>
        <w:tc>
          <w:tcPr>
            <w:tcW w:w="4064" w:type="pct"/>
            <w:vAlign w:val="center"/>
          </w:tcPr>
          <w:p w14:paraId="4B1043E5" w14:textId="08455DFF"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Urząd Lotnictwa Cywilnego</w:t>
            </w:r>
          </w:p>
        </w:tc>
      </w:tr>
      <w:tr w:rsidR="00984D81" w:rsidRPr="00544943" w14:paraId="5B6A4E50" w14:textId="77777777" w:rsidTr="00484C3B">
        <w:trPr>
          <w:jc w:val="center"/>
        </w:trPr>
        <w:tc>
          <w:tcPr>
            <w:tcW w:w="936" w:type="pct"/>
            <w:vAlign w:val="center"/>
          </w:tcPr>
          <w:p w14:paraId="7242F78F" w14:textId="72E10AB8"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UMWP</w:t>
            </w:r>
          </w:p>
        </w:tc>
        <w:tc>
          <w:tcPr>
            <w:tcW w:w="4064" w:type="pct"/>
            <w:vAlign w:val="center"/>
          </w:tcPr>
          <w:p w14:paraId="6A18FB37" w14:textId="6833C132"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Urząd Marszałkowski Województwa Podkarpackiego</w:t>
            </w:r>
          </w:p>
        </w:tc>
      </w:tr>
      <w:tr w:rsidR="00984D81" w:rsidRPr="00544943" w14:paraId="71B9C089" w14:textId="77777777" w:rsidTr="00484C3B">
        <w:trPr>
          <w:jc w:val="center"/>
        </w:trPr>
        <w:tc>
          <w:tcPr>
            <w:tcW w:w="936" w:type="pct"/>
            <w:vAlign w:val="center"/>
          </w:tcPr>
          <w:p w14:paraId="0275D351" w14:textId="7A6A490B"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WFK</w:t>
            </w:r>
          </w:p>
        </w:tc>
        <w:tc>
          <w:tcPr>
            <w:tcW w:w="4064" w:type="pct"/>
            <w:vAlign w:val="center"/>
          </w:tcPr>
          <w:p w14:paraId="579106AB" w14:textId="248798E5"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Wojewódzki Fundusz Kolejowy</w:t>
            </w:r>
          </w:p>
        </w:tc>
      </w:tr>
      <w:tr w:rsidR="00984D81" w:rsidRPr="00544943" w14:paraId="16BE8ED3" w14:textId="77777777" w:rsidTr="00484C3B">
        <w:trPr>
          <w:jc w:val="center"/>
        </w:trPr>
        <w:tc>
          <w:tcPr>
            <w:tcW w:w="936" w:type="pct"/>
            <w:vAlign w:val="center"/>
          </w:tcPr>
          <w:p w14:paraId="7A3D445C" w14:textId="6AFA11B2"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WIOŚ</w:t>
            </w:r>
          </w:p>
        </w:tc>
        <w:tc>
          <w:tcPr>
            <w:tcW w:w="4064" w:type="pct"/>
            <w:vAlign w:val="center"/>
          </w:tcPr>
          <w:p w14:paraId="184B2B08" w14:textId="01015B18"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Wojewódzki Inspektorat Ochrony Środowiska w Rzeszowie</w:t>
            </w:r>
          </w:p>
        </w:tc>
      </w:tr>
      <w:tr w:rsidR="00984D81" w:rsidRPr="00544943" w14:paraId="0EAABF0C" w14:textId="77777777" w:rsidTr="00484C3B">
        <w:trPr>
          <w:jc w:val="center"/>
        </w:trPr>
        <w:tc>
          <w:tcPr>
            <w:tcW w:w="936" w:type="pct"/>
            <w:vAlign w:val="center"/>
          </w:tcPr>
          <w:p w14:paraId="5B5B1F08" w14:textId="4E9CD04D"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WITD</w:t>
            </w:r>
          </w:p>
        </w:tc>
        <w:tc>
          <w:tcPr>
            <w:tcW w:w="4064" w:type="pct"/>
            <w:vAlign w:val="center"/>
          </w:tcPr>
          <w:p w14:paraId="277A01FB" w14:textId="2C10494A"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Wojewódzki Inspektorat Transportu Drogowego</w:t>
            </w:r>
          </w:p>
        </w:tc>
      </w:tr>
      <w:tr w:rsidR="00984D81" w:rsidRPr="00544943" w14:paraId="4F35C18D" w14:textId="77777777" w:rsidTr="00484C3B">
        <w:trPr>
          <w:jc w:val="center"/>
        </w:trPr>
        <w:tc>
          <w:tcPr>
            <w:tcW w:w="936" w:type="pct"/>
            <w:vAlign w:val="center"/>
          </w:tcPr>
          <w:p w14:paraId="2790F784" w14:textId="439BD741"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ZMR</w:t>
            </w:r>
          </w:p>
        </w:tc>
        <w:tc>
          <w:tcPr>
            <w:tcW w:w="4064" w:type="pct"/>
            <w:vAlign w:val="center"/>
          </w:tcPr>
          <w:p w14:paraId="1C179181" w14:textId="07D85DC0"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Zintegrowany Model Ruchu</w:t>
            </w:r>
          </w:p>
        </w:tc>
      </w:tr>
      <w:tr w:rsidR="00984D81" w:rsidRPr="00544943" w14:paraId="29F3A233" w14:textId="77777777" w:rsidTr="00484C3B">
        <w:trPr>
          <w:jc w:val="center"/>
        </w:trPr>
        <w:tc>
          <w:tcPr>
            <w:tcW w:w="936" w:type="pct"/>
            <w:vAlign w:val="center"/>
          </w:tcPr>
          <w:p w14:paraId="2B9D6600" w14:textId="45E4AC11"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ZTM</w:t>
            </w:r>
          </w:p>
        </w:tc>
        <w:tc>
          <w:tcPr>
            <w:tcW w:w="4064" w:type="pct"/>
            <w:vAlign w:val="center"/>
          </w:tcPr>
          <w:p w14:paraId="476FE010" w14:textId="129140C5"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Zarząd Transportu Miejskiego</w:t>
            </w:r>
          </w:p>
        </w:tc>
      </w:tr>
      <w:tr w:rsidR="00984D81" w:rsidRPr="00544943" w14:paraId="28EE4247" w14:textId="77777777" w:rsidTr="00484C3B">
        <w:trPr>
          <w:jc w:val="center"/>
        </w:trPr>
        <w:tc>
          <w:tcPr>
            <w:tcW w:w="936" w:type="pct"/>
            <w:vAlign w:val="center"/>
          </w:tcPr>
          <w:p w14:paraId="6264469F" w14:textId="45BD7546" w:rsidR="00984D81" w:rsidRPr="00544943" w:rsidRDefault="00446E0C"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ZWP</w:t>
            </w:r>
          </w:p>
        </w:tc>
        <w:tc>
          <w:tcPr>
            <w:tcW w:w="4064" w:type="pct"/>
            <w:vAlign w:val="center"/>
          </w:tcPr>
          <w:p w14:paraId="02A256F2" w14:textId="696E6F43" w:rsidR="00984D81" w:rsidRPr="00544943" w:rsidRDefault="00984D81" w:rsidP="00446E0C">
            <w:pPr>
              <w:autoSpaceDE w:val="0"/>
              <w:autoSpaceDN w:val="0"/>
              <w:adjustRightInd w:val="0"/>
              <w:spacing w:beforeLines="20" w:before="48" w:afterLines="20" w:after="48"/>
              <w:ind w:firstLine="7"/>
              <w:rPr>
                <w:rFonts w:ascii="Arial" w:hAnsi="Arial" w:cs="Arial"/>
                <w:color w:val="000000" w:themeColor="text1"/>
                <w:sz w:val="22"/>
                <w:szCs w:val="22"/>
              </w:rPr>
            </w:pPr>
            <w:r w:rsidRPr="00544943">
              <w:rPr>
                <w:rFonts w:ascii="Arial" w:hAnsi="Arial" w:cs="Arial"/>
                <w:color w:val="000000" w:themeColor="text1"/>
                <w:sz w:val="22"/>
                <w:szCs w:val="22"/>
              </w:rPr>
              <w:t>Zarząd Województwa Podkarpackiego</w:t>
            </w:r>
          </w:p>
        </w:tc>
      </w:tr>
    </w:tbl>
    <w:p w14:paraId="03B1BC34" w14:textId="12EA85AF" w:rsidR="006004E2" w:rsidRPr="00544943" w:rsidRDefault="006004E2" w:rsidP="00B41979">
      <w:pPr>
        <w:autoSpaceDE w:val="0"/>
        <w:autoSpaceDN w:val="0"/>
        <w:adjustRightInd w:val="0"/>
        <w:spacing w:after="140" w:line="276" w:lineRule="auto"/>
        <w:jc w:val="both"/>
        <w:rPr>
          <w:rFonts w:ascii="Arial" w:hAnsi="Arial" w:cs="Arial"/>
          <w:color w:val="000000" w:themeColor="text1"/>
          <w:sz w:val="22"/>
          <w:szCs w:val="22"/>
        </w:rPr>
      </w:pPr>
      <w:r w:rsidRPr="00544943">
        <w:rPr>
          <w:rFonts w:ascii="Arial" w:hAnsi="Arial" w:cs="Arial"/>
          <w:color w:val="000000" w:themeColor="text1"/>
          <w:sz w:val="22"/>
          <w:szCs w:val="22"/>
        </w:rPr>
        <w:br w:type="page"/>
      </w:r>
    </w:p>
    <w:p w14:paraId="03B44377" w14:textId="553B521A" w:rsidR="0059516E" w:rsidRPr="007274ED" w:rsidRDefault="006004E2" w:rsidP="007274ED">
      <w:pPr>
        <w:pStyle w:val="Nagwek1"/>
        <w:rPr>
          <w:rFonts w:cs="Arial"/>
          <w:b/>
          <w:sz w:val="26"/>
        </w:rPr>
      </w:pPr>
      <w:bookmarkStart w:id="10" w:name="_Toc426026732"/>
      <w:bookmarkStart w:id="11" w:name="_Toc100335053"/>
      <w:bookmarkStart w:id="12" w:name="_Toc146785777"/>
      <w:bookmarkStart w:id="13" w:name="_Hlk86230169"/>
      <w:r w:rsidRPr="006F4FD2">
        <w:rPr>
          <w:rFonts w:cs="Arial"/>
          <w:b/>
          <w:sz w:val="26"/>
        </w:rPr>
        <w:t>Wprowadzenie</w:t>
      </w:r>
      <w:bookmarkEnd w:id="10"/>
      <w:bookmarkEnd w:id="11"/>
      <w:bookmarkEnd w:id="12"/>
    </w:p>
    <w:p w14:paraId="2D63818C" w14:textId="198DAD3A" w:rsidR="005E6C16" w:rsidRPr="009B78DA" w:rsidRDefault="005E6C16" w:rsidP="00535478">
      <w:pPr>
        <w:spacing w:after="0" w:line="288" w:lineRule="auto"/>
        <w:ind w:firstLine="709"/>
        <w:rPr>
          <w:color w:val="000000" w:themeColor="text1"/>
        </w:rPr>
      </w:pPr>
      <w:r w:rsidRPr="009B78DA">
        <w:rPr>
          <w:rFonts w:ascii="Arial" w:hAnsi="Arial" w:cs="Arial"/>
          <w:color w:val="000000" w:themeColor="text1"/>
          <w:sz w:val="22"/>
          <w:szCs w:val="22"/>
        </w:rPr>
        <w:t>Przygotowanie</w:t>
      </w:r>
      <w:r w:rsidR="00CF6712"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Programu Strategicznego Rozwoju Transportu Województwa Podkarpackiego do roku 2030 (PSRT WP) stanowi odpowiedź na nowe cele polityki spójności na lata 2021-2027, wynikające m.in. z założeń Europejskiego Zielonego Ładu. Ponadto obejmuje cele strategiczne na poziomie rządowym oraz samorządowym. Jest to kompleksowy dokument w zakresie wszystkich gałęzi transportu.</w:t>
      </w:r>
      <w:r w:rsidRPr="009B78DA">
        <w:rPr>
          <w:color w:val="000000" w:themeColor="text1"/>
        </w:rPr>
        <w:t xml:space="preserve"> </w:t>
      </w:r>
    </w:p>
    <w:p w14:paraId="5D6DB48B" w14:textId="251D582D" w:rsidR="005E6C16" w:rsidRPr="009B78DA" w:rsidRDefault="005E6C16" w:rsidP="00535478">
      <w:pPr>
        <w:spacing w:after="0" w:line="288"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Rozwój transportu jest jednym z podstawowych środków do osiągnięcia celów rozwojowych zakładanych zarówno na poziomie Unii Europejski</w:t>
      </w:r>
      <w:r w:rsidR="00A32E32">
        <w:rPr>
          <w:rFonts w:ascii="Arial" w:hAnsi="Arial" w:cs="Arial"/>
          <w:color w:val="000000" w:themeColor="text1"/>
          <w:sz w:val="22"/>
          <w:szCs w:val="22"/>
        </w:rPr>
        <w:t xml:space="preserve">ej, jak i na poziomie krajowym </w:t>
      </w:r>
      <w:r w:rsidRPr="009B78DA">
        <w:rPr>
          <w:rFonts w:ascii="Arial" w:hAnsi="Arial" w:cs="Arial"/>
          <w:color w:val="000000" w:themeColor="text1"/>
          <w:sz w:val="22"/>
          <w:szCs w:val="22"/>
        </w:rPr>
        <w:t xml:space="preserve">i regionalnym. W swym założeniu Program wypełniać będzie cele zmierzające do zwiększenia dostępności transportowej regionu przy jednoczesnej poprawie bezpieczeństwa uczestników ruchu, ochronie środowiska naturalnego (w tym ochronie klimatu) oraz efektywności sektora transportowego poprzez tworzenie spójnego, zrównoważonego </w:t>
      </w:r>
      <w:r w:rsidR="005E37DD">
        <w:rPr>
          <w:rFonts w:ascii="Arial" w:hAnsi="Arial" w:cs="Arial"/>
          <w:color w:val="000000" w:themeColor="text1"/>
          <w:sz w:val="22"/>
          <w:szCs w:val="22"/>
        </w:rPr>
        <w:br/>
      </w:r>
      <w:r w:rsidRPr="009B78DA">
        <w:rPr>
          <w:rFonts w:ascii="Arial" w:hAnsi="Arial" w:cs="Arial"/>
          <w:color w:val="000000" w:themeColor="text1"/>
          <w:sz w:val="22"/>
          <w:szCs w:val="22"/>
        </w:rPr>
        <w:t>i przyjaznego użytkownikowi systemu transportowego.</w:t>
      </w:r>
    </w:p>
    <w:p w14:paraId="54B42CC9" w14:textId="77777777" w:rsidR="005E6C16" w:rsidRPr="009B78DA" w:rsidRDefault="005E6C16" w:rsidP="00535478">
      <w:pPr>
        <w:spacing w:after="0" w:line="288" w:lineRule="auto"/>
        <w:ind w:firstLine="708"/>
        <w:rPr>
          <w:rFonts w:ascii="Arial" w:hAnsi="Arial" w:cs="Arial"/>
          <w:iCs/>
          <w:color w:val="000000" w:themeColor="text1"/>
          <w:sz w:val="22"/>
          <w:szCs w:val="22"/>
        </w:rPr>
      </w:pPr>
      <w:r w:rsidRPr="009B78DA">
        <w:rPr>
          <w:rFonts w:ascii="Arial" w:hAnsi="Arial" w:cs="Arial"/>
          <w:iCs/>
          <w:color w:val="000000" w:themeColor="text1"/>
          <w:sz w:val="22"/>
          <w:szCs w:val="22"/>
        </w:rPr>
        <w:t>Inwestycje zrealizowane w dotychczasowym okresie przy wykorzystaniu środków budżetowych oraz unijnych w znacznym stopniu przyczyniły się do poprawy warunków funkcjonowania systemu transportowego województwa podkarpackiego. Należy jednak wskazać, że w dalszym ciągu istnieją znaczne potrzeby inwestycyjne, dlatego tak ważna jest kontynuacja wsparcia tego obszaru w perspektywie finansowej 2021-2027.</w:t>
      </w:r>
    </w:p>
    <w:p w14:paraId="1F26F144" w14:textId="071B802F" w:rsidR="005E6C16" w:rsidRPr="009B78DA" w:rsidRDefault="005E6C16" w:rsidP="00535478">
      <w:pPr>
        <w:spacing w:after="0" w:line="288" w:lineRule="auto"/>
        <w:ind w:firstLine="708"/>
        <w:rPr>
          <w:rFonts w:ascii="Arial" w:hAnsi="Arial" w:cs="Arial"/>
          <w:iCs/>
          <w:color w:val="000000" w:themeColor="text1"/>
          <w:sz w:val="22"/>
          <w:szCs w:val="22"/>
        </w:rPr>
      </w:pPr>
      <w:r w:rsidRPr="009B78DA">
        <w:rPr>
          <w:rFonts w:ascii="Arial" w:hAnsi="Arial" w:cs="Arial"/>
          <w:iCs/>
          <w:color w:val="000000" w:themeColor="text1"/>
          <w:sz w:val="22"/>
          <w:szCs w:val="22"/>
        </w:rPr>
        <w:t>Dokument</w:t>
      </w:r>
      <w:r w:rsidRPr="009B78DA">
        <w:rPr>
          <w:rFonts w:ascii="Arial" w:hAnsi="Arial" w:cs="Arial"/>
          <w:color w:val="000000" w:themeColor="text1"/>
          <w:sz w:val="22"/>
          <w:szCs w:val="22"/>
        </w:rPr>
        <w:t xml:space="preserve"> </w:t>
      </w:r>
      <w:r w:rsidRPr="009B78DA">
        <w:rPr>
          <w:rFonts w:ascii="Arial" w:hAnsi="Arial" w:cs="Arial"/>
          <w:iCs/>
          <w:color w:val="000000" w:themeColor="text1"/>
          <w:sz w:val="22"/>
          <w:szCs w:val="22"/>
        </w:rPr>
        <w:t xml:space="preserve">służy spełnieniu warunkowości podstawowej w zakresie unijnego Celu Polityki 3 pn. </w:t>
      </w:r>
      <w:r w:rsidRPr="009B78DA">
        <w:rPr>
          <w:rFonts w:ascii="Arial" w:hAnsi="Arial" w:cs="Arial"/>
          <w:i/>
          <w:color w:val="000000" w:themeColor="text1"/>
          <w:sz w:val="22"/>
          <w:szCs w:val="22"/>
        </w:rPr>
        <w:t xml:space="preserve">Lepiej połączona Europa </w:t>
      </w:r>
      <w:r w:rsidRPr="009B78DA">
        <w:rPr>
          <w:rFonts w:ascii="Arial" w:hAnsi="Arial" w:cs="Arial"/>
          <w:color w:val="000000" w:themeColor="text1"/>
          <w:sz w:val="22"/>
          <w:szCs w:val="22"/>
        </w:rPr>
        <w:t xml:space="preserve">na poziomie regionalnym. </w:t>
      </w:r>
      <w:r w:rsidRPr="009B78DA">
        <w:rPr>
          <w:rFonts w:ascii="Arial" w:hAnsi="Arial" w:cs="Arial"/>
          <w:iCs/>
          <w:color w:val="000000" w:themeColor="text1"/>
          <w:sz w:val="22"/>
          <w:szCs w:val="22"/>
        </w:rPr>
        <w:t xml:space="preserve">Jest to kontynuacja tzw. </w:t>
      </w:r>
      <w:r w:rsidRPr="009B78DA">
        <w:rPr>
          <w:rFonts w:ascii="Arial" w:hAnsi="Arial" w:cs="Arial"/>
          <w:i/>
          <w:color w:val="000000" w:themeColor="text1"/>
          <w:sz w:val="22"/>
          <w:szCs w:val="22"/>
        </w:rPr>
        <w:t>warunkowości wstępnej</w:t>
      </w:r>
      <w:r w:rsidRPr="009B78DA">
        <w:rPr>
          <w:rFonts w:ascii="Arial" w:hAnsi="Arial" w:cs="Arial"/>
          <w:iCs/>
          <w:color w:val="000000" w:themeColor="text1"/>
          <w:sz w:val="22"/>
          <w:szCs w:val="22"/>
        </w:rPr>
        <w:t xml:space="preserve"> z perspektywy finansowej 2014-2020. Konieczność spełnienia warunku podstawowego wynika z zapisów art. 15 </w:t>
      </w:r>
      <w:r w:rsidRPr="009B78DA">
        <w:rPr>
          <w:rFonts w:ascii="Arial" w:hAnsi="Arial" w:cs="Arial"/>
          <w:i/>
          <w:color w:val="000000" w:themeColor="text1"/>
          <w:sz w:val="22"/>
          <w:szCs w:val="22"/>
        </w:rPr>
        <w:t>Rozporządzenia Ogólnego Parlamentu Europejskiego i Rady</w:t>
      </w:r>
      <w:r w:rsidRPr="009B78DA">
        <w:rPr>
          <w:rFonts w:ascii="Arial" w:hAnsi="Arial" w:cs="Arial"/>
          <w:iCs/>
          <w:color w:val="000000" w:themeColor="text1"/>
          <w:sz w:val="22"/>
          <w:szCs w:val="22"/>
        </w:rPr>
        <w:t xml:space="preserve"> dla perspektywy finansowej 2021-2027</w:t>
      </w:r>
      <w:r w:rsidRPr="009B78DA">
        <w:rPr>
          <w:rStyle w:val="Odwoanieprzypisudolnego"/>
          <w:rFonts w:ascii="Arial" w:hAnsi="Arial" w:cs="Arial"/>
          <w:color w:val="000000" w:themeColor="text1"/>
          <w:sz w:val="22"/>
          <w:szCs w:val="22"/>
        </w:rPr>
        <w:footnoteReference w:id="1"/>
      </w:r>
      <w:r w:rsidRPr="009B78DA">
        <w:rPr>
          <w:rFonts w:ascii="Arial" w:hAnsi="Arial" w:cs="Arial"/>
          <w:iCs/>
          <w:color w:val="000000" w:themeColor="text1"/>
          <w:sz w:val="22"/>
          <w:szCs w:val="22"/>
        </w:rPr>
        <w:t xml:space="preserve">. Niniejszy warunek podstawowy został określony w załączniku IV do Rozporządzenia – warunek 3.1 </w:t>
      </w:r>
      <w:r w:rsidRPr="009B78DA">
        <w:rPr>
          <w:rFonts w:ascii="Arial" w:hAnsi="Arial" w:cs="Arial"/>
          <w:i/>
          <w:iCs/>
          <w:color w:val="000000" w:themeColor="text1"/>
          <w:sz w:val="22"/>
          <w:szCs w:val="22"/>
        </w:rPr>
        <w:t xml:space="preserve">Kompleksowe planowanie transportu na odpowiednim poziomie. </w:t>
      </w:r>
      <w:r w:rsidRPr="009B78DA">
        <w:rPr>
          <w:rFonts w:ascii="Arial" w:hAnsi="Arial" w:cs="Arial"/>
          <w:iCs/>
          <w:color w:val="000000" w:themeColor="text1"/>
          <w:sz w:val="22"/>
          <w:szCs w:val="22"/>
        </w:rPr>
        <w:t>Spełnienie warunku jest konieczne dla umożliwienia współfinansowania inwestycji w sektorze transportu planowanych do objęcia wsparciem w ramach ww. Celu Polityki 3. Na poziomie regionalnym finansowanie inwestycji transportowych powinno wynikać z odpowiedniego dokumentu planistycznego – reg</w:t>
      </w:r>
      <w:r w:rsidR="005E37DD">
        <w:rPr>
          <w:rFonts w:ascii="Arial" w:hAnsi="Arial" w:cs="Arial"/>
          <w:iCs/>
          <w:color w:val="000000" w:themeColor="text1"/>
          <w:sz w:val="22"/>
          <w:szCs w:val="22"/>
        </w:rPr>
        <w:t>ionalnego planu transportowego.</w:t>
      </w:r>
    </w:p>
    <w:p w14:paraId="340273CD" w14:textId="3ADFE96F" w:rsidR="005E6C16" w:rsidRPr="009B78DA" w:rsidRDefault="005E6C16" w:rsidP="00535478">
      <w:pPr>
        <w:spacing w:after="0" w:line="288" w:lineRule="auto"/>
        <w:ind w:firstLine="708"/>
        <w:rPr>
          <w:rFonts w:ascii="Arial" w:hAnsi="Arial" w:cs="Arial"/>
          <w:iCs/>
          <w:color w:val="000000" w:themeColor="text1"/>
          <w:sz w:val="22"/>
          <w:szCs w:val="22"/>
        </w:rPr>
      </w:pPr>
      <w:r w:rsidRPr="009B78DA">
        <w:rPr>
          <w:rFonts w:ascii="Arial" w:hAnsi="Arial" w:cs="Arial"/>
          <w:iCs/>
          <w:color w:val="000000" w:themeColor="text1"/>
          <w:sz w:val="22"/>
          <w:szCs w:val="22"/>
        </w:rPr>
        <w:t>Wdrażane działania nakierowane na rozwój systemu transportowego powinny wpisywać się w unijne cele służące ograniczeniu prognozowanego wzrostu emisji gazów cieplarnianych ze sfery transportu. Doniosłą rolę odgrywać powinny tutaj założenia zawarte</w:t>
      </w:r>
      <w:r w:rsidR="00535478">
        <w:rPr>
          <w:rFonts w:ascii="Arial" w:hAnsi="Arial" w:cs="Arial"/>
          <w:iCs/>
          <w:color w:val="000000" w:themeColor="text1"/>
          <w:sz w:val="22"/>
          <w:szCs w:val="22"/>
        </w:rPr>
        <w:t xml:space="preserve"> </w:t>
      </w:r>
      <w:r w:rsidRPr="009B78DA">
        <w:rPr>
          <w:rFonts w:ascii="Arial" w:hAnsi="Arial" w:cs="Arial"/>
          <w:iCs/>
          <w:color w:val="000000" w:themeColor="text1"/>
          <w:sz w:val="22"/>
          <w:szCs w:val="22"/>
        </w:rPr>
        <w:t xml:space="preserve">w dokumentach takich jak: </w:t>
      </w:r>
      <w:r w:rsidRPr="009B78DA">
        <w:rPr>
          <w:rFonts w:ascii="Arial" w:hAnsi="Arial" w:cs="Arial"/>
          <w:i/>
          <w:iCs/>
          <w:color w:val="000000" w:themeColor="text1"/>
          <w:sz w:val="22"/>
          <w:szCs w:val="22"/>
        </w:rPr>
        <w:t>Strategia na rzecz zrównoważonej i inteligentnej mobilności – europejski transport na drodze ku przyszłości</w:t>
      </w:r>
      <w:r w:rsidRPr="009B78DA">
        <w:rPr>
          <w:rFonts w:ascii="Arial" w:hAnsi="Arial" w:cs="Arial"/>
          <w:color w:val="000000" w:themeColor="text1"/>
          <w:sz w:val="22"/>
          <w:szCs w:val="22"/>
        </w:rPr>
        <w:t xml:space="preserve">, </w:t>
      </w:r>
      <w:r w:rsidRPr="009B78DA">
        <w:rPr>
          <w:rFonts w:ascii="Arial" w:hAnsi="Arial" w:cs="Arial"/>
          <w:i/>
          <w:iCs/>
          <w:color w:val="000000" w:themeColor="text1"/>
          <w:sz w:val="22"/>
          <w:szCs w:val="22"/>
        </w:rPr>
        <w:t>Czysta energia dla transportu: europejska strategia w zakresie paliw alternatywnych</w:t>
      </w:r>
      <w:r w:rsidRPr="009B78DA">
        <w:rPr>
          <w:rFonts w:ascii="Arial" w:hAnsi="Arial" w:cs="Arial"/>
          <w:iCs/>
          <w:color w:val="000000" w:themeColor="text1"/>
          <w:sz w:val="22"/>
          <w:szCs w:val="22"/>
        </w:rPr>
        <w:t xml:space="preserve">, czy </w:t>
      </w:r>
      <w:r w:rsidRPr="009B78DA">
        <w:rPr>
          <w:rFonts w:ascii="Arial" w:hAnsi="Arial" w:cs="Arial"/>
          <w:i/>
          <w:color w:val="000000" w:themeColor="text1"/>
          <w:sz w:val="22"/>
          <w:szCs w:val="22"/>
        </w:rPr>
        <w:t xml:space="preserve">Europa w ruchu. </w:t>
      </w:r>
      <w:r w:rsidRPr="009B78DA">
        <w:rPr>
          <w:rFonts w:ascii="Arial" w:hAnsi="Arial" w:cs="Arial"/>
          <w:iCs/>
          <w:color w:val="000000" w:themeColor="text1"/>
          <w:sz w:val="22"/>
          <w:szCs w:val="22"/>
        </w:rPr>
        <w:t xml:space="preserve">Program działań na rzecz sprawiedliwego społecznie przejścia do czystej, konkurencyjnej i opartej na sieci mobilności dla wszystkich </w:t>
      </w:r>
      <w:r w:rsidRPr="009B78DA">
        <w:rPr>
          <w:rFonts w:ascii="Arial" w:hAnsi="Arial" w:cs="Arial"/>
          <w:color w:val="000000" w:themeColor="text1"/>
          <w:sz w:val="22"/>
          <w:szCs w:val="22"/>
        </w:rPr>
        <w:t xml:space="preserve">i innych dokumentów wytyczających drogę do </w:t>
      </w:r>
      <w:r w:rsidRPr="009B78DA">
        <w:rPr>
          <w:rFonts w:ascii="Arial" w:hAnsi="Arial" w:cs="Arial"/>
          <w:iCs/>
          <w:color w:val="000000" w:themeColor="text1"/>
          <w:sz w:val="22"/>
          <w:szCs w:val="22"/>
        </w:rPr>
        <w:t>czystej i zrównoważonej mobilności.</w:t>
      </w:r>
    </w:p>
    <w:p w14:paraId="5D215EDB" w14:textId="181B84D3" w:rsidR="005E6C16" w:rsidRPr="009B78DA" w:rsidRDefault="005E6C16" w:rsidP="00535478">
      <w:pPr>
        <w:spacing w:after="0" w:line="288"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W zakresie powiązania z krajowymi i regionalnymi dokumentami, należy wskazać, że zintegrowane strategie rozwoju kraju określają cele i wyzwania w dziedzinie transportu. Wynikają one z krajowych dokumentów strategicznych tj. ze </w:t>
      </w:r>
      <w:r w:rsidRPr="009B78DA">
        <w:rPr>
          <w:rFonts w:ascii="Arial" w:hAnsi="Arial" w:cs="Arial"/>
          <w:i/>
          <w:color w:val="000000" w:themeColor="text1"/>
          <w:sz w:val="22"/>
          <w:szCs w:val="22"/>
        </w:rPr>
        <w:t>Strategii na rzecz Odpowiedzialnego Rozwoju do roku 2020 (z perspektywą do 2030 r.)</w:t>
      </w:r>
      <w:r w:rsidRPr="009B78DA">
        <w:rPr>
          <w:rFonts w:ascii="Arial" w:hAnsi="Arial" w:cs="Arial"/>
          <w:color w:val="000000" w:themeColor="text1"/>
          <w:sz w:val="22"/>
          <w:szCs w:val="22"/>
        </w:rPr>
        <w:t xml:space="preserve"> oraz z powiązanych </w:t>
      </w:r>
      <w:r w:rsidRPr="009B78DA">
        <w:rPr>
          <w:rFonts w:ascii="Arial" w:hAnsi="Arial" w:cs="Arial"/>
          <w:color w:val="000000" w:themeColor="text1"/>
          <w:sz w:val="22"/>
          <w:szCs w:val="22"/>
        </w:rPr>
        <w:br/>
        <w:t xml:space="preserve">z nią ośmiu zintegrowanych strategii sektorowych, a także nawiązują do wizji rozwoju przedstawionej w </w:t>
      </w:r>
      <w:r w:rsidRPr="009B78DA">
        <w:rPr>
          <w:rFonts w:ascii="Arial" w:hAnsi="Arial" w:cs="Arial"/>
          <w:i/>
          <w:color w:val="000000" w:themeColor="text1"/>
          <w:sz w:val="22"/>
          <w:szCs w:val="22"/>
        </w:rPr>
        <w:t xml:space="preserve">Krajowej Strategii Rozwoju Regionalnego 2030. </w:t>
      </w:r>
      <w:r w:rsidRPr="009B78DA">
        <w:rPr>
          <w:rFonts w:ascii="Arial" w:hAnsi="Arial" w:cs="Arial"/>
          <w:color w:val="000000" w:themeColor="text1"/>
          <w:sz w:val="22"/>
          <w:szCs w:val="22"/>
        </w:rPr>
        <w:t>W</w:t>
      </w:r>
      <w:r w:rsidR="00CF6712"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Program</w:t>
      </w:r>
      <w:r w:rsidR="00B90CB4" w:rsidRPr="009B78DA">
        <w:rPr>
          <w:rFonts w:ascii="Arial" w:hAnsi="Arial" w:cs="Arial"/>
          <w:color w:val="000000" w:themeColor="text1"/>
          <w:sz w:val="22"/>
          <w:szCs w:val="22"/>
        </w:rPr>
        <w:t>ie</w:t>
      </w:r>
      <w:r w:rsidRPr="009B78DA">
        <w:rPr>
          <w:rFonts w:ascii="Arial" w:hAnsi="Arial" w:cs="Arial"/>
          <w:color w:val="000000" w:themeColor="text1"/>
          <w:sz w:val="22"/>
          <w:szCs w:val="22"/>
        </w:rPr>
        <w:t xml:space="preserve"> zawarto </w:t>
      </w:r>
      <w:r w:rsidR="00D92446" w:rsidRPr="009B78DA">
        <w:rPr>
          <w:rFonts w:ascii="Arial" w:hAnsi="Arial" w:cs="Arial"/>
          <w:color w:val="000000" w:themeColor="text1"/>
          <w:sz w:val="22"/>
          <w:szCs w:val="22"/>
        </w:rPr>
        <w:t xml:space="preserve">także </w:t>
      </w:r>
      <w:r w:rsidRPr="009B78DA">
        <w:rPr>
          <w:rFonts w:ascii="Arial" w:hAnsi="Arial" w:cs="Arial"/>
          <w:color w:val="000000" w:themeColor="text1"/>
          <w:sz w:val="22"/>
          <w:szCs w:val="22"/>
        </w:rPr>
        <w:t xml:space="preserve">zapisy sprzyjające realizacji założeń </w:t>
      </w:r>
      <w:r w:rsidRPr="009B78DA">
        <w:rPr>
          <w:rFonts w:ascii="Arial" w:hAnsi="Arial" w:cs="Arial"/>
          <w:i/>
          <w:color w:val="000000" w:themeColor="text1"/>
          <w:sz w:val="22"/>
          <w:szCs w:val="22"/>
        </w:rPr>
        <w:t xml:space="preserve">Krajowego planu na rzecz energii i klimatu na lata 2021-2030 </w:t>
      </w:r>
      <w:r w:rsidRPr="009B78DA">
        <w:rPr>
          <w:rFonts w:ascii="Arial" w:hAnsi="Arial" w:cs="Arial"/>
          <w:color w:val="000000" w:themeColor="text1"/>
          <w:sz w:val="22"/>
          <w:szCs w:val="22"/>
        </w:rPr>
        <w:t>w stopniu właściwym dla Samorządu Województwa</w:t>
      </w:r>
      <w:r w:rsidR="00D27B9B" w:rsidRPr="009B78DA">
        <w:rPr>
          <w:rFonts w:ascii="Arial" w:hAnsi="Arial" w:cs="Arial"/>
          <w:color w:val="000000" w:themeColor="text1"/>
          <w:sz w:val="22"/>
          <w:szCs w:val="22"/>
        </w:rPr>
        <w:t>.</w:t>
      </w:r>
      <w:r w:rsidR="009A5492" w:rsidRPr="009B78DA">
        <w:rPr>
          <w:rStyle w:val="Odwoanieprzypisudolnego"/>
          <w:rFonts w:ascii="Arial" w:hAnsi="Arial" w:cs="Arial"/>
          <w:color w:val="000000" w:themeColor="text1"/>
          <w:sz w:val="22"/>
          <w:szCs w:val="22"/>
        </w:rPr>
        <w:footnoteReference w:id="2"/>
      </w:r>
    </w:p>
    <w:p w14:paraId="6440DA2A" w14:textId="2FA35BA3" w:rsidR="005E6C16" w:rsidRPr="009B78DA" w:rsidRDefault="005E6C16" w:rsidP="00535478">
      <w:pPr>
        <w:spacing w:after="0" w:line="288" w:lineRule="auto"/>
        <w:ind w:firstLine="708"/>
        <w:rPr>
          <w:rFonts w:ascii="Arial" w:hAnsi="Arial" w:cs="Arial"/>
          <w:iCs/>
          <w:color w:val="000000" w:themeColor="text1"/>
          <w:sz w:val="22"/>
          <w:szCs w:val="22"/>
        </w:rPr>
      </w:pPr>
      <w:r w:rsidRPr="009B78DA">
        <w:rPr>
          <w:rFonts w:ascii="Arial" w:hAnsi="Arial" w:cs="Arial"/>
          <w:i/>
          <w:color w:val="000000" w:themeColor="text1"/>
          <w:sz w:val="22"/>
          <w:szCs w:val="22"/>
        </w:rPr>
        <w:t>Program Strategiczn</w:t>
      </w:r>
      <w:r w:rsidR="00245C86" w:rsidRPr="009B78DA">
        <w:rPr>
          <w:rFonts w:ascii="Arial" w:hAnsi="Arial" w:cs="Arial"/>
          <w:i/>
          <w:color w:val="000000" w:themeColor="text1"/>
          <w:sz w:val="22"/>
          <w:szCs w:val="22"/>
        </w:rPr>
        <w:t>y</w:t>
      </w:r>
      <w:r w:rsidRPr="009B78DA">
        <w:rPr>
          <w:rFonts w:ascii="Arial" w:hAnsi="Arial" w:cs="Arial"/>
          <w:i/>
          <w:color w:val="000000" w:themeColor="text1"/>
          <w:sz w:val="22"/>
          <w:szCs w:val="22"/>
        </w:rPr>
        <w:t xml:space="preserve"> Rozwoju Transportu Województwa Podkarpackiego do roku 2030</w:t>
      </w:r>
      <w:r w:rsidRPr="009B78DA">
        <w:rPr>
          <w:rFonts w:ascii="Arial" w:hAnsi="Arial" w:cs="Arial"/>
          <w:iCs/>
          <w:color w:val="000000" w:themeColor="text1"/>
          <w:sz w:val="22"/>
          <w:szCs w:val="22"/>
        </w:rPr>
        <w:t xml:space="preserve">, wypełnia cele krajowych dokumentów strategicznych, w tym w szczególności cele </w:t>
      </w:r>
      <w:r w:rsidRPr="009B78DA">
        <w:rPr>
          <w:rFonts w:ascii="Arial" w:hAnsi="Arial" w:cs="Arial"/>
          <w:i/>
          <w:color w:val="000000" w:themeColor="text1"/>
          <w:sz w:val="22"/>
          <w:szCs w:val="22"/>
        </w:rPr>
        <w:t>Strategii Zrównoważonego Rozwoju Transportu do 2030 r.</w:t>
      </w:r>
      <w:r w:rsidRPr="009B78DA">
        <w:rPr>
          <w:rFonts w:ascii="Arial" w:hAnsi="Arial" w:cs="Arial"/>
          <w:iCs/>
          <w:color w:val="000000" w:themeColor="text1"/>
          <w:sz w:val="22"/>
          <w:szCs w:val="22"/>
        </w:rPr>
        <w:t xml:space="preserve"> oraz </w:t>
      </w:r>
      <w:r w:rsidRPr="009B78DA">
        <w:rPr>
          <w:rFonts w:ascii="Arial" w:hAnsi="Arial" w:cs="Arial"/>
          <w:i/>
          <w:color w:val="000000" w:themeColor="text1"/>
          <w:sz w:val="22"/>
          <w:szCs w:val="22"/>
        </w:rPr>
        <w:t>Dokumentu Implementacyjnego do Strategii Rozwoju Transportu do 2020 r.</w:t>
      </w:r>
      <w:r w:rsidRPr="009B78DA">
        <w:rPr>
          <w:rFonts w:ascii="Arial" w:hAnsi="Arial" w:cs="Arial"/>
          <w:iCs/>
          <w:color w:val="000000" w:themeColor="text1"/>
          <w:sz w:val="22"/>
          <w:szCs w:val="22"/>
        </w:rPr>
        <w:t xml:space="preserve"> (z perspektywą do 2030 r.)</w:t>
      </w:r>
      <w:r w:rsidRPr="009B78DA">
        <w:rPr>
          <w:rStyle w:val="Odwoanieprzypisudolnego"/>
          <w:rFonts w:ascii="Arial" w:hAnsi="Arial" w:cs="Arial"/>
          <w:iCs/>
          <w:color w:val="000000" w:themeColor="text1"/>
          <w:sz w:val="22"/>
          <w:szCs w:val="22"/>
        </w:rPr>
        <w:footnoteReference w:id="3"/>
      </w:r>
      <w:r w:rsidRPr="009B78DA">
        <w:rPr>
          <w:rFonts w:ascii="Arial" w:hAnsi="Arial" w:cs="Arial"/>
          <w:iCs/>
          <w:color w:val="000000" w:themeColor="text1"/>
          <w:sz w:val="22"/>
          <w:szCs w:val="22"/>
        </w:rPr>
        <w:t>.</w:t>
      </w:r>
    </w:p>
    <w:p w14:paraId="26FE5899" w14:textId="77777777" w:rsidR="005E6C16" w:rsidRPr="009B78DA" w:rsidRDefault="005E6C16" w:rsidP="00535478">
      <w:pPr>
        <w:spacing w:after="0" w:line="288"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Na poziomie regionalnym Program jest zasadniczym narzędziem realizacji </w:t>
      </w:r>
      <w:r w:rsidRPr="009B78DA">
        <w:rPr>
          <w:rFonts w:ascii="Arial" w:hAnsi="Arial" w:cs="Arial"/>
          <w:i/>
          <w:iCs/>
          <w:color w:val="000000" w:themeColor="text1"/>
          <w:sz w:val="22"/>
          <w:szCs w:val="22"/>
        </w:rPr>
        <w:t>Strategii Rozwoju Województwa – Podkarpackie 2030</w:t>
      </w:r>
      <w:r w:rsidRPr="009B78DA">
        <w:rPr>
          <w:rFonts w:ascii="Arial" w:hAnsi="Arial" w:cs="Arial"/>
          <w:color w:val="000000" w:themeColor="text1"/>
          <w:sz w:val="22"/>
          <w:szCs w:val="22"/>
        </w:rPr>
        <w:t xml:space="preserve"> uchwalonej przez Sejmik Województwa Podkarpackiego w dniu 28 września 2020 r. (Uchwała Nr XXVII/458/20).</w:t>
      </w:r>
    </w:p>
    <w:p w14:paraId="0699A92C" w14:textId="77777777" w:rsidR="005E6C16" w:rsidRPr="009B78DA" w:rsidRDefault="005E6C16" w:rsidP="00535478">
      <w:pPr>
        <w:spacing w:after="0" w:line="288"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PSRT WP poprzez zintegrowanie ze </w:t>
      </w:r>
      <w:r w:rsidRPr="009B78DA">
        <w:rPr>
          <w:rFonts w:ascii="Arial" w:hAnsi="Arial" w:cs="Arial"/>
          <w:i/>
          <w:iCs/>
          <w:color w:val="000000" w:themeColor="text1"/>
          <w:sz w:val="22"/>
          <w:szCs w:val="22"/>
        </w:rPr>
        <w:t>Strategią rozwoju województwa – Podkarpackie 2030</w:t>
      </w:r>
      <w:r w:rsidRPr="009B78DA">
        <w:rPr>
          <w:rFonts w:ascii="Arial" w:hAnsi="Arial" w:cs="Arial"/>
          <w:color w:val="000000" w:themeColor="text1"/>
          <w:sz w:val="22"/>
          <w:szCs w:val="22"/>
        </w:rPr>
        <w:t xml:space="preserve"> oraz programem regionalnym na lata 2021-2027 (</w:t>
      </w:r>
      <w:r w:rsidRPr="009B78DA">
        <w:rPr>
          <w:rFonts w:ascii="Arial" w:hAnsi="Arial" w:cs="Arial"/>
          <w:i/>
          <w:color w:val="000000" w:themeColor="text1"/>
          <w:sz w:val="22"/>
          <w:szCs w:val="22"/>
        </w:rPr>
        <w:t>Fundusze Europejskie dla Podkarpacia 2021-2027</w:t>
      </w:r>
      <w:r w:rsidRPr="009B78DA">
        <w:rPr>
          <w:rFonts w:ascii="Arial" w:hAnsi="Arial" w:cs="Arial"/>
          <w:color w:val="000000" w:themeColor="text1"/>
          <w:sz w:val="22"/>
          <w:szCs w:val="22"/>
        </w:rPr>
        <w:t>) wpisuje się w założenia europejskiej i krajowej polityki rozwoju regionalnego na lata 2021-2027, zapewniając tam, gdzie to jest możliwe, komplementarność projektów planowanych do realizacji zarówno na poziomie krajowym, jak i regionalnym.</w:t>
      </w:r>
    </w:p>
    <w:p w14:paraId="4FFBAA51" w14:textId="3356888C" w:rsidR="005E6C16" w:rsidRPr="009B78DA" w:rsidRDefault="005E6C16" w:rsidP="00535478">
      <w:pPr>
        <w:spacing w:after="0" w:line="288"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Podstawę prawną do opracowania PSRT WP stanowi</w:t>
      </w:r>
      <w:r w:rsidR="00CD1572" w:rsidRPr="009B78DA">
        <w:rPr>
          <w:rStyle w:val="Odwoaniedokomentarza"/>
          <w:color w:val="000000" w:themeColor="text1"/>
        </w:rPr>
        <w:t xml:space="preserve"> </w:t>
      </w:r>
      <w:r w:rsidRPr="009B78DA">
        <w:rPr>
          <w:rFonts w:ascii="Arial" w:hAnsi="Arial" w:cs="Arial"/>
          <w:color w:val="000000" w:themeColor="text1"/>
          <w:sz w:val="22"/>
          <w:szCs w:val="22"/>
        </w:rPr>
        <w:t xml:space="preserve">art. 11 ust. 2 pkt 1 i 2 Ustawy </w:t>
      </w:r>
      <w:r w:rsidR="00897328" w:rsidRPr="009B78DA">
        <w:rPr>
          <w:rFonts w:ascii="Arial" w:hAnsi="Arial" w:cs="Arial"/>
          <w:color w:val="000000" w:themeColor="text1"/>
          <w:sz w:val="22"/>
          <w:szCs w:val="22"/>
        </w:rPr>
        <w:br/>
      </w:r>
      <w:r w:rsidRPr="009B78DA">
        <w:rPr>
          <w:rFonts w:ascii="Arial" w:hAnsi="Arial" w:cs="Arial"/>
          <w:color w:val="000000" w:themeColor="text1"/>
          <w:sz w:val="22"/>
          <w:szCs w:val="22"/>
        </w:rPr>
        <w:t>z dnia 5 czerwca 1998 r. o samorządzie województwa (</w:t>
      </w:r>
      <w:r w:rsidR="00664662" w:rsidRPr="009B78DA">
        <w:rPr>
          <w:rFonts w:ascii="Arial" w:hAnsi="Arial" w:cs="Arial"/>
          <w:color w:val="000000" w:themeColor="text1"/>
          <w:sz w:val="22"/>
          <w:szCs w:val="22"/>
        </w:rPr>
        <w:t>Dz.U.</w:t>
      </w:r>
      <w:r w:rsidR="00BF328C" w:rsidRPr="009B78DA">
        <w:rPr>
          <w:rFonts w:ascii="Arial" w:hAnsi="Arial" w:cs="Arial"/>
          <w:color w:val="000000" w:themeColor="text1"/>
          <w:sz w:val="22"/>
          <w:szCs w:val="22"/>
        </w:rPr>
        <w:t xml:space="preserve"> z </w:t>
      </w:r>
      <w:r w:rsidR="00664662" w:rsidRPr="009B78DA">
        <w:rPr>
          <w:rFonts w:ascii="Arial" w:hAnsi="Arial" w:cs="Arial"/>
          <w:color w:val="000000" w:themeColor="text1"/>
          <w:sz w:val="22"/>
          <w:szCs w:val="22"/>
        </w:rPr>
        <w:t>2022</w:t>
      </w:r>
      <w:r w:rsidR="00BF328C" w:rsidRPr="009B78DA">
        <w:rPr>
          <w:rFonts w:ascii="Arial" w:hAnsi="Arial" w:cs="Arial"/>
          <w:color w:val="000000" w:themeColor="text1"/>
          <w:sz w:val="22"/>
          <w:szCs w:val="22"/>
        </w:rPr>
        <w:t xml:space="preserve"> r. poz. </w:t>
      </w:r>
      <w:r w:rsidR="00664662" w:rsidRPr="009B78DA">
        <w:rPr>
          <w:rFonts w:ascii="Arial" w:hAnsi="Arial" w:cs="Arial"/>
          <w:color w:val="000000" w:themeColor="text1"/>
          <w:sz w:val="22"/>
          <w:szCs w:val="22"/>
        </w:rPr>
        <w:t>2094</w:t>
      </w:r>
      <w:r w:rsidR="00CD1572" w:rsidRPr="009B78DA">
        <w:rPr>
          <w:rStyle w:val="Odwoaniedokomentarza"/>
          <w:rFonts w:ascii="Arial" w:hAnsi="Arial" w:cs="Arial"/>
          <w:color w:val="000000" w:themeColor="text1"/>
          <w:sz w:val="22"/>
          <w:szCs w:val="22"/>
        </w:rPr>
        <w:t xml:space="preserve">) </w:t>
      </w:r>
      <w:r w:rsidRPr="009B78DA">
        <w:rPr>
          <w:rFonts w:ascii="Arial" w:hAnsi="Arial" w:cs="Arial"/>
          <w:color w:val="000000" w:themeColor="text1"/>
          <w:sz w:val="22"/>
          <w:szCs w:val="22"/>
        </w:rPr>
        <w:t>oraz Uchwała nr 140/3157/20 Zarządu Województwa Podkarpackiego z dnia 31 marca 2020 r.</w:t>
      </w:r>
    </w:p>
    <w:p w14:paraId="04C1BB26" w14:textId="45112F90" w:rsidR="005E6C16" w:rsidRPr="009B78DA" w:rsidRDefault="005E6C16" w:rsidP="00535478">
      <w:pPr>
        <w:spacing w:after="0" w:line="288"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Dokument spełnia dwa podstawowe zadania tj.</w:t>
      </w:r>
      <w:r w:rsidR="00D92446" w:rsidRPr="009B78DA">
        <w:rPr>
          <w:rFonts w:ascii="Arial" w:hAnsi="Arial" w:cs="Arial"/>
          <w:color w:val="000000" w:themeColor="text1"/>
          <w:sz w:val="22"/>
          <w:szCs w:val="22"/>
        </w:rPr>
        <w:t>:</w:t>
      </w:r>
    </w:p>
    <w:p w14:paraId="17354C7E" w14:textId="77777777" w:rsidR="005E6C16" w:rsidRPr="009B78DA" w:rsidRDefault="005E6C16" w:rsidP="00535478">
      <w:pPr>
        <w:pStyle w:val="Akapitzlist"/>
        <w:numPr>
          <w:ilvl w:val="0"/>
          <w:numId w:val="244"/>
        </w:numPr>
        <w:spacing w:after="0" w:line="288" w:lineRule="auto"/>
        <w:ind w:left="284" w:hanging="284"/>
        <w:rPr>
          <w:rFonts w:ascii="Arial" w:hAnsi="Arial" w:cs="Arial"/>
          <w:color w:val="000000" w:themeColor="text1"/>
          <w:sz w:val="22"/>
          <w:szCs w:val="22"/>
        </w:rPr>
      </w:pPr>
      <w:r w:rsidRPr="009B78DA">
        <w:rPr>
          <w:rFonts w:ascii="Arial" w:hAnsi="Arial" w:cs="Arial"/>
          <w:color w:val="000000" w:themeColor="text1"/>
          <w:sz w:val="22"/>
          <w:szCs w:val="22"/>
        </w:rPr>
        <w:t xml:space="preserve">obejmuje kompleksową wizję rozwoju systemu transportowego (kompleksowe działania </w:t>
      </w:r>
      <w:r w:rsidRPr="009B78DA">
        <w:rPr>
          <w:rFonts w:ascii="Arial" w:hAnsi="Arial" w:cs="Arial"/>
          <w:color w:val="000000" w:themeColor="text1"/>
          <w:sz w:val="22"/>
          <w:szCs w:val="22"/>
        </w:rPr>
        <w:br/>
        <w:t>w ramach wszystkich gałęzi transportu, niezależnie od układu kompetencji),</w:t>
      </w:r>
    </w:p>
    <w:p w14:paraId="72C42D46" w14:textId="77777777" w:rsidR="005E6C16" w:rsidRPr="009B78DA" w:rsidRDefault="005E6C16" w:rsidP="00535478">
      <w:pPr>
        <w:pStyle w:val="Akapitzlist"/>
        <w:numPr>
          <w:ilvl w:val="0"/>
          <w:numId w:val="244"/>
        </w:numPr>
        <w:spacing w:after="0" w:line="288" w:lineRule="auto"/>
        <w:ind w:left="284" w:hanging="284"/>
        <w:rPr>
          <w:rFonts w:ascii="Arial" w:hAnsi="Arial" w:cs="Arial"/>
          <w:color w:val="000000" w:themeColor="text1"/>
          <w:sz w:val="22"/>
          <w:szCs w:val="22"/>
        </w:rPr>
      </w:pPr>
      <w:r w:rsidRPr="009B78DA">
        <w:rPr>
          <w:rFonts w:ascii="Arial" w:hAnsi="Arial" w:cs="Arial"/>
          <w:color w:val="000000" w:themeColor="text1"/>
          <w:sz w:val="22"/>
          <w:szCs w:val="22"/>
        </w:rPr>
        <w:t>stanowi podstawę finansowania inwestycji w ramach perspektywy finansowej 2021-2027 (w ramach kompetencji przypisanych samorządowi szczebla regionalnego).</w:t>
      </w:r>
    </w:p>
    <w:p w14:paraId="6B09DCC6" w14:textId="77777777" w:rsidR="005E6C16" w:rsidRPr="009B78DA" w:rsidRDefault="005E6C16" w:rsidP="00535478">
      <w:pPr>
        <w:spacing w:after="0" w:line="288" w:lineRule="auto"/>
        <w:ind w:firstLine="720"/>
        <w:rPr>
          <w:rFonts w:ascii="Arial" w:hAnsi="Arial" w:cs="Arial"/>
          <w:color w:val="000000" w:themeColor="text1"/>
          <w:sz w:val="22"/>
          <w:szCs w:val="22"/>
        </w:rPr>
      </w:pPr>
      <w:r w:rsidRPr="009B78DA">
        <w:rPr>
          <w:rFonts w:ascii="Arial" w:hAnsi="Arial" w:cs="Arial"/>
          <w:color w:val="000000" w:themeColor="text1"/>
          <w:sz w:val="22"/>
          <w:szCs w:val="22"/>
        </w:rPr>
        <w:t>Ze względu na rozbudowany charakter systemu transportowego regionu, jego rozwój w drodze realizacji Programu wymaga wzajemnej współpracy różnych podmiotów, w tym przede wszystkim: władz państwowych, jednostek samorządu terytorialnego i zarządców infrastruktury transportowej. Z mocy prawa, rola Samorządu Województwa Podkarpackiego zajmującego w procesie wdrażania dokumentu miejsce szczególne, ogranicza się przede wszystkim do realizacji zadań właściwych dla Województwa Podkarpackiego oraz jego jednostek organizacyjnych.</w:t>
      </w:r>
    </w:p>
    <w:p w14:paraId="74678BFE" w14:textId="39342441" w:rsidR="005E6C16" w:rsidRPr="009B78DA" w:rsidRDefault="005E6C16" w:rsidP="00535478">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Województwo Podkarpackie, pomimo posiadania wybranych narzędzi pozwalających na stymulowanie działań pozwalających na ograniczenie </w:t>
      </w:r>
      <w:r w:rsidR="005E37DD">
        <w:rPr>
          <w:rFonts w:ascii="Arial" w:hAnsi="Arial" w:cs="Arial"/>
          <w:color w:val="000000" w:themeColor="text1"/>
          <w:sz w:val="22"/>
          <w:szCs w:val="22"/>
        </w:rPr>
        <w:t xml:space="preserve">wpływu na środowisko naturalne </w:t>
      </w:r>
      <w:r w:rsidRPr="009B78DA">
        <w:rPr>
          <w:rFonts w:ascii="Arial" w:hAnsi="Arial" w:cs="Arial"/>
          <w:color w:val="000000" w:themeColor="text1"/>
          <w:sz w:val="22"/>
          <w:szCs w:val="22"/>
        </w:rPr>
        <w:t>(w tym emisji gazów cieplarnianych z transportu do atmosfery) oraz na poprawę bezpieczeństwa w systemie transportowym, nie posiada jednak możliwości kompleksowego działania w tym zakresie. O ile kompetencje Samorządu Województwa dotyczą np. dróg wojewódzkich, to poza jego możliwościami jest sprawowanie szerokiego nadzoru i monitoringu dotyczącego rodzajów pojazdów użytkowanych na terenie regionu. Województwo nie może też brać pełnej odpowiedzialności m.in. za plany inwestycyjne JST niższego szczebla oraz ich realizację np. w zakresie infrastruktury drogowej. Zapisy PSRT WP w odniesieniu do elementów systemu transportowego będących poza kontrolą Samorządu Województwa mają w znacznej mierze chara</w:t>
      </w:r>
      <w:r w:rsidR="005E37DD">
        <w:rPr>
          <w:rFonts w:ascii="Arial" w:hAnsi="Arial" w:cs="Arial"/>
          <w:color w:val="000000" w:themeColor="text1"/>
          <w:sz w:val="22"/>
          <w:szCs w:val="22"/>
        </w:rPr>
        <w:t>kter pomocniczy i referencyjny.</w:t>
      </w:r>
    </w:p>
    <w:p w14:paraId="4372770D" w14:textId="205F9520" w:rsidR="005E6C16" w:rsidRPr="009B78DA" w:rsidRDefault="005E6C16" w:rsidP="00535478">
      <w:pPr>
        <w:spacing w:after="0" w:line="288" w:lineRule="auto"/>
        <w:ind w:firstLine="720"/>
        <w:rPr>
          <w:rFonts w:ascii="Arial" w:hAnsi="Arial" w:cs="Arial"/>
          <w:color w:val="000000" w:themeColor="text1"/>
          <w:sz w:val="22"/>
          <w:szCs w:val="22"/>
        </w:rPr>
      </w:pPr>
      <w:r w:rsidRPr="009B78DA">
        <w:rPr>
          <w:rFonts w:ascii="Arial" w:hAnsi="Arial" w:cs="Arial"/>
          <w:color w:val="000000" w:themeColor="text1"/>
          <w:sz w:val="22"/>
          <w:szCs w:val="22"/>
        </w:rPr>
        <w:t>Mimo wskazanych ograniczeń</w:t>
      </w:r>
      <w:r w:rsidR="00CF6712" w:rsidRPr="009B78DA">
        <w:rPr>
          <w:rFonts w:ascii="Arial" w:hAnsi="Arial" w:cs="Arial"/>
          <w:i/>
          <w:iCs/>
          <w:color w:val="000000" w:themeColor="text1"/>
          <w:sz w:val="22"/>
          <w:szCs w:val="22"/>
        </w:rPr>
        <w:t xml:space="preserve"> </w:t>
      </w:r>
      <w:r w:rsidRPr="009B78DA">
        <w:rPr>
          <w:rFonts w:ascii="Arial" w:hAnsi="Arial" w:cs="Arial"/>
          <w:i/>
          <w:iCs/>
          <w:color w:val="000000" w:themeColor="text1"/>
          <w:sz w:val="22"/>
          <w:szCs w:val="22"/>
        </w:rPr>
        <w:t>Program Strategiczn</w:t>
      </w:r>
      <w:r w:rsidR="00245C86" w:rsidRPr="009B78DA">
        <w:rPr>
          <w:rFonts w:ascii="Arial" w:hAnsi="Arial" w:cs="Arial"/>
          <w:i/>
          <w:iCs/>
          <w:color w:val="000000" w:themeColor="text1"/>
          <w:sz w:val="22"/>
          <w:szCs w:val="22"/>
        </w:rPr>
        <w:t>y</w:t>
      </w:r>
      <w:r w:rsidRPr="009B78DA">
        <w:rPr>
          <w:rFonts w:ascii="Arial" w:hAnsi="Arial" w:cs="Arial"/>
          <w:i/>
          <w:iCs/>
          <w:color w:val="000000" w:themeColor="text1"/>
          <w:sz w:val="22"/>
          <w:szCs w:val="22"/>
        </w:rPr>
        <w:t xml:space="preserve"> Rozwoju Transportu Województwa Podkarpackiego do roku 2030</w:t>
      </w:r>
      <w:r w:rsidRPr="009B78DA">
        <w:rPr>
          <w:rFonts w:ascii="Arial" w:hAnsi="Arial" w:cs="Arial"/>
          <w:color w:val="000000" w:themeColor="text1"/>
          <w:sz w:val="22"/>
          <w:szCs w:val="22"/>
        </w:rPr>
        <w:t xml:space="preserve"> jest dokumentem kompleksowym. Obejmuje zintegrowane działania wszystkich interesariuszy transportu w województwie oraz pokazuje cały system. Program wskazuje główne kierunki rozwoju infrastruktury transportowej mające na celu poprawę szeroko rozumianej wewnętrznej i zewnętrznej dostępności przestrzennej regionu. Swoim zakresem Program obejmuje również problematykę realizowanego </w:t>
      </w:r>
      <w:r w:rsidR="005E37DD">
        <w:rPr>
          <w:rFonts w:ascii="Arial" w:hAnsi="Arial" w:cs="Arial"/>
          <w:color w:val="000000" w:themeColor="text1"/>
          <w:sz w:val="22"/>
          <w:szCs w:val="22"/>
        </w:rPr>
        <w:br/>
      </w:r>
      <w:r w:rsidRPr="009B78DA">
        <w:rPr>
          <w:rFonts w:ascii="Arial" w:hAnsi="Arial" w:cs="Arial"/>
          <w:color w:val="000000" w:themeColor="text1"/>
          <w:sz w:val="22"/>
          <w:szCs w:val="22"/>
        </w:rPr>
        <w:t>w regionie transportu, z uwzględnieniem poszczególnych gałęzi oraz w podziale na przewóz osób i towarów.</w:t>
      </w:r>
    </w:p>
    <w:p w14:paraId="194DF73B" w14:textId="0DE8B95B" w:rsidR="005E6C16" w:rsidRPr="009B78DA" w:rsidRDefault="005E6C16" w:rsidP="00535478">
      <w:pPr>
        <w:spacing w:after="0" w:line="288"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Aby system wdrażania i realizacji Programu przebiegał planowo, istotną kwestią było zaangażowanie kluczowych interesariuszy poszczególnych gałęzi transportu, tworzącego system transportowy województwa podkarpackiego oraz partycypacja społeczna podczas tworzenia niniejszego dokumentu.</w:t>
      </w:r>
    </w:p>
    <w:p w14:paraId="5F124D2D" w14:textId="1FC4D872" w:rsidR="005E6C16" w:rsidRPr="009B78DA" w:rsidRDefault="005E6C16" w:rsidP="00535478">
      <w:pPr>
        <w:spacing w:after="0" w:line="288" w:lineRule="auto"/>
        <w:ind w:firstLine="720"/>
        <w:rPr>
          <w:rFonts w:ascii="Arial" w:hAnsi="Arial" w:cs="Arial"/>
          <w:color w:val="000000" w:themeColor="text1"/>
          <w:sz w:val="22"/>
          <w:szCs w:val="22"/>
        </w:rPr>
      </w:pPr>
      <w:r w:rsidRPr="009B78DA">
        <w:rPr>
          <w:rFonts w:ascii="Arial" w:hAnsi="Arial" w:cs="Arial"/>
          <w:color w:val="000000" w:themeColor="text1"/>
          <w:sz w:val="22"/>
          <w:szCs w:val="22"/>
        </w:rPr>
        <w:t xml:space="preserve">Na wstępnym etapie przygotowania dokumentu stworzono platformę wymiany informacji dla wszystkich interesariuszy w zakresie transportu – zarówno publicznych jak </w:t>
      </w:r>
      <w:r w:rsidRPr="009B78DA">
        <w:rPr>
          <w:rFonts w:ascii="Arial" w:hAnsi="Arial" w:cs="Arial"/>
          <w:color w:val="000000" w:themeColor="text1"/>
          <w:sz w:val="22"/>
          <w:szCs w:val="22"/>
        </w:rPr>
        <w:br/>
        <w:t>i prywatnych. Umożliwiono im wskazanie swoich możliwości oraz ograniczeń. Wysłuchano potrzeb w zakresie realizacji podstawowych z</w:t>
      </w:r>
      <w:r w:rsidR="005E37DD">
        <w:rPr>
          <w:rFonts w:ascii="Arial" w:hAnsi="Arial" w:cs="Arial"/>
          <w:color w:val="000000" w:themeColor="text1"/>
          <w:sz w:val="22"/>
          <w:szCs w:val="22"/>
        </w:rPr>
        <w:t>adań, a także zgromadzono dane.</w:t>
      </w:r>
    </w:p>
    <w:p w14:paraId="5C27A0C5" w14:textId="5DB04070" w:rsidR="005E6C16" w:rsidRPr="009B78DA" w:rsidRDefault="005E6C16" w:rsidP="00535478">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Realizując proces przygotowania dokumentu podjęto decyzję o maksymalnym wykorzystaniu możliwości koordynacyjnych i wspierających poszczególne podmioty transportowe. W tym celu, Zarząd Województwa Podkarpackiego powołał Zespół ds. przygotowania PSRT WP, którego zadaniem była koordynacja prac nad dokumentem </w:t>
      </w:r>
      <w:r w:rsidR="005E37DD">
        <w:rPr>
          <w:rFonts w:ascii="Arial" w:hAnsi="Arial" w:cs="Arial"/>
          <w:color w:val="000000" w:themeColor="text1"/>
          <w:sz w:val="22"/>
          <w:szCs w:val="22"/>
        </w:rPr>
        <w:br/>
      </w:r>
      <w:r w:rsidRPr="009B78DA">
        <w:rPr>
          <w:rFonts w:ascii="Arial" w:hAnsi="Arial" w:cs="Arial"/>
          <w:color w:val="000000" w:themeColor="text1"/>
          <w:sz w:val="22"/>
          <w:szCs w:val="22"/>
        </w:rPr>
        <w:t>i nadzór w zakresie spójności programowania strategicznego.</w:t>
      </w:r>
    </w:p>
    <w:p w14:paraId="46B8C581" w14:textId="4DA4FD47" w:rsidR="001E6704" w:rsidRPr="009B78DA" w:rsidRDefault="005E6C16" w:rsidP="00535478">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Sytuacja w zakresie strategicznego planowania rozwoju infrastruktury jak i procesów transportowych (transport publiczny oraz towarowy) nie jest zamknięta</w:t>
      </w:r>
      <w:r w:rsidR="00834320" w:rsidRPr="009B78DA">
        <w:rPr>
          <w:rFonts w:ascii="Arial" w:hAnsi="Arial" w:cs="Arial"/>
          <w:color w:val="000000" w:themeColor="text1"/>
          <w:sz w:val="22"/>
          <w:szCs w:val="22"/>
        </w:rPr>
        <w:t>. C</w:t>
      </w:r>
      <w:r w:rsidR="003A56B1" w:rsidRPr="009B78DA">
        <w:rPr>
          <w:rFonts w:ascii="Arial" w:hAnsi="Arial" w:cs="Arial"/>
          <w:color w:val="000000" w:themeColor="text1"/>
          <w:sz w:val="22"/>
          <w:szCs w:val="22"/>
        </w:rPr>
        <w:t>zas prac</w:t>
      </w:r>
      <w:r w:rsidR="00624BBF" w:rsidRPr="009B78DA">
        <w:rPr>
          <w:rFonts w:ascii="Arial" w:hAnsi="Arial" w:cs="Arial"/>
          <w:color w:val="000000" w:themeColor="text1"/>
          <w:sz w:val="22"/>
          <w:szCs w:val="22"/>
        </w:rPr>
        <w:t>y</w:t>
      </w:r>
      <w:r w:rsidR="003A56B1" w:rsidRPr="009B78DA">
        <w:rPr>
          <w:rFonts w:ascii="Arial" w:hAnsi="Arial" w:cs="Arial"/>
          <w:color w:val="000000" w:themeColor="text1"/>
          <w:sz w:val="22"/>
          <w:szCs w:val="22"/>
        </w:rPr>
        <w:t xml:space="preserve"> nad </w:t>
      </w:r>
      <w:r w:rsidR="00E038A2" w:rsidRPr="009B78DA">
        <w:rPr>
          <w:rFonts w:ascii="Arial" w:hAnsi="Arial" w:cs="Arial"/>
          <w:color w:val="000000" w:themeColor="text1"/>
          <w:sz w:val="22"/>
          <w:szCs w:val="22"/>
        </w:rPr>
        <w:t xml:space="preserve">niniejszym </w:t>
      </w:r>
      <w:r w:rsidR="003A56B1" w:rsidRPr="009B78DA">
        <w:rPr>
          <w:rFonts w:ascii="Arial" w:hAnsi="Arial" w:cs="Arial"/>
          <w:color w:val="000000" w:themeColor="text1"/>
          <w:sz w:val="22"/>
          <w:szCs w:val="22"/>
        </w:rPr>
        <w:t>dokumentem przypadł w znacznej mierze na okres</w:t>
      </w:r>
      <w:r w:rsidR="003A56B1" w:rsidRPr="009B78DA">
        <w:rPr>
          <w:color w:val="000000" w:themeColor="text1"/>
        </w:rPr>
        <w:t xml:space="preserve"> </w:t>
      </w:r>
      <w:r w:rsidR="003A56B1" w:rsidRPr="009B78DA">
        <w:rPr>
          <w:rFonts w:ascii="Arial" w:hAnsi="Arial" w:cs="Arial"/>
          <w:color w:val="000000" w:themeColor="text1"/>
          <w:sz w:val="22"/>
          <w:szCs w:val="22"/>
        </w:rPr>
        <w:t>pandemii COVID-19</w:t>
      </w:r>
      <w:r w:rsidR="00834320" w:rsidRPr="009B78DA">
        <w:rPr>
          <w:rFonts w:ascii="Arial" w:hAnsi="Arial" w:cs="Arial"/>
          <w:color w:val="000000" w:themeColor="text1"/>
          <w:sz w:val="22"/>
          <w:szCs w:val="22"/>
        </w:rPr>
        <w:t xml:space="preserve">, a na terytorium sąsiadującej z Polską (i </w:t>
      </w:r>
      <w:r w:rsidR="0038160C" w:rsidRPr="009B78DA">
        <w:rPr>
          <w:rFonts w:ascii="Arial" w:hAnsi="Arial" w:cs="Arial"/>
          <w:color w:val="000000" w:themeColor="text1"/>
          <w:sz w:val="22"/>
          <w:szCs w:val="22"/>
        </w:rPr>
        <w:t xml:space="preserve">jednocześnie </w:t>
      </w:r>
      <w:r w:rsidR="00834320" w:rsidRPr="009B78DA">
        <w:rPr>
          <w:rFonts w:ascii="Arial" w:hAnsi="Arial" w:cs="Arial"/>
          <w:color w:val="000000" w:themeColor="text1"/>
          <w:sz w:val="22"/>
          <w:szCs w:val="22"/>
        </w:rPr>
        <w:t>województwem podkarpackim) Ukrainy od lutego 2022 r</w:t>
      </w:r>
      <w:r w:rsidR="00E038A2" w:rsidRPr="009B78DA">
        <w:rPr>
          <w:rFonts w:ascii="Arial" w:hAnsi="Arial" w:cs="Arial"/>
          <w:color w:val="000000" w:themeColor="text1"/>
          <w:sz w:val="22"/>
          <w:szCs w:val="22"/>
        </w:rPr>
        <w:t>.</w:t>
      </w:r>
      <w:r w:rsidR="00834320" w:rsidRPr="009B78DA">
        <w:rPr>
          <w:rFonts w:ascii="Arial" w:hAnsi="Arial" w:cs="Arial"/>
          <w:color w:val="000000" w:themeColor="text1"/>
          <w:sz w:val="22"/>
          <w:szCs w:val="22"/>
        </w:rPr>
        <w:t xml:space="preserve"> nieprzerwanie trwa konflikt zbrojny.</w:t>
      </w:r>
    </w:p>
    <w:p w14:paraId="431C04D2" w14:textId="681F62A7" w:rsidR="005E6C16" w:rsidRPr="009B78DA" w:rsidRDefault="00624BBF" w:rsidP="00535478">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C</w:t>
      </w:r>
      <w:r w:rsidR="003A56B1" w:rsidRPr="009B78DA">
        <w:rPr>
          <w:rFonts w:ascii="Arial" w:hAnsi="Arial" w:cs="Arial"/>
          <w:color w:val="000000" w:themeColor="text1"/>
          <w:sz w:val="22"/>
          <w:szCs w:val="22"/>
        </w:rPr>
        <w:t>hoć aktualnie wydaje się, że wpływ</w:t>
      </w:r>
      <w:r w:rsidR="001E6704" w:rsidRPr="009B78DA">
        <w:rPr>
          <w:rFonts w:ascii="Arial" w:hAnsi="Arial" w:cs="Arial"/>
          <w:color w:val="000000" w:themeColor="text1"/>
          <w:sz w:val="22"/>
          <w:szCs w:val="22"/>
        </w:rPr>
        <w:t xml:space="preserve"> czynnika jakim była wspomniana choroba</w:t>
      </w:r>
      <w:r w:rsidR="00067BFA">
        <w:rPr>
          <w:rFonts w:ascii="Arial" w:hAnsi="Arial" w:cs="Arial"/>
          <w:color w:val="000000" w:themeColor="text1"/>
          <w:sz w:val="22"/>
          <w:szCs w:val="22"/>
        </w:rPr>
        <w:t xml:space="preserve"> </w:t>
      </w:r>
      <w:r w:rsidR="00067BFA">
        <w:rPr>
          <w:rFonts w:ascii="Arial" w:hAnsi="Arial" w:cs="Arial"/>
          <w:color w:val="000000" w:themeColor="text1"/>
          <w:sz w:val="22"/>
          <w:szCs w:val="22"/>
        </w:rPr>
        <w:br/>
      </w:r>
      <w:r w:rsidR="001E6704" w:rsidRPr="009B78DA">
        <w:rPr>
          <w:rFonts w:ascii="Arial" w:hAnsi="Arial" w:cs="Arial"/>
          <w:color w:val="000000" w:themeColor="text1"/>
          <w:sz w:val="22"/>
          <w:szCs w:val="22"/>
        </w:rPr>
        <w:t>o zasięgu</w:t>
      </w:r>
      <w:r w:rsidR="003A56B1" w:rsidRPr="009B78DA">
        <w:rPr>
          <w:rFonts w:ascii="Arial" w:hAnsi="Arial" w:cs="Arial"/>
          <w:color w:val="000000" w:themeColor="text1"/>
          <w:sz w:val="22"/>
          <w:szCs w:val="22"/>
        </w:rPr>
        <w:t xml:space="preserve"> </w:t>
      </w:r>
      <w:r w:rsidR="00246A54" w:rsidRPr="009B78DA">
        <w:rPr>
          <w:rFonts w:ascii="Arial" w:hAnsi="Arial" w:cs="Arial"/>
          <w:color w:val="000000" w:themeColor="text1"/>
          <w:sz w:val="22"/>
          <w:szCs w:val="22"/>
        </w:rPr>
        <w:t>globaln</w:t>
      </w:r>
      <w:r w:rsidR="001E6704" w:rsidRPr="009B78DA">
        <w:rPr>
          <w:rFonts w:ascii="Arial" w:hAnsi="Arial" w:cs="Arial"/>
          <w:color w:val="000000" w:themeColor="text1"/>
          <w:sz w:val="22"/>
          <w:szCs w:val="22"/>
        </w:rPr>
        <w:t>ym</w:t>
      </w:r>
      <w:r w:rsidR="00246A54" w:rsidRPr="009B78DA">
        <w:rPr>
          <w:rFonts w:ascii="Arial" w:hAnsi="Arial" w:cs="Arial"/>
          <w:color w:val="000000" w:themeColor="text1"/>
          <w:sz w:val="22"/>
          <w:szCs w:val="22"/>
        </w:rPr>
        <w:t xml:space="preserve"> </w:t>
      </w:r>
      <w:r w:rsidR="003A56B1" w:rsidRPr="009B78DA">
        <w:rPr>
          <w:rFonts w:ascii="Arial" w:hAnsi="Arial" w:cs="Arial"/>
          <w:color w:val="000000" w:themeColor="text1"/>
          <w:sz w:val="22"/>
          <w:szCs w:val="22"/>
        </w:rPr>
        <w:t xml:space="preserve">nie powinien </w:t>
      </w:r>
      <w:r w:rsidR="00834320" w:rsidRPr="009B78DA">
        <w:rPr>
          <w:rFonts w:ascii="Arial" w:hAnsi="Arial" w:cs="Arial"/>
          <w:color w:val="000000" w:themeColor="text1"/>
          <w:sz w:val="22"/>
          <w:szCs w:val="22"/>
        </w:rPr>
        <w:t xml:space="preserve">w dalszej mierze </w:t>
      </w:r>
      <w:r w:rsidR="003A56B1" w:rsidRPr="009B78DA">
        <w:rPr>
          <w:rFonts w:ascii="Arial" w:hAnsi="Arial" w:cs="Arial"/>
          <w:color w:val="000000" w:themeColor="text1"/>
          <w:sz w:val="22"/>
          <w:szCs w:val="22"/>
        </w:rPr>
        <w:t xml:space="preserve">oddziaływać na system transportowy, to </w:t>
      </w:r>
      <w:r w:rsidR="005E6C16" w:rsidRPr="009B78DA">
        <w:rPr>
          <w:rFonts w:ascii="Arial" w:hAnsi="Arial" w:cs="Arial"/>
          <w:color w:val="000000" w:themeColor="text1"/>
          <w:sz w:val="22"/>
          <w:szCs w:val="22"/>
        </w:rPr>
        <w:t xml:space="preserve">konsekwencje </w:t>
      </w:r>
      <w:r w:rsidR="003A56B1" w:rsidRPr="009B78DA">
        <w:rPr>
          <w:rFonts w:ascii="Arial" w:hAnsi="Arial" w:cs="Arial"/>
          <w:color w:val="000000" w:themeColor="text1"/>
          <w:sz w:val="22"/>
          <w:szCs w:val="22"/>
        </w:rPr>
        <w:t xml:space="preserve">jego wystąpienia w ostatnich latach </w:t>
      </w:r>
      <w:r w:rsidR="005E6C16" w:rsidRPr="009B78DA">
        <w:rPr>
          <w:rFonts w:ascii="Arial" w:hAnsi="Arial" w:cs="Arial"/>
          <w:color w:val="000000" w:themeColor="text1"/>
          <w:sz w:val="22"/>
          <w:szCs w:val="22"/>
        </w:rPr>
        <w:t>są trudne do oszacowania, szczególnie</w:t>
      </w:r>
      <w:r w:rsidR="00067BFA">
        <w:rPr>
          <w:rFonts w:ascii="Arial" w:hAnsi="Arial" w:cs="Arial"/>
          <w:color w:val="000000" w:themeColor="text1"/>
          <w:sz w:val="22"/>
          <w:szCs w:val="22"/>
        </w:rPr>
        <w:t xml:space="preserve"> </w:t>
      </w:r>
      <w:r w:rsidR="00067BFA">
        <w:rPr>
          <w:rFonts w:ascii="Arial" w:hAnsi="Arial" w:cs="Arial"/>
          <w:color w:val="000000" w:themeColor="text1"/>
          <w:sz w:val="22"/>
          <w:szCs w:val="22"/>
        </w:rPr>
        <w:br/>
      </w:r>
      <w:r w:rsidR="005E6C16" w:rsidRPr="009B78DA">
        <w:rPr>
          <w:rFonts w:ascii="Arial" w:hAnsi="Arial" w:cs="Arial"/>
          <w:color w:val="000000" w:themeColor="text1"/>
          <w:sz w:val="22"/>
          <w:szCs w:val="22"/>
        </w:rPr>
        <w:t>w zakresie przewozów pasażerskich (autobusowych oraz kolejowych). Samorząd Województwa podjął wszystkie możliwe kroki mające na celu zobiektywizowanie danych oraz prognoz w zakresie poszczególnych gałęzi transportu (pandemia miała wpływ m.in. na ruch pasażerski i potoki ruchu) celem zminimalizowania ewentualnych negatywnych konsekwencji. Bazował również na danych najbardziej aktualnych, ale również bezpiecznych pod względem wpływu ograniczeń spowodowanych sytuacją sanitarną. Wszystkie te działania przyczyniły się do kompleksowego i skutecznego opracowania dokumentu</w:t>
      </w:r>
      <w:r w:rsidR="00671EF4">
        <w:rPr>
          <w:rFonts w:ascii="Arial" w:hAnsi="Arial" w:cs="Arial"/>
          <w:color w:val="000000" w:themeColor="text1"/>
          <w:sz w:val="22"/>
          <w:szCs w:val="22"/>
        </w:rPr>
        <w:t>.</w:t>
      </w:r>
      <w:r w:rsidR="005E6C16" w:rsidRPr="009B78DA">
        <w:rPr>
          <w:rFonts w:ascii="Arial" w:hAnsi="Arial" w:cs="Arial"/>
          <w:color w:val="000000" w:themeColor="text1"/>
          <w:sz w:val="22"/>
          <w:szCs w:val="22"/>
        </w:rPr>
        <w:t xml:space="preserve"> Należy jednak pamiętać, że </w:t>
      </w:r>
      <w:r w:rsidR="00246A54" w:rsidRPr="009B78DA">
        <w:rPr>
          <w:rFonts w:ascii="Arial" w:hAnsi="Arial" w:cs="Arial"/>
          <w:color w:val="000000" w:themeColor="text1"/>
          <w:sz w:val="22"/>
          <w:szCs w:val="22"/>
        </w:rPr>
        <w:t>przygotowanie</w:t>
      </w:r>
      <w:r w:rsidR="005E6C16" w:rsidRPr="009B78DA">
        <w:rPr>
          <w:rFonts w:ascii="Arial" w:hAnsi="Arial" w:cs="Arial"/>
          <w:color w:val="000000" w:themeColor="text1"/>
          <w:sz w:val="22"/>
          <w:szCs w:val="22"/>
        </w:rPr>
        <w:t xml:space="preserve"> Programu, ze szczególnym uwzględnieniem pr</w:t>
      </w:r>
      <w:r w:rsidR="00246A54" w:rsidRPr="009B78DA">
        <w:rPr>
          <w:rFonts w:ascii="Arial" w:hAnsi="Arial" w:cs="Arial"/>
          <w:color w:val="000000" w:themeColor="text1"/>
          <w:sz w:val="22"/>
          <w:szCs w:val="22"/>
        </w:rPr>
        <w:t>ac</w:t>
      </w:r>
      <w:r w:rsidR="005E6C16" w:rsidRPr="009B78DA">
        <w:rPr>
          <w:rFonts w:ascii="Arial" w:hAnsi="Arial" w:cs="Arial"/>
          <w:color w:val="000000" w:themeColor="text1"/>
          <w:sz w:val="22"/>
          <w:szCs w:val="22"/>
        </w:rPr>
        <w:t xml:space="preserve"> </w:t>
      </w:r>
      <w:r w:rsidR="00246A54" w:rsidRPr="009B78DA">
        <w:rPr>
          <w:rFonts w:ascii="Arial" w:hAnsi="Arial" w:cs="Arial"/>
          <w:color w:val="000000" w:themeColor="text1"/>
          <w:sz w:val="22"/>
          <w:szCs w:val="22"/>
        </w:rPr>
        <w:t>wstępnych (</w:t>
      </w:r>
      <w:r w:rsidR="005E6C16" w:rsidRPr="009B78DA">
        <w:rPr>
          <w:rFonts w:ascii="Arial" w:hAnsi="Arial" w:cs="Arial"/>
          <w:color w:val="000000" w:themeColor="text1"/>
          <w:sz w:val="22"/>
          <w:szCs w:val="22"/>
        </w:rPr>
        <w:t>diagnostyczn</w:t>
      </w:r>
      <w:r w:rsidR="00246A54" w:rsidRPr="009B78DA">
        <w:rPr>
          <w:rFonts w:ascii="Arial" w:hAnsi="Arial" w:cs="Arial"/>
          <w:color w:val="000000" w:themeColor="text1"/>
          <w:sz w:val="22"/>
          <w:szCs w:val="22"/>
        </w:rPr>
        <w:t>ych)</w:t>
      </w:r>
      <w:r w:rsidR="005E6C16" w:rsidRPr="009B78DA">
        <w:rPr>
          <w:rFonts w:ascii="Arial" w:hAnsi="Arial" w:cs="Arial"/>
          <w:color w:val="000000" w:themeColor="text1"/>
          <w:sz w:val="22"/>
          <w:szCs w:val="22"/>
        </w:rPr>
        <w:t>, któr</w:t>
      </w:r>
      <w:r w:rsidR="00246A54" w:rsidRPr="009B78DA">
        <w:rPr>
          <w:rFonts w:ascii="Arial" w:hAnsi="Arial" w:cs="Arial"/>
          <w:color w:val="000000" w:themeColor="text1"/>
          <w:sz w:val="22"/>
          <w:szCs w:val="22"/>
        </w:rPr>
        <w:t>e</w:t>
      </w:r>
      <w:r w:rsidR="005E6C16" w:rsidRPr="009B78DA">
        <w:rPr>
          <w:rFonts w:ascii="Arial" w:hAnsi="Arial" w:cs="Arial"/>
          <w:color w:val="000000" w:themeColor="text1"/>
          <w:sz w:val="22"/>
          <w:szCs w:val="22"/>
        </w:rPr>
        <w:t xml:space="preserve"> pozwolił</w:t>
      </w:r>
      <w:r w:rsidR="00246A54" w:rsidRPr="009B78DA">
        <w:rPr>
          <w:rFonts w:ascii="Arial" w:hAnsi="Arial" w:cs="Arial"/>
          <w:color w:val="000000" w:themeColor="text1"/>
          <w:sz w:val="22"/>
          <w:szCs w:val="22"/>
        </w:rPr>
        <w:t>y</w:t>
      </w:r>
      <w:r w:rsidR="005E6C16" w:rsidRPr="009B78DA">
        <w:rPr>
          <w:rFonts w:ascii="Arial" w:hAnsi="Arial" w:cs="Arial"/>
          <w:color w:val="000000" w:themeColor="text1"/>
          <w:sz w:val="22"/>
          <w:szCs w:val="22"/>
        </w:rPr>
        <w:t xml:space="preserve"> na określenie głównych problemów związanych z rozwojem transportu i możliwości ich rozwiązania, odbywało się w znacząco odmiennej sytuacji geopolitycznej. </w:t>
      </w:r>
      <w:bookmarkStart w:id="14" w:name="_Hlk100566131"/>
      <w:r w:rsidR="00246A54" w:rsidRPr="009B78DA">
        <w:rPr>
          <w:rFonts w:ascii="Arial" w:hAnsi="Arial" w:cs="Arial"/>
          <w:color w:val="000000" w:themeColor="text1"/>
          <w:sz w:val="22"/>
          <w:szCs w:val="22"/>
        </w:rPr>
        <w:t>Utrzymujący się k</w:t>
      </w:r>
      <w:r w:rsidR="005E6C16" w:rsidRPr="009B78DA">
        <w:rPr>
          <w:rFonts w:ascii="Arial" w:hAnsi="Arial" w:cs="Arial"/>
          <w:color w:val="000000" w:themeColor="text1"/>
          <w:sz w:val="22"/>
          <w:szCs w:val="22"/>
        </w:rPr>
        <w:t>onflikt zbrojny na Ukrainie</w:t>
      </w:r>
      <w:r w:rsidR="00246A54" w:rsidRPr="009B78DA">
        <w:rPr>
          <w:rFonts w:ascii="Arial" w:hAnsi="Arial" w:cs="Arial"/>
          <w:color w:val="000000" w:themeColor="text1"/>
          <w:sz w:val="22"/>
          <w:szCs w:val="22"/>
        </w:rPr>
        <w:t>,</w:t>
      </w:r>
      <w:r w:rsidR="00834320" w:rsidRPr="009B78DA">
        <w:rPr>
          <w:rFonts w:ascii="Arial" w:hAnsi="Arial" w:cs="Arial"/>
          <w:color w:val="000000" w:themeColor="text1"/>
          <w:sz w:val="22"/>
          <w:szCs w:val="22"/>
        </w:rPr>
        <w:t xml:space="preserve"> </w:t>
      </w:r>
      <w:r w:rsidR="005E6C16" w:rsidRPr="009B78DA">
        <w:rPr>
          <w:rFonts w:ascii="Arial" w:hAnsi="Arial" w:cs="Arial"/>
          <w:color w:val="000000" w:themeColor="text1"/>
          <w:sz w:val="22"/>
          <w:szCs w:val="22"/>
        </w:rPr>
        <w:t>sta</w:t>
      </w:r>
      <w:r w:rsidR="00812FF7" w:rsidRPr="009B78DA">
        <w:rPr>
          <w:rFonts w:ascii="Arial" w:hAnsi="Arial" w:cs="Arial"/>
          <w:color w:val="000000" w:themeColor="text1"/>
          <w:sz w:val="22"/>
          <w:szCs w:val="22"/>
        </w:rPr>
        <w:t>je</w:t>
      </w:r>
      <w:r w:rsidR="005E6C16" w:rsidRPr="009B78DA">
        <w:rPr>
          <w:rFonts w:ascii="Arial" w:hAnsi="Arial" w:cs="Arial"/>
          <w:color w:val="000000" w:themeColor="text1"/>
          <w:sz w:val="22"/>
          <w:szCs w:val="22"/>
        </w:rPr>
        <w:t xml:space="preserve"> się także czynnikiem determinującym konieczność zmian w podejściu do </w:t>
      </w:r>
      <w:r w:rsidR="00834320" w:rsidRPr="009B78DA">
        <w:rPr>
          <w:rFonts w:ascii="Arial" w:hAnsi="Arial" w:cs="Arial"/>
          <w:color w:val="000000" w:themeColor="text1"/>
          <w:sz w:val="22"/>
          <w:szCs w:val="22"/>
        </w:rPr>
        <w:t xml:space="preserve">kolejności i </w:t>
      </w:r>
      <w:r w:rsidR="005E6C16" w:rsidRPr="009B78DA">
        <w:rPr>
          <w:rFonts w:ascii="Arial" w:hAnsi="Arial" w:cs="Arial"/>
          <w:color w:val="000000" w:themeColor="text1"/>
          <w:sz w:val="22"/>
          <w:szCs w:val="22"/>
        </w:rPr>
        <w:t>tempa realizacji pewnych kategorii inwestycji,</w:t>
      </w:r>
      <w:r w:rsidR="00812FF7" w:rsidRPr="009B78DA">
        <w:rPr>
          <w:rFonts w:ascii="Arial" w:hAnsi="Arial" w:cs="Arial"/>
          <w:color w:val="000000" w:themeColor="text1"/>
          <w:sz w:val="22"/>
          <w:szCs w:val="22"/>
        </w:rPr>
        <w:t xml:space="preserve"> </w:t>
      </w:r>
      <w:r w:rsidR="005E6C16" w:rsidRPr="009B78DA">
        <w:rPr>
          <w:rFonts w:ascii="Arial" w:hAnsi="Arial" w:cs="Arial"/>
          <w:color w:val="000000" w:themeColor="text1"/>
          <w:sz w:val="22"/>
          <w:szCs w:val="22"/>
        </w:rPr>
        <w:t>a także zredefiniowania ich roli</w:t>
      </w:r>
      <w:r w:rsidR="00812FF7" w:rsidRPr="009B78DA">
        <w:rPr>
          <w:rFonts w:ascii="Arial" w:hAnsi="Arial" w:cs="Arial"/>
          <w:color w:val="000000" w:themeColor="text1"/>
          <w:sz w:val="22"/>
          <w:szCs w:val="22"/>
        </w:rPr>
        <w:t xml:space="preserve"> </w:t>
      </w:r>
      <w:r w:rsidR="00F9644A" w:rsidRPr="009B78DA">
        <w:rPr>
          <w:rFonts w:ascii="Arial" w:hAnsi="Arial" w:cs="Arial"/>
          <w:color w:val="000000" w:themeColor="text1"/>
          <w:sz w:val="22"/>
          <w:szCs w:val="22"/>
        </w:rPr>
        <w:t>(</w:t>
      </w:r>
      <w:r w:rsidR="00812FF7" w:rsidRPr="009B78DA">
        <w:rPr>
          <w:rFonts w:ascii="Arial" w:hAnsi="Arial" w:cs="Arial"/>
          <w:color w:val="000000" w:themeColor="text1"/>
          <w:sz w:val="22"/>
          <w:szCs w:val="22"/>
        </w:rPr>
        <w:t xml:space="preserve">dotyczy to głównie inwestycji </w:t>
      </w:r>
      <w:r w:rsidR="005E6C16" w:rsidRPr="009B78DA">
        <w:rPr>
          <w:rFonts w:ascii="Arial" w:hAnsi="Arial" w:cs="Arial"/>
          <w:color w:val="000000" w:themeColor="text1"/>
          <w:sz w:val="22"/>
          <w:szCs w:val="22"/>
        </w:rPr>
        <w:t>prowadzą</w:t>
      </w:r>
      <w:r w:rsidR="00812FF7" w:rsidRPr="009B78DA">
        <w:rPr>
          <w:rFonts w:ascii="Arial" w:hAnsi="Arial" w:cs="Arial"/>
          <w:color w:val="000000" w:themeColor="text1"/>
          <w:sz w:val="22"/>
          <w:szCs w:val="22"/>
        </w:rPr>
        <w:t>cych</w:t>
      </w:r>
      <w:r w:rsidR="005E6C16" w:rsidRPr="009B78DA">
        <w:rPr>
          <w:rFonts w:ascii="Arial" w:hAnsi="Arial" w:cs="Arial"/>
          <w:color w:val="000000" w:themeColor="text1"/>
          <w:sz w:val="22"/>
          <w:szCs w:val="22"/>
        </w:rPr>
        <w:t xml:space="preserve"> do przejść granicznych z Ukrainą i jako taki</w:t>
      </w:r>
      <w:r w:rsidR="00812FF7" w:rsidRPr="009B78DA">
        <w:rPr>
          <w:rFonts w:ascii="Arial" w:hAnsi="Arial" w:cs="Arial"/>
          <w:color w:val="000000" w:themeColor="text1"/>
          <w:sz w:val="22"/>
          <w:szCs w:val="22"/>
        </w:rPr>
        <w:t>ch</w:t>
      </w:r>
      <w:r w:rsidR="005E6C16" w:rsidRPr="009B78DA">
        <w:rPr>
          <w:rFonts w:ascii="Arial" w:hAnsi="Arial" w:cs="Arial"/>
          <w:color w:val="000000" w:themeColor="text1"/>
          <w:sz w:val="22"/>
          <w:szCs w:val="22"/>
        </w:rPr>
        <w:t xml:space="preserve"> </w:t>
      </w:r>
      <w:r w:rsidR="00812FF7" w:rsidRPr="009B78DA">
        <w:rPr>
          <w:rFonts w:ascii="Arial" w:hAnsi="Arial" w:cs="Arial"/>
          <w:color w:val="000000" w:themeColor="text1"/>
          <w:sz w:val="22"/>
          <w:szCs w:val="22"/>
        </w:rPr>
        <w:t>mających kluczowe znaczenie dla regionu, państwa i Unii Europejskiej.</w:t>
      </w:r>
      <w:bookmarkEnd w:id="14"/>
      <w:r w:rsidR="00FA3C61" w:rsidRPr="009B78DA">
        <w:rPr>
          <w:rFonts w:ascii="Arial" w:hAnsi="Arial" w:cs="Arial"/>
          <w:color w:val="000000" w:themeColor="text1"/>
          <w:sz w:val="22"/>
          <w:szCs w:val="22"/>
        </w:rPr>
        <w:t xml:space="preserve"> W dokumen</w:t>
      </w:r>
      <w:r w:rsidR="00E038A2" w:rsidRPr="009B78DA">
        <w:rPr>
          <w:rFonts w:ascii="Arial" w:hAnsi="Arial" w:cs="Arial"/>
          <w:color w:val="000000" w:themeColor="text1"/>
          <w:sz w:val="22"/>
          <w:szCs w:val="22"/>
        </w:rPr>
        <w:t>cie</w:t>
      </w:r>
      <w:r w:rsidR="00FA3C61" w:rsidRPr="009B78DA">
        <w:rPr>
          <w:rFonts w:ascii="Arial" w:hAnsi="Arial" w:cs="Arial"/>
          <w:color w:val="000000" w:themeColor="text1"/>
          <w:sz w:val="22"/>
          <w:szCs w:val="22"/>
        </w:rPr>
        <w:t xml:space="preserve"> </w:t>
      </w:r>
      <w:r w:rsidR="006A4A53" w:rsidRPr="009B78DA">
        <w:rPr>
          <w:rFonts w:ascii="Arial" w:hAnsi="Arial" w:cs="Arial"/>
          <w:color w:val="000000" w:themeColor="text1"/>
          <w:sz w:val="22"/>
          <w:szCs w:val="22"/>
        </w:rPr>
        <w:t>odniesiono się</w:t>
      </w:r>
      <w:r w:rsidR="001E6704" w:rsidRPr="009B78DA">
        <w:rPr>
          <w:rFonts w:ascii="Arial" w:hAnsi="Arial" w:cs="Arial"/>
          <w:color w:val="000000" w:themeColor="text1"/>
          <w:sz w:val="22"/>
          <w:szCs w:val="22"/>
        </w:rPr>
        <w:t xml:space="preserve"> też do</w:t>
      </w:r>
      <w:r w:rsidR="00211173" w:rsidRPr="009B78DA">
        <w:rPr>
          <w:rFonts w:ascii="Arial" w:hAnsi="Arial" w:cs="Arial"/>
          <w:color w:val="000000" w:themeColor="text1"/>
          <w:sz w:val="22"/>
          <w:szCs w:val="22"/>
        </w:rPr>
        <w:t xml:space="preserve"> </w:t>
      </w:r>
      <w:r w:rsidR="006A4A53" w:rsidRPr="009B78DA">
        <w:rPr>
          <w:rFonts w:ascii="Arial" w:hAnsi="Arial" w:cs="Arial"/>
          <w:color w:val="000000" w:themeColor="text1"/>
          <w:sz w:val="22"/>
          <w:szCs w:val="22"/>
        </w:rPr>
        <w:t>now</w:t>
      </w:r>
      <w:r w:rsidR="001E6704" w:rsidRPr="009B78DA">
        <w:rPr>
          <w:rFonts w:ascii="Arial" w:hAnsi="Arial" w:cs="Arial"/>
          <w:color w:val="000000" w:themeColor="text1"/>
          <w:sz w:val="22"/>
          <w:szCs w:val="22"/>
        </w:rPr>
        <w:t>ych</w:t>
      </w:r>
      <w:r w:rsidR="006A4A53" w:rsidRPr="009B78DA">
        <w:rPr>
          <w:rFonts w:ascii="Arial" w:hAnsi="Arial" w:cs="Arial"/>
          <w:color w:val="000000" w:themeColor="text1"/>
          <w:sz w:val="22"/>
          <w:szCs w:val="22"/>
        </w:rPr>
        <w:t xml:space="preserve"> okoliczności i </w:t>
      </w:r>
      <w:r w:rsidR="00211173" w:rsidRPr="009B78DA">
        <w:rPr>
          <w:rFonts w:ascii="Arial" w:hAnsi="Arial" w:cs="Arial"/>
          <w:color w:val="000000" w:themeColor="text1"/>
          <w:sz w:val="22"/>
          <w:szCs w:val="22"/>
        </w:rPr>
        <w:t>pojawiając</w:t>
      </w:r>
      <w:r w:rsidR="001E6704" w:rsidRPr="009B78DA">
        <w:rPr>
          <w:rFonts w:ascii="Arial" w:hAnsi="Arial" w:cs="Arial"/>
          <w:color w:val="000000" w:themeColor="text1"/>
          <w:sz w:val="22"/>
          <w:szCs w:val="22"/>
        </w:rPr>
        <w:t>ych</w:t>
      </w:r>
      <w:r w:rsidR="00211173" w:rsidRPr="009B78DA">
        <w:rPr>
          <w:rFonts w:ascii="Arial" w:hAnsi="Arial" w:cs="Arial"/>
          <w:color w:val="000000" w:themeColor="text1"/>
          <w:sz w:val="22"/>
          <w:szCs w:val="22"/>
        </w:rPr>
        <w:t xml:space="preserve"> się (lub </w:t>
      </w:r>
      <w:r w:rsidR="001E6704" w:rsidRPr="009B78DA">
        <w:rPr>
          <w:rFonts w:ascii="Arial" w:hAnsi="Arial" w:cs="Arial"/>
          <w:color w:val="000000" w:themeColor="text1"/>
          <w:sz w:val="22"/>
          <w:szCs w:val="22"/>
        </w:rPr>
        <w:t>istniejących</w:t>
      </w:r>
      <w:r w:rsidR="0038160C" w:rsidRPr="009B78DA">
        <w:rPr>
          <w:rFonts w:ascii="Arial" w:hAnsi="Arial" w:cs="Arial"/>
          <w:color w:val="000000" w:themeColor="text1"/>
          <w:sz w:val="22"/>
          <w:szCs w:val="22"/>
        </w:rPr>
        <w:t>,</w:t>
      </w:r>
      <w:r w:rsidR="001E6704" w:rsidRPr="009B78DA">
        <w:rPr>
          <w:rFonts w:ascii="Arial" w:hAnsi="Arial" w:cs="Arial"/>
          <w:color w:val="000000" w:themeColor="text1"/>
          <w:sz w:val="22"/>
          <w:szCs w:val="22"/>
        </w:rPr>
        <w:t xml:space="preserve"> lecz </w:t>
      </w:r>
      <w:r w:rsidR="00211173" w:rsidRPr="009B78DA">
        <w:rPr>
          <w:rFonts w:ascii="Arial" w:hAnsi="Arial" w:cs="Arial"/>
          <w:color w:val="000000" w:themeColor="text1"/>
          <w:sz w:val="22"/>
          <w:szCs w:val="22"/>
        </w:rPr>
        <w:t>ostatnio wzmocnion</w:t>
      </w:r>
      <w:r w:rsidR="001E6704" w:rsidRPr="009B78DA">
        <w:rPr>
          <w:rFonts w:ascii="Arial" w:hAnsi="Arial" w:cs="Arial"/>
          <w:color w:val="000000" w:themeColor="text1"/>
          <w:sz w:val="22"/>
          <w:szCs w:val="22"/>
        </w:rPr>
        <w:t>ych</w:t>
      </w:r>
      <w:r w:rsidR="00211173" w:rsidRPr="009B78DA">
        <w:rPr>
          <w:rFonts w:ascii="Arial" w:hAnsi="Arial" w:cs="Arial"/>
          <w:color w:val="000000" w:themeColor="text1"/>
          <w:sz w:val="22"/>
          <w:szCs w:val="22"/>
        </w:rPr>
        <w:t xml:space="preserve">) </w:t>
      </w:r>
      <w:r w:rsidR="00FA3C61" w:rsidRPr="009B78DA">
        <w:rPr>
          <w:rFonts w:ascii="Arial" w:hAnsi="Arial" w:cs="Arial"/>
          <w:color w:val="000000" w:themeColor="text1"/>
          <w:sz w:val="22"/>
          <w:szCs w:val="22"/>
        </w:rPr>
        <w:t xml:space="preserve">potrzeb </w:t>
      </w:r>
      <w:r w:rsidR="00211173" w:rsidRPr="009B78DA">
        <w:rPr>
          <w:rFonts w:ascii="Arial" w:hAnsi="Arial" w:cs="Arial"/>
          <w:color w:val="000000" w:themeColor="text1"/>
          <w:sz w:val="22"/>
          <w:szCs w:val="22"/>
        </w:rPr>
        <w:t xml:space="preserve">sytemu transportowego </w:t>
      </w:r>
      <w:r w:rsidR="00FA3C61" w:rsidRPr="009B78DA">
        <w:rPr>
          <w:rFonts w:ascii="Arial" w:hAnsi="Arial" w:cs="Arial"/>
          <w:color w:val="000000" w:themeColor="text1"/>
          <w:sz w:val="22"/>
          <w:szCs w:val="22"/>
        </w:rPr>
        <w:t>wynikając</w:t>
      </w:r>
      <w:r w:rsidR="001E6704" w:rsidRPr="009B78DA">
        <w:rPr>
          <w:rFonts w:ascii="Arial" w:hAnsi="Arial" w:cs="Arial"/>
          <w:color w:val="000000" w:themeColor="text1"/>
          <w:sz w:val="22"/>
          <w:szCs w:val="22"/>
        </w:rPr>
        <w:t>ych</w:t>
      </w:r>
      <w:r w:rsidR="00FA3C61" w:rsidRPr="009B78DA">
        <w:rPr>
          <w:rFonts w:ascii="Arial" w:hAnsi="Arial" w:cs="Arial"/>
          <w:color w:val="000000" w:themeColor="text1"/>
          <w:sz w:val="22"/>
          <w:szCs w:val="22"/>
        </w:rPr>
        <w:t xml:space="preserve"> z zaistniałej sytuacji geopolitycznej</w:t>
      </w:r>
      <w:r w:rsidR="00211173" w:rsidRPr="009B78DA">
        <w:rPr>
          <w:rFonts w:ascii="Arial" w:hAnsi="Arial" w:cs="Arial"/>
          <w:color w:val="000000" w:themeColor="text1"/>
          <w:sz w:val="22"/>
          <w:szCs w:val="22"/>
        </w:rPr>
        <w:t>.</w:t>
      </w:r>
    </w:p>
    <w:p w14:paraId="68BE0381" w14:textId="20BF7533" w:rsidR="005E6C16" w:rsidRPr="009B78DA" w:rsidRDefault="00366A90" w:rsidP="00535478">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Projekt </w:t>
      </w:r>
      <w:r w:rsidR="005E6C16" w:rsidRPr="009B78DA">
        <w:rPr>
          <w:rFonts w:ascii="Arial" w:hAnsi="Arial" w:cs="Arial"/>
          <w:color w:val="000000" w:themeColor="text1"/>
          <w:sz w:val="22"/>
          <w:szCs w:val="22"/>
        </w:rPr>
        <w:t>PSRT WP, przyjęty został Uchwałą Nr 351/6977/22 Zarządu Województwa Podkarpackiego z dnia</w:t>
      </w:r>
      <w:r w:rsidR="005E6C16" w:rsidRPr="009B78DA">
        <w:rPr>
          <w:color w:val="000000" w:themeColor="text1"/>
        </w:rPr>
        <w:t xml:space="preserve"> </w:t>
      </w:r>
      <w:r w:rsidR="005E6C16" w:rsidRPr="009B78DA">
        <w:rPr>
          <w:rFonts w:ascii="Arial" w:hAnsi="Arial" w:cs="Arial"/>
          <w:color w:val="000000" w:themeColor="text1"/>
          <w:sz w:val="22"/>
          <w:szCs w:val="22"/>
        </w:rPr>
        <w:t>z dnia 11 stycznia 2022 r. Zgodnie z wymogami wynikającymi z ustawy z dnia 3 października 2008 r. o</w:t>
      </w:r>
      <w:r w:rsidR="00BF328C" w:rsidRPr="009B78DA">
        <w:rPr>
          <w:rFonts w:ascii="Arial" w:hAnsi="Arial" w:cs="Arial"/>
          <w:color w:val="000000" w:themeColor="text1"/>
          <w:sz w:val="22"/>
          <w:szCs w:val="22"/>
        </w:rPr>
        <w:t xml:space="preserve"> udostępnianiu informacji o środowisku i jego ochronie, udziale społeczeństwa w ochronie środowiska oraz o ocenach oddziaływania na środowisko (Dz.U.</w:t>
      </w:r>
      <w:r w:rsidR="00067BFA">
        <w:rPr>
          <w:rFonts w:ascii="Arial" w:hAnsi="Arial" w:cs="Arial"/>
          <w:color w:val="000000" w:themeColor="text1"/>
          <w:sz w:val="22"/>
          <w:szCs w:val="22"/>
        </w:rPr>
        <w:t xml:space="preserve"> </w:t>
      </w:r>
      <w:r w:rsidR="00BF328C" w:rsidRPr="009B78DA">
        <w:rPr>
          <w:rFonts w:ascii="Arial" w:hAnsi="Arial" w:cs="Arial"/>
          <w:color w:val="000000" w:themeColor="text1"/>
          <w:sz w:val="22"/>
          <w:szCs w:val="22"/>
        </w:rPr>
        <w:t>z 2023 r. poz. 1094),</w:t>
      </w:r>
      <w:r w:rsidR="00CF6712" w:rsidRPr="009B78DA">
        <w:rPr>
          <w:rFonts w:ascii="Arial" w:hAnsi="Arial" w:cs="Arial"/>
          <w:color w:val="000000" w:themeColor="text1"/>
          <w:sz w:val="22"/>
          <w:szCs w:val="22"/>
        </w:rPr>
        <w:t xml:space="preserve"> </w:t>
      </w:r>
      <w:r w:rsidR="00BF328C" w:rsidRPr="009B78DA">
        <w:rPr>
          <w:rFonts w:ascii="Arial" w:hAnsi="Arial" w:cs="Arial"/>
          <w:color w:val="000000" w:themeColor="text1"/>
          <w:sz w:val="22"/>
          <w:szCs w:val="22"/>
        </w:rPr>
        <w:t>d</w:t>
      </w:r>
      <w:r w:rsidRPr="009B78DA">
        <w:rPr>
          <w:rFonts w:ascii="Arial" w:hAnsi="Arial" w:cs="Arial"/>
          <w:color w:val="000000" w:themeColor="text1"/>
          <w:sz w:val="22"/>
          <w:szCs w:val="22"/>
        </w:rPr>
        <w:t>okument</w:t>
      </w:r>
      <w:r w:rsidR="005E6C16" w:rsidRPr="009B78DA">
        <w:rPr>
          <w:rFonts w:ascii="Arial" w:hAnsi="Arial" w:cs="Arial"/>
          <w:color w:val="000000" w:themeColor="text1"/>
          <w:sz w:val="22"/>
          <w:szCs w:val="22"/>
        </w:rPr>
        <w:t xml:space="preserve"> podlegał strategicznej ocenie oddziaływania na środowisko, której zasadniczym elementem było sporządzenie i przyjęcie przez Zarząd Województwa Podkarpackiego – Uchwałą Nr 354/7049/22 z dnia 25 stycznia 2022 r. – projektu Prognozy oddziaływania na śr</w:t>
      </w:r>
      <w:r w:rsidR="00067BFA">
        <w:rPr>
          <w:rFonts w:ascii="Arial" w:hAnsi="Arial" w:cs="Arial"/>
          <w:color w:val="000000" w:themeColor="text1"/>
          <w:sz w:val="22"/>
          <w:szCs w:val="22"/>
        </w:rPr>
        <w:t>odowisko dla projektu Programu.</w:t>
      </w:r>
    </w:p>
    <w:p w14:paraId="5C9964DF" w14:textId="10580A3D" w:rsidR="005E6C16" w:rsidRPr="009B78DA" w:rsidRDefault="005E6C16" w:rsidP="00535478">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24 lutego 2022 r. od Podkarpackiego Państwowego Wojewódzkiego Inspektora Sanitarnego otrzymano pozytywną opinię</w:t>
      </w:r>
      <w:r w:rsidR="00CC5267" w:rsidRPr="009B78DA">
        <w:rPr>
          <w:color w:val="000000" w:themeColor="text1"/>
        </w:rPr>
        <w:t xml:space="preserve"> </w:t>
      </w:r>
      <w:r w:rsidR="00CC5267" w:rsidRPr="009B78DA">
        <w:rPr>
          <w:rFonts w:ascii="Arial" w:hAnsi="Arial" w:cs="Arial"/>
          <w:color w:val="000000" w:themeColor="text1"/>
          <w:sz w:val="22"/>
          <w:szCs w:val="22"/>
        </w:rPr>
        <w:t xml:space="preserve">do </w:t>
      </w:r>
      <w:r w:rsidRPr="009B78DA">
        <w:rPr>
          <w:rFonts w:ascii="Arial" w:hAnsi="Arial" w:cs="Arial"/>
          <w:color w:val="000000" w:themeColor="text1"/>
          <w:sz w:val="22"/>
          <w:szCs w:val="22"/>
        </w:rPr>
        <w:t>projektu Programu w zakresie sanitarno-higienicznym. Z kolei 11 marca 2022 r. Regionalny Dyrektor Ochrony Środowiska zaopiniował projekt Programu Strategicznego Rozwoju Transportu Województwa Podkarpackiego do roku 2030 wraz z projektem Prognozy oddziaływania na środowisko bez wnoszenia uwag.</w:t>
      </w:r>
    </w:p>
    <w:p w14:paraId="03BFA644" w14:textId="5459A8D3" w:rsidR="005E6C16" w:rsidRPr="009B78DA" w:rsidRDefault="005E6C16" w:rsidP="00535478">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Konsultacje społeczne w ramach strategicznej oceny oddziaływania na środowisko projektu dokumentu wraz z Prognozą oddziaływania na środowisko zgodnie z wymogami wynikającymi z ustawy z dnia 6 grudnia 2006 r. o zasadach prowadzenia polityki rozwoju (Dz.U. z 202</w:t>
      </w:r>
      <w:r w:rsidR="00DC78A0" w:rsidRPr="009B78DA">
        <w:rPr>
          <w:rFonts w:ascii="Arial" w:hAnsi="Arial" w:cs="Arial"/>
          <w:color w:val="000000" w:themeColor="text1"/>
          <w:sz w:val="22"/>
          <w:szCs w:val="22"/>
        </w:rPr>
        <w:t>3</w:t>
      </w:r>
      <w:r w:rsidRPr="009B78DA">
        <w:rPr>
          <w:rFonts w:ascii="Arial" w:hAnsi="Arial" w:cs="Arial"/>
          <w:color w:val="000000" w:themeColor="text1"/>
          <w:sz w:val="22"/>
          <w:szCs w:val="22"/>
        </w:rPr>
        <w:t xml:space="preserve"> r. poz.1</w:t>
      </w:r>
      <w:r w:rsidR="00DC78A0" w:rsidRPr="009B78DA">
        <w:rPr>
          <w:rFonts w:ascii="Arial" w:hAnsi="Arial" w:cs="Arial"/>
          <w:color w:val="000000" w:themeColor="text1"/>
          <w:sz w:val="22"/>
          <w:szCs w:val="22"/>
        </w:rPr>
        <w:t>259</w:t>
      </w:r>
      <w:r w:rsidRPr="009B78DA">
        <w:rPr>
          <w:rFonts w:ascii="Arial" w:hAnsi="Arial" w:cs="Arial"/>
          <w:color w:val="000000" w:themeColor="text1"/>
          <w:sz w:val="22"/>
          <w:szCs w:val="22"/>
        </w:rPr>
        <w:t>) trwały nie krócej niż 35 dni (łącznie 39 dni – od 28 styczn</w:t>
      </w:r>
      <w:r w:rsidR="00067BFA">
        <w:rPr>
          <w:rFonts w:ascii="Arial" w:hAnsi="Arial" w:cs="Arial"/>
          <w:color w:val="000000" w:themeColor="text1"/>
          <w:sz w:val="22"/>
          <w:szCs w:val="22"/>
        </w:rPr>
        <w:t>ia 2022 r. do 7 marca 2022 r.).</w:t>
      </w:r>
    </w:p>
    <w:p w14:paraId="6A5A3DB7" w14:textId="3554AB64" w:rsidR="005E6C16" w:rsidRPr="009B78DA" w:rsidRDefault="005E6C16" w:rsidP="00535478">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Zgłoszone w toku konsultacji społecznych uwagi i wnioski do projektu Programu wraz z projektem Prognozy zostały przyjęte Uchwałą Nr </w:t>
      </w:r>
      <w:r w:rsidR="006020C9" w:rsidRPr="009B78DA">
        <w:rPr>
          <w:rFonts w:ascii="Arial" w:hAnsi="Arial" w:cs="Arial"/>
          <w:color w:val="000000" w:themeColor="text1"/>
          <w:sz w:val="22"/>
          <w:szCs w:val="22"/>
        </w:rPr>
        <w:t>376/7505/22</w:t>
      </w:r>
      <w:r w:rsidRPr="009B78DA">
        <w:rPr>
          <w:rFonts w:ascii="Arial" w:hAnsi="Arial" w:cs="Arial"/>
          <w:color w:val="000000" w:themeColor="text1"/>
          <w:sz w:val="22"/>
          <w:szCs w:val="22"/>
        </w:rPr>
        <w:t xml:space="preserve"> Zarządu Województwa Podkarpackiego w Rzeszowie z dnia </w:t>
      </w:r>
      <w:r w:rsidR="006020C9" w:rsidRPr="009B78DA">
        <w:rPr>
          <w:rFonts w:ascii="Arial" w:hAnsi="Arial" w:cs="Arial"/>
          <w:color w:val="000000" w:themeColor="text1"/>
          <w:sz w:val="22"/>
          <w:szCs w:val="22"/>
        </w:rPr>
        <w:t>5 kwietnia 2022</w:t>
      </w:r>
      <w:r w:rsidRPr="009B78DA">
        <w:rPr>
          <w:rFonts w:ascii="Arial" w:hAnsi="Arial" w:cs="Arial"/>
          <w:color w:val="000000" w:themeColor="text1"/>
          <w:sz w:val="22"/>
          <w:szCs w:val="22"/>
        </w:rPr>
        <w:t xml:space="preserve"> r. </w:t>
      </w:r>
      <w:r w:rsidR="006020C9" w:rsidRPr="009B78DA">
        <w:rPr>
          <w:rFonts w:ascii="Arial" w:hAnsi="Arial" w:cs="Arial"/>
          <w:color w:val="000000" w:themeColor="text1"/>
          <w:sz w:val="22"/>
          <w:szCs w:val="22"/>
        </w:rPr>
        <w:t xml:space="preserve">w sprawie rozpatrzenia uwag </w:t>
      </w:r>
      <w:r w:rsidR="006020C9" w:rsidRPr="009B78DA">
        <w:rPr>
          <w:rFonts w:ascii="Arial" w:hAnsi="Arial" w:cs="Arial"/>
          <w:color w:val="000000" w:themeColor="text1"/>
          <w:sz w:val="22"/>
          <w:szCs w:val="22"/>
        </w:rPr>
        <w:br/>
        <w:t>i wniosków zgłoszonych do projektu Programu Strategicznego Rozwoju Transportu Województwa Podkarpackiego do roku 2030 wraz z projektem Prognozy oddziaływania na środowisko</w:t>
      </w:r>
      <w:r w:rsidRPr="009B78DA">
        <w:rPr>
          <w:rFonts w:ascii="Arial" w:hAnsi="Arial" w:cs="Arial"/>
          <w:color w:val="000000" w:themeColor="text1"/>
          <w:sz w:val="22"/>
          <w:szCs w:val="22"/>
        </w:rPr>
        <w:t>.</w:t>
      </w:r>
    </w:p>
    <w:p w14:paraId="5225CA0B" w14:textId="3253FD59" w:rsidR="00767C84" w:rsidRPr="009B78DA" w:rsidRDefault="00B57541" w:rsidP="00535478">
      <w:pPr>
        <w:spacing w:after="0" w:line="288" w:lineRule="auto"/>
        <w:ind w:firstLine="851"/>
        <w:rPr>
          <w:color w:val="000000" w:themeColor="text1"/>
          <w:sz w:val="22"/>
          <w:szCs w:val="22"/>
        </w:rPr>
      </w:pPr>
      <w:r w:rsidRPr="009B78DA">
        <w:rPr>
          <w:rFonts w:ascii="Arial" w:hAnsi="Arial" w:cs="Arial"/>
          <w:color w:val="000000" w:themeColor="text1"/>
          <w:sz w:val="22"/>
          <w:szCs w:val="22"/>
        </w:rPr>
        <w:t xml:space="preserve">Projekt </w:t>
      </w:r>
      <w:r w:rsidR="005E6C16" w:rsidRPr="009B78DA">
        <w:rPr>
          <w:rFonts w:ascii="Arial" w:hAnsi="Arial" w:cs="Arial"/>
          <w:color w:val="000000" w:themeColor="text1"/>
          <w:sz w:val="22"/>
          <w:szCs w:val="22"/>
        </w:rPr>
        <w:t xml:space="preserve">PSRT WP, zgodnie z wymogami wynikającymi z art. 15 ust. 6 ustawy z dnia 6 grudnia 2006 r. o zasadach prowadzenia polityki rozwoju </w:t>
      </w:r>
      <w:r w:rsidR="009E572E" w:rsidRPr="009B78DA">
        <w:rPr>
          <w:rFonts w:ascii="Arial" w:hAnsi="Arial" w:cs="Arial"/>
          <w:color w:val="000000" w:themeColor="text1"/>
          <w:sz w:val="22"/>
          <w:szCs w:val="22"/>
        </w:rPr>
        <w:t>(Dz.U.</w:t>
      </w:r>
      <w:r w:rsidR="00B82131" w:rsidRPr="009B78DA">
        <w:rPr>
          <w:rFonts w:ascii="Arial" w:hAnsi="Arial" w:cs="Arial"/>
          <w:color w:val="000000" w:themeColor="text1"/>
          <w:sz w:val="22"/>
          <w:szCs w:val="22"/>
        </w:rPr>
        <w:t xml:space="preserve"> </w:t>
      </w:r>
      <w:r w:rsidR="009E572E" w:rsidRPr="009B78DA">
        <w:rPr>
          <w:rFonts w:ascii="Arial" w:hAnsi="Arial" w:cs="Arial"/>
          <w:color w:val="000000" w:themeColor="text1"/>
          <w:sz w:val="22"/>
          <w:szCs w:val="22"/>
        </w:rPr>
        <w:t>z 2023 r. poz.1259)</w:t>
      </w:r>
      <w:r w:rsidR="005E6C16" w:rsidRPr="009B78DA">
        <w:rPr>
          <w:rFonts w:ascii="Arial" w:hAnsi="Arial" w:cs="Arial"/>
          <w:color w:val="000000" w:themeColor="text1"/>
          <w:sz w:val="22"/>
          <w:szCs w:val="22"/>
        </w:rPr>
        <w:t>, poddany został również procedurze oceny ex-ante realizowanej przez zewnętrznego wykonawcę.</w:t>
      </w:r>
      <w:r w:rsidRPr="009B78DA">
        <w:rPr>
          <w:rFonts w:ascii="Arial" w:hAnsi="Arial" w:cs="Arial"/>
          <w:color w:val="000000" w:themeColor="text1"/>
          <w:sz w:val="22"/>
          <w:szCs w:val="22"/>
        </w:rPr>
        <w:t xml:space="preserve"> </w:t>
      </w:r>
      <w:r w:rsidR="005E6C16" w:rsidRPr="009B78DA">
        <w:rPr>
          <w:rFonts w:ascii="Arial" w:hAnsi="Arial" w:cs="Arial"/>
          <w:color w:val="000000" w:themeColor="text1"/>
          <w:sz w:val="22"/>
          <w:szCs w:val="22"/>
        </w:rPr>
        <w:t xml:space="preserve">Wnioski z ewaluacji </w:t>
      </w:r>
      <w:r w:rsidR="00A94D22" w:rsidRPr="009B78DA">
        <w:rPr>
          <w:rFonts w:ascii="Arial" w:hAnsi="Arial" w:cs="Arial"/>
          <w:color w:val="000000" w:themeColor="text1"/>
          <w:sz w:val="22"/>
          <w:szCs w:val="22"/>
        </w:rPr>
        <w:t xml:space="preserve">zawarte </w:t>
      </w:r>
      <w:r w:rsidR="005E6C16" w:rsidRPr="009B78DA">
        <w:rPr>
          <w:rFonts w:ascii="Arial" w:hAnsi="Arial" w:cs="Arial"/>
          <w:color w:val="000000" w:themeColor="text1"/>
          <w:sz w:val="22"/>
          <w:szCs w:val="22"/>
        </w:rPr>
        <w:t xml:space="preserve">zostały w </w:t>
      </w:r>
      <w:r w:rsidRPr="009B78DA">
        <w:rPr>
          <w:rFonts w:ascii="Arial" w:hAnsi="Arial" w:cs="Arial"/>
          <w:color w:val="000000" w:themeColor="text1"/>
          <w:sz w:val="22"/>
          <w:szCs w:val="22"/>
        </w:rPr>
        <w:t xml:space="preserve">projekcie </w:t>
      </w:r>
      <w:r w:rsidR="005E6C16" w:rsidRPr="009B78DA">
        <w:rPr>
          <w:rFonts w:ascii="Arial" w:hAnsi="Arial" w:cs="Arial"/>
          <w:color w:val="000000" w:themeColor="text1"/>
          <w:sz w:val="22"/>
          <w:szCs w:val="22"/>
        </w:rPr>
        <w:t>Program</w:t>
      </w:r>
      <w:r w:rsidRPr="009B78DA">
        <w:rPr>
          <w:rFonts w:ascii="Arial" w:hAnsi="Arial" w:cs="Arial"/>
          <w:color w:val="000000" w:themeColor="text1"/>
          <w:sz w:val="22"/>
          <w:szCs w:val="22"/>
        </w:rPr>
        <w:t>u</w:t>
      </w:r>
      <w:r w:rsidR="00A94D22" w:rsidRPr="009B78DA">
        <w:rPr>
          <w:rFonts w:ascii="Arial" w:hAnsi="Arial" w:cs="Arial"/>
          <w:color w:val="000000" w:themeColor="text1"/>
          <w:sz w:val="22"/>
          <w:szCs w:val="22"/>
        </w:rPr>
        <w:t>.</w:t>
      </w:r>
      <w:r w:rsidRPr="009B78DA">
        <w:rPr>
          <w:color w:val="000000" w:themeColor="text1"/>
          <w:sz w:val="22"/>
          <w:szCs w:val="22"/>
        </w:rPr>
        <w:t xml:space="preserve"> </w:t>
      </w:r>
    </w:p>
    <w:p w14:paraId="633A415E" w14:textId="5705B922" w:rsidR="00573138" w:rsidRPr="009B78DA" w:rsidRDefault="00B57541" w:rsidP="00535478">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Projekt PSRT WP</w:t>
      </w:r>
      <w:r w:rsidR="00767C84"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w wersji 2.0 został przyjęty uchwałą Zarządu Województwa Podkarpackiego nr 384/7632/22 z dnia 27 kwietnia 2022 roku.</w:t>
      </w:r>
      <w:r w:rsidR="00316479" w:rsidRPr="009B78DA">
        <w:rPr>
          <w:rFonts w:ascii="Arial" w:hAnsi="Arial" w:cs="Arial"/>
          <w:color w:val="000000" w:themeColor="text1"/>
          <w:sz w:val="22"/>
          <w:szCs w:val="22"/>
        </w:rPr>
        <w:t xml:space="preserve"> </w:t>
      </w:r>
      <w:r w:rsidR="00767C84" w:rsidRPr="009B78DA">
        <w:rPr>
          <w:rFonts w:ascii="Arial" w:hAnsi="Arial" w:cs="Arial"/>
          <w:color w:val="000000" w:themeColor="text1"/>
          <w:sz w:val="22"/>
          <w:szCs w:val="22"/>
        </w:rPr>
        <w:t>Z kolei p</w:t>
      </w:r>
      <w:r w:rsidR="00316479" w:rsidRPr="009B78DA">
        <w:rPr>
          <w:rFonts w:ascii="Arial" w:hAnsi="Arial" w:cs="Arial"/>
          <w:color w:val="000000" w:themeColor="text1"/>
          <w:sz w:val="22"/>
          <w:szCs w:val="22"/>
        </w:rPr>
        <w:t>rojekt Prognozy oddziaływania na środowisko dla projektu PSRT WP</w:t>
      </w:r>
      <w:r w:rsidR="00767C84" w:rsidRPr="009B78DA">
        <w:rPr>
          <w:rFonts w:ascii="Arial" w:hAnsi="Arial" w:cs="Arial"/>
          <w:color w:val="000000" w:themeColor="text1"/>
          <w:sz w:val="22"/>
          <w:szCs w:val="22"/>
        </w:rPr>
        <w:t xml:space="preserve"> </w:t>
      </w:r>
      <w:r w:rsidR="00316479" w:rsidRPr="009B78DA">
        <w:rPr>
          <w:rFonts w:ascii="Arial" w:hAnsi="Arial" w:cs="Arial"/>
          <w:color w:val="000000" w:themeColor="text1"/>
          <w:sz w:val="22"/>
          <w:szCs w:val="22"/>
        </w:rPr>
        <w:t>w wersji 2.0 przyjęto uchwałą Z</w:t>
      </w:r>
      <w:r w:rsidR="00767C84" w:rsidRPr="009B78DA">
        <w:rPr>
          <w:rFonts w:ascii="Arial" w:hAnsi="Arial" w:cs="Arial"/>
          <w:color w:val="000000" w:themeColor="text1"/>
          <w:sz w:val="22"/>
          <w:szCs w:val="22"/>
        </w:rPr>
        <w:t>WP</w:t>
      </w:r>
      <w:r w:rsidR="00316479" w:rsidRPr="009B78DA">
        <w:rPr>
          <w:rFonts w:ascii="Arial" w:hAnsi="Arial" w:cs="Arial"/>
          <w:color w:val="000000" w:themeColor="text1"/>
          <w:sz w:val="22"/>
          <w:szCs w:val="22"/>
        </w:rPr>
        <w:t xml:space="preserve"> </w:t>
      </w:r>
      <w:r w:rsidR="00067BFA">
        <w:rPr>
          <w:rFonts w:ascii="Arial" w:hAnsi="Arial" w:cs="Arial"/>
          <w:color w:val="000000" w:themeColor="text1"/>
          <w:sz w:val="22"/>
          <w:szCs w:val="22"/>
        </w:rPr>
        <w:br/>
      </w:r>
      <w:r w:rsidR="00316479" w:rsidRPr="009B78DA">
        <w:rPr>
          <w:rFonts w:ascii="Arial" w:hAnsi="Arial" w:cs="Arial"/>
          <w:color w:val="000000" w:themeColor="text1"/>
          <w:sz w:val="22"/>
          <w:szCs w:val="22"/>
        </w:rPr>
        <w:t>z dnia 10 maja 2022 r.</w:t>
      </w:r>
    </w:p>
    <w:p w14:paraId="0AD209DC" w14:textId="59486785" w:rsidR="00573138" w:rsidRPr="009B78DA" w:rsidRDefault="005815F0" w:rsidP="00535478">
      <w:pPr>
        <w:spacing w:after="0" w:line="288" w:lineRule="auto"/>
        <w:ind w:firstLine="851"/>
        <w:rPr>
          <w:color w:val="000000" w:themeColor="text1"/>
          <w:sz w:val="22"/>
          <w:szCs w:val="22"/>
        </w:rPr>
      </w:pPr>
      <w:r w:rsidRPr="009B78DA">
        <w:rPr>
          <w:rFonts w:ascii="Arial" w:hAnsi="Arial" w:cs="Arial"/>
          <w:color w:val="000000" w:themeColor="text1"/>
          <w:sz w:val="22"/>
          <w:szCs w:val="22"/>
        </w:rPr>
        <w:t xml:space="preserve">11 maja 2022 r. do </w:t>
      </w:r>
      <w:r w:rsidR="00767C84" w:rsidRPr="009B78DA">
        <w:rPr>
          <w:rFonts w:ascii="Arial" w:hAnsi="Arial" w:cs="Arial"/>
          <w:color w:val="000000" w:themeColor="text1"/>
          <w:sz w:val="22"/>
          <w:szCs w:val="22"/>
        </w:rPr>
        <w:t>Dyrekcji Generalnej ds. Polityki Regionalnej i Miejskiej Komisji Europejskiej (</w:t>
      </w:r>
      <w:bookmarkStart w:id="15" w:name="_Hlk144904149"/>
      <w:r w:rsidR="00767C84" w:rsidRPr="009B78DA">
        <w:rPr>
          <w:rFonts w:ascii="Arial" w:hAnsi="Arial" w:cs="Arial"/>
          <w:color w:val="000000" w:themeColor="text1"/>
          <w:sz w:val="22"/>
          <w:szCs w:val="22"/>
        </w:rPr>
        <w:t>DG REGIO</w:t>
      </w:r>
      <w:bookmarkEnd w:id="15"/>
      <w:r w:rsidR="00767C84"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przekazano </w:t>
      </w:r>
      <w:r w:rsidR="00573138" w:rsidRPr="009B78DA">
        <w:rPr>
          <w:rFonts w:ascii="Arial" w:hAnsi="Arial" w:cs="Arial"/>
          <w:color w:val="000000" w:themeColor="text1"/>
          <w:sz w:val="22"/>
          <w:szCs w:val="22"/>
        </w:rPr>
        <w:t>do oceny p</w:t>
      </w:r>
      <w:r w:rsidRPr="009B78DA">
        <w:rPr>
          <w:rFonts w:ascii="Arial" w:hAnsi="Arial" w:cs="Arial"/>
          <w:color w:val="000000" w:themeColor="text1"/>
          <w:sz w:val="22"/>
          <w:szCs w:val="22"/>
        </w:rPr>
        <w:t>rojekt</w:t>
      </w:r>
      <w:r w:rsidR="00573138" w:rsidRPr="009B78DA">
        <w:rPr>
          <w:rFonts w:ascii="Arial" w:hAnsi="Arial" w:cs="Arial"/>
          <w:color w:val="000000" w:themeColor="text1"/>
          <w:sz w:val="22"/>
          <w:szCs w:val="22"/>
        </w:rPr>
        <w:t>y</w:t>
      </w:r>
      <w:r w:rsidR="008D716F" w:rsidRPr="009B78DA">
        <w:rPr>
          <w:rFonts w:ascii="Arial" w:hAnsi="Arial" w:cs="Arial"/>
          <w:color w:val="000000" w:themeColor="text1"/>
          <w:sz w:val="22"/>
          <w:szCs w:val="22"/>
        </w:rPr>
        <w:t>:</w:t>
      </w:r>
      <w:r w:rsidR="0057313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PSRT WP</w:t>
      </w:r>
      <w:r w:rsidR="00573138" w:rsidRPr="009B78DA">
        <w:rPr>
          <w:rFonts w:ascii="Arial" w:hAnsi="Arial" w:cs="Arial"/>
          <w:color w:val="000000" w:themeColor="text1"/>
          <w:sz w:val="22"/>
          <w:szCs w:val="22"/>
        </w:rPr>
        <w:t xml:space="preserve"> (w wersji 2.0)</w:t>
      </w:r>
      <w:r w:rsidRPr="009B78DA">
        <w:rPr>
          <w:rFonts w:ascii="Arial" w:hAnsi="Arial" w:cs="Arial"/>
          <w:color w:val="000000" w:themeColor="text1"/>
          <w:sz w:val="22"/>
          <w:szCs w:val="22"/>
        </w:rPr>
        <w:t xml:space="preserve"> oraz</w:t>
      </w:r>
      <w:r w:rsidR="0057313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Prognozy oddziaływania na środowisko wraz z Raportem z wypełnienia przez Województwo Podkarpackie warunku podstawowego pn. </w:t>
      </w:r>
      <w:r w:rsidRPr="009B78DA">
        <w:rPr>
          <w:rFonts w:ascii="Arial" w:hAnsi="Arial" w:cs="Arial"/>
          <w:i/>
          <w:color w:val="000000" w:themeColor="text1"/>
          <w:sz w:val="22"/>
          <w:szCs w:val="22"/>
        </w:rPr>
        <w:t xml:space="preserve">Kompleksowe planowanie transportu na odpowiednim poziomie </w:t>
      </w:r>
      <w:r w:rsidRPr="009B78DA">
        <w:rPr>
          <w:rFonts w:ascii="Arial" w:hAnsi="Arial" w:cs="Arial"/>
          <w:color w:val="000000" w:themeColor="text1"/>
          <w:sz w:val="22"/>
          <w:szCs w:val="22"/>
        </w:rPr>
        <w:t>(tematyczny warunek podstawowy w ramach Celu Polityki 3. Lepiej połączona Europa dzięki zwiększeniu mobilności) w ramach Polityki Spójności 2021-2027.</w:t>
      </w:r>
    </w:p>
    <w:p w14:paraId="690E4129" w14:textId="7D55F1C4" w:rsidR="00067BFA" w:rsidRDefault="00767C84" w:rsidP="00067BFA">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19 grudnia 2022 r. Województwo Podkarpackie otrzymało</w:t>
      </w:r>
      <w:r w:rsidR="00573138" w:rsidRPr="009B78DA">
        <w:rPr>
          <w:rFonts w:ascii="Arial" w:hAnsi="Arial" w:cs="Arial"/>
          <w:color w:val="000000" w:themeColor="text1"/>
          <w:sz w:val="22"/>
          <w:szCs w:val="22"/>
        </w:rPr>
        <w:t xml:space="preserve"> </w:t>
      </w:r>
      <w:r w:rsidR="00F809C3" w:rsidRPr="009B78DA">
        <w:rPr>
          <w:rFonts w:ascii="Arial" w:hAnsi="Arial" w:cs="Arial"/>
          <w:color w:val="000000" w:themeColor="text1"/>
          <w:sz w:val="22"/>
          <w:szCs w:val="22"/>
        </w:rPr>
        <w:t>od</w:t>
      </w:r>
      <w:r w:rsidR="0057313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DG REGIO</w:t>
      </w:r>
      <w:r w:rsidR="00F809C3" w:rsidRPr="009B78DA">
        <w:rPr>
          <w:rFonts w:ascii="Arial" w:hAnsi="Arial" w:cs="Arial"/>
          <w:color w:val="000000" w:themeColor="text1"/>
          <w:sz w:val="22"/>
          <w:szCs w:val="22"/>
        </w:rPr>
        <w:t xml:space="preserve"> uwagi</w:t>
      </w:r>
      <w:r w:rsidRPr="009B78DA">
        <w:rPr>
          <w:rFonts w:ascii="Arial" w:hAnsi="Arial" w:cs="Arial"/>
          <w:color w:val="000000" w:themeColor="text1"/>
          <w:sz w:val="22"/>
          <w:szCs w:val="22"/>
        </w:rPr>
        <w:t xml:space="preserve"> </w:t>
      </w:r>
      <w:r w:rsidR="00573138" w:rsidRPr="009B78DA">
        <w:rPr>
          <w:rFonts w:ascii="Arial" w:hAnsi="Arial" w:cs="Arial"/>
          <w:color w:val="000000" w:themeColor="text1"/>
          <w:sz w:val="22"/>
          <w:szCs w:val="22"/>
        </w:rPr>
        <w:t>do przesłanego projektu PSRT WP</w:t>
      </w:r>
      <w:r w:rsidR="00F809C3" w:rsidRPr="009B78DA">
        <w:rPr>
          <w:rFonts w:ascii="Arial" w:hAnsi="Arial" w:cs="Arial"/>
          <w:color w:val="000000" w:themeColor="text1"/>
          <w:sz w:val="22"/>
          <w:szCs w:val="22"/>
        </w:rPr>
        <w:t xml:space="preserve">, stąd w </w:t>
      </w:r>
      <w:r w:rsidR="00573138" w:rsidRPr="009B78DA">
        <w:rPr>
          <w:rFonts w:ascii="Arial" w:hAnsi="Arial" w:cs="Arial"/>
          <w:color w:val="000000" w:themeColor="text1"/>
          <w:sz w:val="22"/>
          <w:szCs w:val="22"/>
        </w:rPr>
        <w:t xml:space="preserve">treści niniejszego dokumentu podjęto </w:t>
      </w:r>
      <w:r w:rsidR="00F809C3" w:rsidRPr="009B78DA">
        <w:rPr>
          <w:rFonts w:ascii="Arial" w:hAnsi="Arial" w:cs="Arial"/>
          <w:color w:val="000000" w:themeColor="text1"/>
          <w:sz w:val="22"/>
          <w:szCs w:val="22"/>
        </w:rPr>
        <w:t xml:space="preserve">się </w:t>
      </w:r>
      <w:r w:rsidR="00573138" w:rsidRPr="009B78DA">
        <w:rPr>
          <w:rFonts w:ascii="Arial" w:hAnsi="Arial" w:cs="Arial"/>
          <w:color w:val="000000" w:themeColor="text1"/>
          <w:sz w:val="22"/>
          <w:szCs w:val="22"/>
        </w:rPr>
        <w:t>próby wprowadzenia uzupełnień i modyfikacji</w:t>
      </w:r>
      <w:r w:rsidRPr="009B78DA">
        <w:rPr>
          <w:color w:val="000000" w:themeColor="text1"/>
        </w:rPr>
        <w:t xml:space="preserve"> </w:t>
      </w:r>
      <w:r w:rsidR="00F809C3" w:rsidRPr="009B78DA">
        <w:rPr>
          <w:rFonts w:ascii="Arial" w:hAnsi="Arial" w:cs="Arial"/>
          <w:color w:val="000000" w:themeColor="text1"/>
          <w:sz w:val="22"/>
          <w:szCs w:val="22"/>
        </w:rPr>
        <w:t>zawartości, zgodnie</w:t>
      </w:r>
      <w:r w:rsidRPr="009B78DA">
        <w:rPr>
          <w:rFonts w:ascii="Arial" w:hAnsi="Arial" w:cs="Arial"/>
          <w:color w:val="000000" w:themeColor="text1"/>
          <w:sz w:val="22"/>
          <w:szCs w:val="22"/>
        </w:rPr>
        <w:t xml:space="preserve"> uwag</w:t>
      </w:r>
      <w:r w:rsidR="00F809C3" w:rsidRPr="009B78DA">
        <w:rPr>
          <w:rFonts w:ascii="Arial" w:hAnsi="Arial" w:cs="Arial"/>
          <w:color w:val="000000" w:themeColor="text1"/>
          <w:sz w:val="22"/>
          <w:szCs w:val="22"/>
        </w:rPr>
        <w:t>ami</w:t>
      </w:r>
      <w:r w:rsidRPr="009B78DA">
        <w:rPr>
          <w:rFonts w:ascii="Arial" w:hAnsi="Arial" w:cs="Arial"/>
          <w:color w:val="000000" w:themeColor="text1"/>
          <w:sz w:val="22"/>
          <w:szCs w:val="22"/>
        </w:rPr>
        <w:t xml:space="preserve"> KE.</w:t>
      </w:r>
      <w:r w:rsidR="006B38D9" w:rsidRPr="009B78DA">
        <w:rPr>
          <w:rFonts w:ascii="Arial" w:hAnsi="Arial" w:cs="Arial"/>
          <w:color w:val="000000" w:themeColor="text1"/>
          <w:sz w:val="22"/>
          <w:szCs w:val="22"/>
        </w:rPr>
        <w:t xml:space="preserve"> W obecnej wersji dokumentu uwzględniono także rezultaty Generalnego Pomiaru Ruchu 2020-2021 oraz wyniki Zintegrowanego Modelu Ruchu w wersji 3.0</w:t>
      </w:r>
      <w:r w:rsidR="0082704E" w:rsidRPr="009B78DA">
        <w:rPr>
          <w:rFonts w:ascii="Arial" w:hAnsi="Arial" w:cs="Arial"/>
          <w:color w:val="000000" w:themeColor="text1"/>
          <w:sz w:val="22"/>
          <w:szCs w:val="22"/>
        </w:rPr>
        <w:t>.</w:t>
      </w:r>
    </w:p>
    <w:p w14:paraId="6528EDC1" w14:textId="77777777" w:rsidR="00067BFA" w:rsidRDefault="00067BFA">
      <w:pPr>
        <w:rPr>
          <w:rFonts w:ascii="Arial" w:hAnsi="Arial" w:cs="Arial"/>
          <w:color w:val="000000" w:themeColor="text1"/>
          <w:sz w:val="22"/>
          <w:szCs w:val="22"/>
        </w:rPr>
      </w:pPr>
      <w:r>
        <w:rPr>
          <w:rFonts w:ascii="Arial" w:hAnsi="Arial" w:cs="Arial"/>
          <w:color w:val="000000" w:themeColor="text1"/>
          <w:sz w:val="22"/>
          <w:szCs w:val="22"/>
        </w:rPr>
        <w:br w:type="page"/>
      </w:r>
    </w:p>
    <w:p w14:paraId="39092AC0" w14:textId="3490BC68" w:rsidR="00B501F7" w:rsidRPr="009B78DA" w:rsidRDefault="00B501F7" w:rsidP="00D3034C">
      <w:pPr>
        <w:pStyle w:val="Nagwek1"/>
        <w:rPr>
          <w:rFonts w:cs="Arial"/>
          <w:b/>
          <w:color w:val="000000" w:themeColor="text1"/>
          <w:sz w:val="26"/>
        </w:rPr>
      </w:pPr>
      <w:bookmarkStart w:id="16" w:name="_Toc100335054"/>
      <w:bookmarkStart w:id="17" w:name="_Toc146785778"/>
      <w:r w:rsidRPr="009B78DA">
        <w:rPr>
          <w:rFonts w:cs="Arial"/>
          <w:b/>
          <w:color w:val="000000" w:themeColor="text1"/>
          <w:sz w:val="26"/>
        </w:rPr>
        <w:t>Układ dokumentu</w:t>
      </w:r>
      <w:bookmarkEnd w:id="16"/>
      <w:bookmarkEnd w:id="17"/>
    </w:p>
    <w:p w14:paraId="6A46874F" w14:textId="37D225CB" w:rsidR="00B501F7" w:rsidRPr="009B78DA" w:rsidRDefault="00B501F7" w:rsidP="00067BFA">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Program </w:t>
      </w:r>
      <w:r w:rsidRPr="009B78DA">
        <w:rPr>
          <w:rFonts w:ascii="Arial" w:hAnsi="Arial" w:cs="Arial"/>
          <w:i/>
          <w:color w:val="000000" w:themeColor="text1"/>
          <w:sz w:val="22"/>
          <w:szCs w:val="22"/>
        </w:rPr>
        <w:t>Strategiczn</w:t>
      </w:r>
      <w:r w:rsidR="00366A90" w:rsidRPr="009B78DA">
        <w:rPr>
          <w:rFonts w:ascii="Arial" w:hAnsi="Arial" w:cs="Arial"/>
          <w:i/>
          <w:color w:val="000000" w:themeColor="text1"/>
          <w:sz w:val="22"/>
          <w:szCs w:val="22"/>
        </w:rPr>
        <w:t>y</w:t>
      </w:r>
      <w:r w:rsidRPr="009B78DA">
        <w:rPr>
          <w:rFonts w:ascii="Arial" w:hAnsi="Arial" w:cs="Arial"/>
          <w:i/>
          <w:color w:val="000000" w:themeColor="text1"/>
          <w:sz w:val="22"/>
          <w:szCs w:val="22"/>
        </w:rPr>
        <w:t xml:space="preserve"> Rozwoju Transportu Województwa Podkarpackiego do roku 2030</w:t>
      </w:r>
      <w:r w:rsidRPr="009B78DA">
        <w:rPr>
          <w:rFonts w:ascii="Arial" w:hAnsi="Arial" w:cs="Arial"/>
          <w:color w:val="000000" w:themeColor="text1"/>
          <w:sz w:val="22"/>
          <w:szCs w:val="22"/>
        </w:rPr>
        <w:t xml:space="preserve"> posiada silne oparcie w materiale źródłowym. Prace nad właściwym dokumentem poprzedzone zostały opracowaniem </w:t>
      </w:r>
      <w:r w:rsidRPr="009B78DA">
        <w:rPr>
          <w:rFonts w:ascii="Arial" w:hAnsi="Arial" w:cs="Arial"/>
          <w:i/>
          <w:color w:val="000000" w:themeColor="text1"/>
          <w:sz w:val="22"/>
          <w:szCs w:val="22"/>
        </w:rPr>
        <w:t xml:space="preserve">Diagnozy stanu istniejącego transportu </w:t>
      </w:r>
      <w:r w:rsidR="00897328" w:rsidRPr="009B78DA">
        <w:rPr>
          <w:rFonts w:ascii="Arial" w:hAnsi="Arial" w:cs="Arial"/>
          <w:i/>
          <w:color w:val="000000" w:themeColor="text1"/>
          <w:sz w:val="22"/>
          <w:szCs w:val="22"/>
        </w:rPr>
        <w:br/>
      </w:r>
      <w:r w:rsidRPr="009B78DA">
        <w:rPr>
          <w:rFonts w:ascii="Arial" w:hAnsi="Arial" w:cs="Arial"/>
          <w:i/>
          <w:color w:val="000000" w:themeColor="text1"/>
          <w:sz w:val="22"/>
          <w:szCs w:val="22"/>
        </w:rPr>
        <w:t>w województwie podkarpackim</w:t>
      </w:r>
      <w:r w:rsidR="005E779C" w:rsidRPr="009B78DA">
        <w:rPr>
          <w:rStyle w:val="Odwoanieprzypisudolnego"/>
          <w:rFonts w:ascii="Arial" w:hAnsi="Arial" w:cs="Arial"/>
          <w:color w:val="000000" w:themeColor="text1"/>
          <w:sz w:val="22"/>
          <w:szCs w:val="22"/>
        </w:rPr>
        <w:footnoteReference w:id="4"/>
      </w:r>
      <w:r w:rsidRPr="009B78DA">
        <w:rPr>
          <w:rFonts w:ascii="Arial" w:hAnsi="Arial" w:cs="Arial"/>
          <w:color w:val="000000" w:themeColor="text1"/>
          <w:sz w:val="22"/>
          <w:szCs w:val="22"/>
        </w:rPr>
        <w:t xml:space="preserve"> (przygotowanej przez Podkarpackie Biuro Planowania Przestrzennego w Rzeszowie</w:t>
      </w:r>
      <w:r w:rsidR="008A6893" w:rsidRPr="009B78DA">
        <w:rPr>
          <w:rStyle w:val="Odwoanieprzypisudolnego"/>
          <w:rFonts w:ascii="Arial" w:hAnsi="Arial" w:cs="Arial"/>
          <w:color w:val="000000" w:themeColor="text1"/>
          <w:sz w:val="22"/>
          <w:szCs w:val="22"/>
        </w:rPr>
        <w:footnoteReference w:id="5"/>
      </w:r>
      <w:r w:rsidRPr="009B78DA">
        <w:rPr>
          <w:rFonts w:ascii="Arial" w:hAnsi="Arial" w:cs="Arial"/>
          <w:color w:val="000000" w:themeColor="text1"/>
          <w:sz w:val="22"/>
          <w:szCs w:val="22"/>
        </w:rPr>
        <w:t>), jak również badaniami zrealizowanymi przez zewnętrzne zespoły ekspertów:</w:t>
      </w:r>
    </w:p>
    <w:p w14:paraId="2EC1E08E" w14:textId="18CE4866" w:rsidR="00B501F7" w:rsidRPr="009B78DA" w:rsidRDefault="00B501F7" w:rsidP="00067BFA">
      <w:pPr>
        <w:pStyle w:val="Akapitzlist"/>
        <w:numPr>
          <w:ilvl w:val="0"/>
          <w:numId w:val="2"/>
        </w:numPr>
        <w:spacing w:after="0" w:line="288" w:lineRule="auto"/>
        <w:rPr>
          <w:rFonts w:ascii="Arial" w:hAnsi="Arial" w:cs="Arial"/>
          <w:i/>
          <w:color w:val="000000" w:themeColor="text1"/>
          <w:sz w:val="22"/>
          <w:szCs w:val="22"/>
        </w:rPr>
      </w:pPr>
      <w:r w:rsidRPr="009B78DA">
        <w:rPr>
          <w:rFonts w:ascii="Arial" w:hAnsi="Arial" w:cs="Arial"/>
          <w:i/>
          <w:color w:val="000000" w:themeColor="text1"/>
          <w:sz w:val="22"/>
          <w:szCs w:val="22"/>
        </w:rPr>
        <w:t>Rozwój transportu w województwie podkarpackim w perspektywie do 2030</w:t>
      </w:r>
      <w:r w:rsidR="008C66DB" w:rsidRPr="009B78DA">
        <w:rPr>
          <w:rFonts w:ascii="Arial" w:hAnsi="Arial" w:cs="Arial"/>
          <w:i/>
          <w:color w:val="000000" w:themeColor="text1"/>
          <w:sz w:val="22"/>
          <w:szCs w:val="22"/>
        </w:rPr>
        <w:t>,</w:t>
      </w:r>
    </w:p>
    <w:p w14:paraId="5ED06EEB" w14:textId="3CBC2F2C" w:rsidR="00B501F7" w:rsidRPr="009B78DA" w:rsidRDefault="00B501F7" w:rsidP="00067BFA">
      <w:pPr>
        <w:pStyle w:val="Akapitzlist"/>
        <w:numPr>
          <w:ilvl w:val="0"/>
          <w:numId w:val="2"/>
        </w:numPr>
        <w:spacing w:after="0" w:line="288" w:lineRule="auto"/>
        <w:rPr>
          <w:rFonts w:ascii="Arial" w:hAnsi="Arial" w:cs="Arial"/>
          <w:i/>
          <w:color w:val="000000" w:themeColor="text1"/>
          <w:sz w:val="22"/>
          <w:szCs w:val="22"/>
        </w:rPr>
      </w:pPr>
      <w:r w:rsidRPr="009B78DA">
        <w:rPr>
          <w:rFonts w:ascii="Arial" w:hAnsi="Arial" w:cs="Arial"/>
          <w:i/>
          <w:color w:val="000000" w:themeColor="text1"/>
          <w:sz w:val="22"/>
          <w:szCs w:val="22"/>
        </w:rPr>
        <w:t>Stan obecny i prognozowane zmiany sytuacji transportowej województwa podkarpackiego w świetle krajowych modeli ruchu</w:t>
      </w:r>
      <w:r w:rsidR="008C66DB" w:rsidRPr="009B78DA">
        <w:rPr>
          <w:rFonts w:ascii="Arial" w:hAnsi="Arial" w:cs="Arial"/>
          <w:i/>
          <w:color w:val="000000" w:themeColor="text1"/>
          <w:sz w:val="22"/>
          <w:szCs w:val="22"/>
        </w:rPr>
        <w:t>,</w:t>
      </w:r>
    </w:p>
    <w:p w14:paraId="7D3C0436" w14:textId="2319A048" w:rsidR="00B501F7" w:rsidRPr="009B78DA" w:rsidRDefault="00B501F7" w:rsidP="00067BFA">
      <w:pPr>
        <w:pStyle w:val="Akapitzlist"/>
        <w:numPr>
          <w:ilvl w:val="0"/>
          <w:numId w:val="2"/>
        </w:numPr>
        <w:spacing w:after="0" w:line="288" w:lineRule="auto"/>
        <w:rPr>
          <w:rFonts w:ascii="Arial" w:hAnsi="Arial" w:cs="Arial"/>
          <w:i/>
          <w:color w:val="000000" w:themeColor="text1"/>
          <w:sz w:val="22"/>
          <w:szCs w:val="22"/>
        </w:rPr>
      </w:pPr>
      <w:r w:rsidRPr="009B78DA">
        <w:rPr>
          <w:rFonts w:ascii="Arial" w:hAnsi="Arial" w:cs="Arial"/>
          <w:i/>
          <w:color w:val="000000" w:themeColor="text1"/>
          <w:sz w:val="22"/>
          <w:szCs w:val="22"/>
        </w:rPr>
        <w:t xml:space="preserve">Analiza infrastruktury oraz potencjału portu lotniczego Rzeszów – Jasionka </w:t>
      </w:r>
      <w:r w:rsidRPr="009B78DA">
        <w:rPr>
          <w:rFonts w:ascii="Arial" w:hAnsi="Arial" w:cs="Arial"/>
          <w:i/>
          <w:color w:val="000000" w:themeColor="text1"/>
          <w:sz w:val="22"/>
          <w:szCs w:val="22"/>
        </w:rPr>
        <w:br/>
        <w:t>w perspektywie do 2030 r.</w:t>
      </w:r>
    </w:p>
    <w:p w14:paraId="027A7977" w14:textId="5DFF0730" w:rsidR="00B501F7" w:rsidRPr="009B78DA" w:rsidRDefault="00B501F7" w:rsidP="00067BFA">
      <w:pPr>
        <w:spacing w:after="0" w:line="288"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Przedstawione w ekspertyzach wnioski zespołów badawczych, </w:t>
      </w:r>
      <w:r w:rsidR="00067BFA">
        <w:rPr>
          <w:rFonts w:ascii="Arial" w:hAnsi="Arial" w:cs="Arial"/>
          <w:color w:val="000000" w:themeColor="text1"/>
          <w:sz w:val="22"/>
          <w:szCs w:val="22"/>
        </w:rPr>
        <w:t xml:space="preserve">jak też ekspertów regionalnych </w:t>
      </w:r>
      <w:r w:rsidRPr="009B78DA">
        <w:rPr>
          <w:rFonts w:ascii="Arial" w:hAnsi="Arial" w:cs="Arial"/>
          <w:color w:val="000000" w:themeColor="text1"/>
          <w:sz w:val="22"/>
          <w:szCs w:val="22"/>
        </w:rPr>
        <w:t>w ramach powołanego w tym celu przez Zarząd Województwa zespołu roboczego, stanowiły podstawowe przesłanki do budowy części projekcyjnej Programu.</w:t>
      </w:r>
    </w:p>
    <w:p w14:paraId="49A5C141" w14:textId="77777777" w:rsidR="00162824" w:rsidRPr="009B78DA" w:rsidRDefault="00C12D0D" w:rsidP="00067BFA">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Prace nad przygotowaniem dokumentu obejmowały wskazanie ważności realizowanych inwestycji na podstawie przeprowadzanych analiz oraz modelowania. Ponadto niezwykle ważne było strategiczne planowanie Zarządu Województwa Podkarpackiego, który kieruje się priorytetami województwa ujętymi w </w:t>
      </w:r>
      <w:r w:rsidRPr="009B78DA">
        <w:rPr>
          <w:rFonts w:ascii="Arial" w:hAnsi="Arial" w:cs="Arial"/>
          <w:i/>
          <w:iCs/>
          <w:color w:val="000000" w:themeColor="text1"/>
          <w:sz w:val="22"/>
          <w:szCs w:val="22"/>
        </w:rPr>
        <w:t>Strategii Rozwoju Województwa – Podkarpackie 2030</w:t>
      </w:r>
      <w:r w:rsidRPr="009B78DA">
        <w:rPr>
          <w:rFonts w:ascii="Arial" w:hAnsi="Arial" w:cs="Arial"/>
          <w:color w:val="000000" w:themeColor="text1"/>
          <w:sz w:val="22"/>
          <w:szCs w:val="22"/>
        </w:rPr>
        <w:t>, dzięki czemu skutecznie i konsekwentnie realizuje działania mające na celu poprawę dostępności transportowej regionu.</w:t>
      </w:r>
    </w:p>
    <w:p w14:paraId="2407BFD3" w14:textId="3C5171F8" w:rsidR="002F5571" w:rsidRPr="009B78DA" w:rsidRDefault="00312289" w:rsidP="00067BFA">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Jak wcześniej wspomniano, z</w:t>
      </w:r>
      <w:r w:rsidR="00162824" w:rsidRPr="009B78DA">
        <w:rPr>
          <w:rFonts w:ascii="Arial" w:hAnsi="Arial" w:cs="Arial"/>
          <w:color w:val="000000" w:themeColor="text1"/>
          <w:sz w:val="22"/>
          <w:szCs w:val="22"/>
        </w:rPr>
        <w:t xml:space="preserve">apisy obecnej wersji projektu PSRT WP stanowią również odpowiedź na </w:t>
      </w:r>
      <w:r w:rsidR="002F5571" w:rsidRPr="009B78DA">
        <w:rPr>
          <w:rFonts w:ascii="Arial" w:hAnsi="Arial" w:cs="Arial"/>
          <w:color w:val="000000" w:themeColor="text1"/>
          <w:sz w:val="22"/>
          <w:szCs w:val="22"/>
        </w:rPr>
        <w:t>wstępną ocenę</w:t>
      </w:r>
      <w:r w:rsidR="00162824" w:rsidRPr="009B78DA">
        <w:rPr>
          <w:rFonts w:ascii="Arial" w:hAnsi="Arial" w:cs="Arial"/>
          <w:color w:val="000000" w:themeColor="text1"/>
          <w:sz w:val="22"/>
          <w:szCs w:val="22"/>
        </w:rPr>
        <w:t xml:space="preserve"> </w:t>
      </w:r>
      <w:r w:rsidR="002F5571" w:rsidRPr="009B78DA">
        <w:rPr>
          <w:rFonts w:ascii="Arial" w:hAnsi="Arial" w:cs="Arial"/>
          <w:color w:val="000000" w:themeColor="text1"/>
          <w:sz w:val="22"/>
          <w:szCs w:val="22"/>
        </w:rPr>
        <w:t xml:space="preserve">Komisji Europejskiej </w:t>
      </w:r>
      <w:r w:rsidR="00162824" w:rsidRPr="009B78DA">
        <w:rPr>
          <w:rFonts w:ascii="Arial" w:hAnsi="Arial" w:cs="Arial"/>
          <w:color w:val="000000" w:themeColor="text1"/>
          <w:sz w:val="22"/>
          <w:szCs w:val="22"/>
        </w:rPr>
        <w:t xml:space="preserve">do </w:t>
      </w:r>
      <w:r w:rsidR="002F5571" w:rsidRPr="009B78DA">
        <w:rPr>
          <w:rFonts w:ascii="Arial" w:hAnsi="Arial" w:cs="Arial"/>
          <w:color w:val="000000" w:themeColor="text1"/>
          <w:sz w:val="22"/>
          <w:szCs w:val="22"/>
        </w:rPr>
        <w:t xml:space="preserve">projektu </w:t>
      </w:r>
      <w:r w:rsidR="00162824" w:rsidRPr="009B78DA">
        <w:rPr>
          <w:rFonts w:ascii="Arial" w:hAnsi="Arial" w:cs="Arial"/>
          <w:color w:val="000000" w:themeColor="text1"/>
          <w:sz w:val="22"/>
          <w:szCs w:val="22"/>
        </w:rPr>
        <w:t>Programu</w:t>
      </w:r>
      <w:r w:rsidR="006D3626" w:rsidRPr="009B78DA">
        <w:rPr>
          <w:rFonts w:ascii="Arial" w:hAnsi="Arial" w:cs="Arial"/>
          <w:color w:val="000000" w:themeColor="text1"/>
          <w:sz w:val="22"/>
          <w:szCs w:val="22"/>
        </w:rPr>
        <w:t xml:space="preserve"> </w:t>
      </w:r>
      <w:r w:rsidR="002F5571" w:rsidRPr="009B78DA">
        <w:rPr>
          <w:rFonts w:ascii="Arial" w:hAnsi="Arial" w:cs="Arial"/>
          <w:color w:val="000000" w:themeColor="text1"/>
          <w:sz w:val="22"/>
          <w:szCs w:val="22"/>
        </w:rPr>
        <w:t>w wersji 2.0.</w:t>
      </w:r>
      <w:r w:rsidR="002F5571" w:rsidRPr="009B78DA">
        <w:rPr>
          <w:color w:val="000000" w:themeColor="text1"/>
        </w:rPr>
        <w:t xml:space="preserve"> </w:t>
      </w:r>
      <w:r w:rsidR="002F5571" w:rsidRPr="009B78DA">
        <w:rPr>
          <w:rFonts w:ascii="Arial" w:hAnsi="Arial" w:cs="Arial"/>
          <w:color w:val="000000" w:themeColor="text1"/>
          <w:sz w:val="22"/>
          <w:szCs w:val="22"/>
        </w:rPr>
        <w:t xml:space="preserve">Jednym z kryteriów oceny PSRT WP przez KE jest zawarcie oceny ekonomicznej planowanych inwestycji opartej na analizie popytu i modelowaniu ruchu. Spełnienie tego kryterium możliwe jest dopiero w warunkach dobrze funkcjonującego prognostycznego, multimodalnego modelu ruchu. Tym samym uwzględnienie wyników </w:t>
      </w:r>
      <w:r w:rsidR="00E038A2" w:rsidRPr="009B78DA">
        <w:rPr>
          <w:rFonts w:ascii="Arial" w:hAnsi="Arial" w:cs="Arial"/>
          <w:color w:val="000000" w:themeColor="text1"/>
          <w:sz w:val="22"/>
          <w:szCs w:val="22"/>
        </w:rPr>
        <w:t xml:space="preserve">Zintegrowanego </w:t>
      </w:r>
      <w:r w:rsidR="002F5571" w:rsidRPr="009B78DA">
        <w:rPr>
          <w:rFonts w:ascii="Arial" w:hAnsi="Arial" w:cs="Arial"/>
          <w:color w:val="000000" w:themeColor="text1"/>
          <w:sz w:val="22"/>
          <w:szCs w:val="22"/>
        </w:rPr>
        <w:t>M</w:t>
      </w:r>
      <w:r w:rsidR="00E038A2" w:rsidRPr="009B78DA">
        <w:rPr>
          <w:rFonts w:ascii="Arial" w:hAnsi="Arial" w:cs="Arial"/>
          <w:color w:val="000000" w:themeColor="text1"/>
          <w:sz w:val="22"/>
          <w:szCs w:val="22"/>
        </w:rPr>
        <w:t xml:space="preserve">odelu </w:t>
      </w:r>
      <w:r w:rsidR="002F5571" w:rsidRPr="009B78DA">
        <w:rPr>
          <w:rFonts w:ascii="Arial" w:hAnsi="Arial" w:cs="Arial"/>
          <w:color w:val="000000" w:themeColor="text1"/>
          <w:sz w:val="22"/>
          <w:szCs w:val="22"/>
        </w:rPr>
        <w:t>R</w:t>
      </w:r>
      <w:r w:rsidR="00E038A2" w:rsidRPr="009B78DA">
        <w:rPr>
          <w:rFonts w:ascii="Arial" w:hAnsi="Arial" w:cs="Arial"/>
          <w:color w:val="000000" w:themeColor="text1"/>
          <w:sz w:val="22"/>
          <w:szCs w:val="22"/>
        </w:rPr>
        <w:t>uchu</w:t>
      </w:r>
      <w:r w:rsidR="002F5571" w:rsidRPr="009B78DA">
        <w:rPr>
          <w:rFonts w:ascii="Arial" w:hAnsi="Arial" w:cs="Arial"/>
          <w:color w:val="000000" w:themeColor="text1"/>
          <w:sz w:val="22"/>
          <w:szCs w:val="22"/>
        </w:rPr>
        <w:t xml:space="preserve"> w wersji 3.0, niezależnie od skali ewentualnych korekt w samym </w:t>
      </w:r>
      <w:r w:rsidR="00197FCE" w:rsidRPr="009B78DA">
        <w:rPr>
          <w:rFonts w:ascii="Arial" w:hAnsi="Arial" w:cs="Arial"/>
          <w:color w:val="000000" w:themeColor="text1"/>
          <w:sz w:val="22"/>
          <w:szCs w:val="22"/>
        </w:rPr>
        <w:t xml:space="preserve">Programie </w:t>
      </w:r>
      <w:r w:rsidR="002F5571" w:rsidRPr="009B78DA">
        <w:rPr>
          <w:rFonts w:ascii="Arial" w:hAnsi="Arial" w:cs="Arial"/>
          <w:color w:val="000000" w:themeColor="text1"/>
          <w:sz w:val="22"/>
          <w:szCs w:val="22"/>
        </w:rPr>
        <w:t>wykonanych na podstawie tychże wyników, daje podstawy do spełnienia pierwszego etapu tego kryterium</w:t>
      </w:r>
      <w:r w:rsidR="00453350" w:rsidRPr="009B78DA">
        <w:rPr>
          <w:rFonts w:ascii="Arial" w:hAnsi="Arial" w:cs="Arial"/>
          <w:color w:val="000000" w:themeColor="text1"/>
          <w:sz w:val="22"/>
          <w:szCs w:val="22"/>
        </w:rPr>
        <w:t xml:space="preserve"> i m</w:t>
      </w:r>
      <w:r w:rsidR="002F5571" w:rsidRPr="009B78DA">
        <w:rPr>
          <w:rFonts w:ascii="Arial" w:hAnsi="Arial" w:cs="Arial"/>
          <w:color w:val="000000" w:themeColor="text1"/>
          <w:sz w:val="22"/>
          <w:szCs w:val="22"/>
        </w:rPr>
        <w:t xml:space="preserve">oże być podstawą do </w:t>
      </w:r>
      <w:r w:rsidR="00874408" w:rsidRPr="009B78DA">
        <w:rPr>
          <w:rFonts w:ascii="Arial" w:hAnsi="Arial" w:cs="Arial"/>
          <w:color w:val="000000" w:themeColor="text1"/>
          <w:sz w:val="22"/>
          <w:szCs w:val="22"/>
        </w:rPr>
        <w:t>pogłębionej</w:t>
      </w:r>
      <w:r w:rsidR="002F5571" w:rsidRPr="009B78DA">
        <w:rPr>
          <w:rFonts w:ascii="Arial" w:hAnsi="Arial" w:cs="Arial"/>
          <w:color w:val="000000" w:themeColor="text1"/>
          <w:sz w:val="22"/>
          <w:szCs w:val="22"/>
        </w:rPr>
        <w:t xml:space="preserve"> oceny ekonomicznej kosztów i korzyści</w:t>
      </w:r>
      <w:r w:rsidR="007440E2" w:rsidRPr="009B78DA">
        <w:rPr>
          <w:rStyle w:val="Odwoanieprzypisudolnego"/>
          <w:rFonts w:ascii="Arial" w:hAnsi="Arial" w:cs="Arial"/>
          <w:color w:val="000000" w:themeColor="text1"/>
          <w:sz w:val="22"/>
          <w:szCs w:val="22"/>
        </w:rPr>
        <w:footnoteReference w:id="6"/>
      </w:r>
      <w:r w:rsidR="00067BFA">
        <w:rPr>
          <w:rFonts w:ascii="Arial" w:hAnsi="Arial" w:cs="Arial"/>
          <w:color w:val="000000" w:themeColor="text1"/>
          <w:sz w:val="22"/>
          <w:szCs w:val="22"/>
        </w:rPr>
        <w:t>.</w:t>
      </w:r>
    </w:p>
    <w:p w14:paraId="040E4184" w14:textId="4252A37E" w:rsidR="00B501F7" w:rsidRPr="009B78DA" w:rsidRDefault="00B501F7" w:rsidP="00067BFA">
      <w:pPr>
        <w:spacing w:after="0" w:line="288"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Program zawiera część diagnostyczną, która stanowi podstawę do określenia </w:t>
      </w:r>
      <w:r w:rsidR="00970D9A" w:rsidRPr="009B78DA">
        <w:rPr>
          <w:rFonts w:ascii="Arial" w:hAnsi="Arial" w:cs="Arial"/>
          <w:color w:val="000000" w:themeColor="text1"/>
          <w:sz w:val="22"/>
          <w:szCs w:val="22"/>
        </w:rPr>
        <w:t xml:space="preserve">celu głównego i </w:t>
      </w:r>
      <w:r w:rsidRPr="009B78DA">
        <w:rPr>
          <w:rFonts w:ascii="Arial" w:hAnsi="Arial" w:cs="Arial"/>
          <w:color w:val="000000" w:themeColor="text1"/>
          <w:sz w:val="22"/>
          <w:szCs w:val="22"/>
        </w:rPr>
        <w:t xml:space="preserve">celów </w:t>
      </w:r>
      <w:r w:rsidR="0093204C" w:rsidRPr="009B78DA">
        <w:rPr>
          <w:rFonts w:ascii="Arial" w:hAnsi="Arial" w:cs="Arial"/>
          <w:color w:val="000000" w:themeColor="text1"/>
          <w:sz w:val="22"/>
          <w:szCs w:val="22"/>
        </w:rPr>
        <w:t>szczegółowych (podstawowych i horyzontalnych)</w:t>
      </w:r>
      <w:r w:rsidRPr="009B78DA">
        <w:rPr>
          <w:rFonts w:ascii="Arial" w:hAnsi="Arial" w:cs="Arial"/>
          <w:color w:val="000000" w:themeColor="text1"/>
          <w:sz w:val="22"/>
          <w:szCs w:val="22"/>
        </w:rPr>
        <w:t xml:space="preserve">, kierunków rozwoju </w:t>
      </w:r>
      <w:r w:rsidR="00067BFA">
        <w:rPr>
          <w:rFonts w:ascii="Arial" w:hAnsi="Arial" w:cs="Arial"/>
          <w:color w:val="000000" w:themeColor="text1"/>
          <w:sz w:val="22"/>
          <w:szCs w:val="22"/>
        </w:rPr>
        <w:br/>
      </w:r>
      <w:r w:rsidRPr="009B78DA">
        <w:rPr>
          <w:rFonts w:ascii="Arial" w:hAnsi="Arial" w:cs="Arial"/>
          <w:color w:val="000000" w:themeColor="text1"/>
          <w:sz w:val="22"/>
          <w:szCs w:val="22"/>
        </w:rPr>
        <w:t xml:space="preserve">a także działań tj. </w:t>
      </w:r>
      <w:bookmarkStart w:id="18" w:name="_Hlk86173007"/>
      <w:r w:rsidRPr="009B78DA">
        <w:rPr>
          <w:rFonts w:ascii="Arial" w:hAnsi="Arial" w:cs="Arial"/>
          <w:color w:val="000000" w:themeColor="text1"/>
          <w:sz w:val="22"/>
          <w:szCs w:val="22"/>
        </w:rPr>
        <w:t>kluczowych przedsięwzięć w ramach podstawowych podsystemów transportowych,</w:t>
      </w:r>
      <w:bookmarkEnd w:id="18"/>
      <w:r w:rsidRPr="009B78DA">
        <w:rPr>
          <w:rFonts w:ascii="Arial" w:hAnsi="Arial" w:cs="Arial"/>
          <w:color w:val="000000" w:themeColor="text1"/>
          <w:sz w:val="22"/>
          <w:szCs w:val="22"/>
        </w:rPr>
        <w:t xml:space="preserve"> w perspektywie do 2030 roku. W powiązaniu z celami</w:t>
      </w:r>
      <w:r w:rsidR="00FF749C" w:rsidRPr="009B78DA">
        <w:rPr>
          <w:rFonts w:ascii="Arial" w:hAnsi="Arial" w:cs="Arial"/>
          <w:color w:val="000000" w:themeColor="text1"/>
          <w:sz w:val="22"/>
          <w:szCs w:val="22"/>
        </w:rPr>
        <w:t xml:space="preserve"> </w:t>
      </w:r>
      <w:r w:rsidR="0093204C" w:rsidRPr="009B78DA">
        <w:rPr>
          <w:rFonts w:ascii="Arial" w:hAnsi="Arial" w:cs="Arial"/>
          <w:color w:val="000000" w:themeColor="text1"/>
          <w:sz w:val="22"/>
          <w:szCs w:val="22"/>
        </w:rPr>
        <w:t>szczegółowymi</w:t>
      </w:r>
      <w:r w:rsidRPr="009B78DA">
        <w:rPr>
          <w:rFonts w:ascii="Arial" w:hAnsi="Arial" w:cs="Arial"/>
          <w:color w:val="000000" w:themeColor="text1"/>
          <w:sz w:val="22"/>
          <w:szCs w:val="22"/>
        </w:rPr>
        <w:t>, zostały oszacowane wartości planowanych rezultatów podejmowanych działań. W PSRT WP został wskazany zestaw kryteriów, któr</w:t>
      </w:r>
      <w:r w:rsidR="00970D9A" w:rsidRPr="009B78DA">
        <w:rPr>
          <w:rFonts w:ascii="Arial" w:hAnsi="Arial" w:cs="Arial"/>
          <w:color w:val="000000" w:themeColor="text1"/>
          <w:sz w:val="22"/>
          <w:szCs w:val="22"/>
        </w:rPr>
        <w:t>y</w:t>
      </w:r>
      <w:r w:rsidRPr="009B78DA">
        <w:rPr>
          <w:rFonts w:ascii="Arial" w:hAnsi="Arial" w:cs="Arial"/>
          <w:color w:val="000000" w:themeColor="text1"/>
          <w:sz w:val="22"/>
          <w:szCs w:val="22"/>
        </w:rPr>
        <w:t xml:space="preserve"> pozwol</w:t>
      </w:r>
      <w:r w:rsidR="00970D9A" w:rsidRPr="009B78DA">
        <w:rPr>
          <w:rFonts w:ascii="Arial" w:hAnsi="Arial" w:cs="Arial"/>
          <w:color w:val="000000" w:themeColor="text1"/>
          <w:sz w:val="22"/>
          <w:szCs w:val="22"/>
        </w:rPr>
        <w:t>i</w:t>
      </w:r>
      <w:r w:rsidRPr="009B78DA">
        <w:rPr>
          <w:rFonts w:ascii="Arial" w:hAnsi="Arial" w:cs="Arial"/>
          <w:color w:val="000000" w:themeColor="text1"/>
          <w:sz w:val="22"/>
          <w:szCs w:val="22"/>
        </w:rPr>
        <w:t xml:space="preserve"> na dokonanie wyboru projektów w największym stopniu realizujących ustalone cele </w:t>
      </w:r>
      <w:r w:rsidR="00970D9A" w:rsidRPr="009B78DA">
        <w:rPr>
          <w:rFonts w:ascii="Arial" w:hAnsi="Arial" w:cs="Arial"/>
          <w:color w:val="000000" w:themeColor="text1"/>
          <w:sz w:val="22"/>
          <w:szCs w:val="22"/>
        </w:rPr>
        <w:t>szczegółowe</w:t>
      </w:r>
      <w:r w:rsidR="00FF749C"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oraz planowane do osiągnięcia rezultaty</w:t>
      </w:r>
      <w:r w:rsidR="009A41BC" w:rsidRPr="009B78DA">
        <w:rPr>
          <w:rFonts w:ascii="Arial" w:hAnsi="Arial" w:cs="Arial"/>
          <w:color w:val="000000" w:themeColor="text1"/>
          <w:sz w:val="22"/>
          <w:szCs w:val="22"/>
        </w:rPr>
        <w:t xml:space="preserve"> programu</w:t>
      </w:r>
      <w:r w:rsidRPr="009B78DA">
        <w:rPr>
          <w:rFonts w:ascii="Arial" w:hAnsi="Arial" w:cs="Arial"/>
          <w:color w:val="000000" w:themeColor="text1"/>
          <w:sz w:val="22"/>
          <w:szCs w:val="22"/>
        </w:rPr>
        <w:t>. Na podstawie przygotowanych kryteriów, sporządzono ranking kluczowych inwestycji infrastrukturalnych poprawiających d</w:t>
      </w:r>
      <w:r w:rsidR="00B07B8D">
        <w:rPr>
          <w:rFonts w:ascii="Arial" w:hAnsi="Arial" w:cs="Arial"/>
          <w:color w:val="000000" w:themeColor="text1"/>
          <w:sz w:val="22"/>
          <w:szCs w:val="22"/>
        </w:rPr>
        <w:t>ostępność transportową regionu.</w:t>
      </w:r>
    </w:p>
    <w:p w14:paraId="31F41DFA" w14:textId="77777777" w:rsidR="00B501F7" w:rsidRPr="009B78DA" w:rsidRDefault="00B501F7" w:rsidP="00067BFA">
      <w:pPr>
        <w:spacing w:after="0" w:line="288"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Dokument składa się z następujących części: </w:t>
      </w:r>
    </w:p>
    <w:p w14:paraId="7D2EBC0F" w14:textId="1E889C6C" w:rsidR="00B501F7" w:rsidRPr="009B78DA" w:rsidRDefault="005F5683" w:rsidP="00067BFA">
      <w:pPr>
        <w:pStyle w:val="Akapitzlist"/>
        <w:numPr>
          <w:ilvl w:val="0"/>
          <w:numId w:val="3"/>
        </w:numPr>
        <w:spacing w:after="0" w:line="288" w:lineRule="auto"/>
        <w:rPr>
          <w:rFonts w:ascii="Arial" w:hAnsi="Arial" w:cs="Arial"/>
          <w:color w:val="000000" w:themeColor="text1"/>
          <w:sz w:val="22"/>
          <w:szCs w:val="22"/>
        </w:rPr>
      </w:pPr>
      <w:r w:rsidRPr="009B78DA">
        <w:rPr>
          <w:rFonts w:ascii="Arial" w:hAnsi="Arial" w:cs="Arial"/>
          <w:color w:val="000000" w:themeColor="text1"/>
          <w:sz w:val="22"/>
          <w:szCs w:val="22"/>
        </w:rPr>
        <w:t>Diagnostycznej (obejmującej: s</w:t>
      </w:r>
      <w:r w:rsidR="00B501F7" w:rsidRPr="009B78DA">
        <w:rPr>
          <w:rFonts w:ascii="Arial" w:hAnsi="Arial" w:cs="Arial"/>
          <w:color w:val="000000" w:themeColor="text1"/>
          <w:sz w:val="22"/>
          <w:szCs w:val="22"/>
        </w:rPr>
        <w:t>yntez</w:t>
      </w:r>
      <w:r w:rsidRPr="009B78DA">
        <w:rPr>
          <w:rFonts w:ascii="Arial" w:hAnsi="Arial" w:cs="Arial"/>
          <w:color w:val="000000" w:themeColor="text1"/>
          <w:sz w:val="22"/>
          <w:szCs w:val="22"/>
        </w:rPr>
        <w:t>ę</w:t>
      </w:r>
      <w:r w:rsidR="00B501F7" w:rsidRPr="009B78DA">
        <w:rPr>
          <w:rFonts w:ascii="Arial" w:hAnsi="Arial" w:cs="Arial"/>
          <w:color w:val="000000" w:themeColor="text1"/>
          <w:sz w:val="22"/>
          <w:szCs w:val="22"/>
        </w:rPr>
        <w:t xml:space="preserve"> diagnozy </w:t>
      </w:r>
      <w:bookmarkStart w:id="19" w:name="_Hlk85439239"/>
      <w:r w:rsidR="00B501F7" w:rsidRPr="009B78DA">
        <w:rPr>
          <w:rFonts w:ascii="Arial" w:hAnsi="Arial" w:cs="Arial"/>
          <w:color w:val="000000" w:themeColor="text1"/>
          <w:sz w:val="22"/>
          <w:szCs w:val="22"/>
        </w:rPr>
        <w:t xml:space="preserve">stanu systemu transportowego </w:t>
      </w:r>
      <w:r w:rsidR="00067BFA">
        <w:rPr>
          <w:rFonts w:ascii="Arial" w:hAnsi="Arial" w:cs="Arial"/>
          <w:color w:val="000000" w:themeColor="text1"/>
          <w:sz w:val="22"/>
          <w:szCs w:val="22"/>
        </w:rPr>
        <w:br/>
      </w:r>
      <w:r w:rsidR="00B501F7" w:rsidRPr="009B78DA">
        <w:rPr>
          <w:rFonts w:ascii="Arial" w:hAnsi="Arial" w:cs="Arial"/>
          <w:color w:val="000000" w:themeColor="text1"/>
          <w:sz w:val="22"/>
          <w:szCs w:val="22"/>
        </w:rPr>
        <w:t>w województwie podkarpackim</w:t>
      </w:r>
      <w:bookmarkEnd w:id="19"/>
      <w:r w:rsidRPr="009B78DA">
        <w:rPr>
          <w:rFonts w:ascii="Arial" w:hAnsi="Arial" w:cs="Arial"/>
          <w:color w:val="000000" w:themeColor="text1"/>
          <w:sz w:val="22"/>
          <w:szCs w:val="22"/>
        </w:rPr>
        <w:t>, analizę popytową – część poświęconą modelowaniu ruchu oraz prognozę)</w:t>
      </w:r>
      <w:r w:rsidR="00B501F7" w:rsidRPr="009B78DA">
        <w:rPr>
          <w:rFonts w:ascii="Arial" w:hAnsi="Arial" w:cs="Arial"/>
          <w:color w:val="000000" w:themeColor="text1"/>
          <w:sz w:val="22"/>
          <w:szCs w:val="22"/>
        </w:rPr>
        <w:t xml:space="preserve"> zakończonej analizą SWOT (podsumowaniem)</w:t>
      </w:r>
      <w:r w:rsidR="008C66DB" w:rsidRPr="009B78DA">
        <w:rPr>
          <w:rFonts w:ascii="Arial" w:hAnsi="Arial" w:cs="Arial"/>
          <w:color w:val="000000" w:themeColor="text1"/>
          <w:sz w:val="22"/>
          <w:szCs w:val="22"/>
        </w:rPr>
        <w:t>,</w:t>
      </w:r>
    </w:p>
    <w:p w14:paraId="04F18D27" w14:textId="771C3FEB" w:rsidR="00B501F7" w:rsidRPr="009B78DA" w:rsidRDefault="00B501F7" w:rsidP="00067BFA">
      <w:pPr>
        <w:pStyle w:val="Akapitzlist"/>
        <w:numPr>
          <w:ilvl w:val="0"/>
          <w:numId w:val="3"/>
        </w:numPr>
        <w:spacing w:after="0" w:line="288" w:lineRule="auto"/>
        <w:rPr>
          <w:rFonts w:ascii="Arial" w:hAnsi="Arial" w:cs="Arial"/>
          <w:color w:val="000000" w:themeColor="text1"/>
          <w:sz w:val="22"/>
          <w:szCs w:val="22"/>
        </w:rPr>
      </w:pPr>
      <w:r w:rsidRPr="009B78DA">
        <w:rPr>
          <w:rFonts w:ascii="Arial" w:hAnsi="Arial" w:cs="Arial"/>
          <w:color w:val="000000" w:themeColor="text1"/>
          <w:sz w:val="22"/>
          <w:szCs w:val="22"/>
        </w:rPr>
        <w:t>Problemów wynikających z diagnozy</w:t>
      </w:r>
      <w:r w:rsidR="008C66DB"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p>
    <w:p w14:paraId="41C0D4D4" w14:textId="11CD0A78" w:rsidR="00B501F7" w:rsidRPr="009B78DA" w:rsidRDefault="00B501F7" w:rsidP="00067BFA">
      <w:pPr>
        <w:pStyle w:val="Akapitzlist"/>
        <w:numPr>
          <w:ilvl w:val="0"/>
          <w:numId w:val="3"/>
        </w:numPr>
        <w:spacing w:after="0" w:line="288" w:lineRule="auto"/>
        <w:rPr>
          <w:rFonts w:ascii="Arial" w:hAnsi="Arial" w:cs="Arial"/>
          <w:color w:val="000000" w:themeColor="text1"/>
          <w:sz w:val="22"/>
          <w:szCs w:val="22"/>
        </w:rPr>
      </w:pPr>
      <w:r w:rsidRPr="009B78DA">
        <w:rPr>
          <w:rFonts w:ascii="Arial" w:hAnsi="Arial" w:cs="Arial"/>
          <w:color w:val="000000" w:themeColor="text1"/>
          <w:sz w:val="22"/>
          <w:szCs w:val="22"/>
        </w:rPr>
        <w:t>Wariantów planistycznych (różnych możliwości w kontekście realizacji systemu transportowego)</w:t>
      </w:r>
      <w:r w:rsidR="008C66DB" w:rsidRPr="009B78DA">
        <w:rPr>
          <w:rFonts w:ascii="Arial" w:hAnsi="Arial" w:cs="Arial"/>
          <w:color w:val="000000" w:themeColor="text1"/>
          <w:sz w:val="22"/>
          <w:szCs w:val="22"/>
        </w:rPr>
        <w:t>,</w:t>
      </w:r>
    </w:p>
    <w:p w14:paraId="1DB1A3AE" w14:textId="520702CC" w:rsidR="00B501F7" w:rsidRPr="009B78DA" w:rsidRDefault="00B501F7" w:rsidP="00067BFA">
      <w:pPr>
        <w:pStyle w:val="Akapitzlist"/>
        <w:numPr>
          <w:ilvl w:val="0"/>
          <w:numId w:val="3"/>
        </w:numPr>
        <w:spacing w:after="0" w:line="288"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Przedstawienia kierunkowej perspektywy rozwoju systemu transportowego regionu, </w:t>
      </w:r>
      <w:r w:rsidRPr="009B78DA">
        <w:rPr>
          <w:rFonts w:ascii="Arial" w:hAnsi="Arial" w:cs="Arial"/>
          <w:color w:val="000000" w:themeColor="text1"/>
          <w:sz w:val="22"/>
          <w:szCs w:val="22"/>
        </w:rPr>
        <w:br/>
        <w:t>w szczególności opisu celów, kierunków i działań inwestycyjnych</w:t>
      </w:r>
      <w:r w:rsidR="008C66DB" w:rsidRPr="009B78DA">
        <w:rPr>
          <w:rFonts w:ascii="Arial" w:hAnsi="Arial" w:cs="Arial"/>
          <w:color w:val="000000" w:themeColor="text1"/>
          <w:sz w:val="22"/>
          <w:szCs w:val="22"/>
        </w:rPr>
        <w:t>,</w:t>
      </w:r>
    </w:p>
    <w:p w14:paraId="3E3BF6D7" w14:textId="01435C62" w:rsidR="00A344DF" w:rsidRPr="009B78DA" w:rsidRDefault="00B501F7" w:rsidP="00067BFA">
      <w:pPr>
        <w:pStyle w:val="Akapitzlist"/>
        <w:numPr>
          <w:ilvl w:val="0"/>
          <w:numId w:val="3"/>
        </w:numPr>
        <w:spacing w:after="0" w:line="288" w:lineRule="auto"/>
        <w:ind w:left="714" w:hanging="357"/>
        <w:rPr>
          <w:rFonts w:ascii="Arial" w:hAnsi="Arial" w:cs="Arial"/>
          <w:color w:val="000000" w:themeColor="text1"/>
          <w:sz w:val="22"/>
          <w:szCs w:val="22"/>
        </w:rPr>
      </w:pPr>
      <w:bookmarkStart w:id="20" w:name="_Hlk85439484"/>
      <w:r w:rsidRPr="009B78DA">
        <w:rPr>
          <w:rFonts w:ascii="Arial" w:hAnsi="Arial" w:cs="Arial"/>
          <w:color w:val="000000" w:themeColor="text1"/>
          <w:sz w:val="22"/>
          <w:szCs w:val="22"/>
        </w:rPr>
        <w:t>Systemu wdrażania i realizacji</w:t>
      </w:r>
      <w:bookmarkStart w:id="21" w:name="_Hlk86234699"/>
      <w:r w:rsidR="008C66DB" w:rsidRPr="009B78DA">
        <w:rPr>
          <w:rFonts w:ascii="Arial" w:hAnsi="Arial" w:cs="Arial"/>
          <w:color w:val="000000" w:themeColor="text1"/>
          <w:sz w:val="22"/>
          <w:szCs w:val="22"/>
        </w:rPr>
        <w:t>,</w:t>
      </w:r>
    </w:p>
    <w:p w14:paraId="156EF6EA" w14:textId="103BCA96" w:rsidR="00A344DF" w:rsidRPr="009B78DA" w:rsidRDefault="00A344DF" w:rsidP="00067BFA">
      <w:pPr>
        <w:pStyle w:val="Akapitzlist"/>
        <w:numPr>
          <w:ilvl w:val="0"/>
          <w:numId w:val="3"/>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Najważniejszych wniosków zawartych w </w:t>
      </w:r>
      <w:r w:rsidR="003E33F7" w:rsidRPr="009B78DA">
        <w:rPr>
          <w:rFonts w:ascii="Arial" w:hAnsi="Arial" w:cs="Arial"/>
          <w:color w:val="000000" w:themeColor="text1"/>
          <w:sz w:val="22"/>
          <w:szCs w:val="22"/>
        </w:rPr>
        <w:t>Prognoz</w:t>
      </w:r>
      <w:r w:rsidRPr="009B78DA">
        <w:rPr>
          <w:rFonts w:ascii="Arial" w:hAnsi="Arial" w:cs="Arial"/>
          <w:color w:val="000000" w:themeColor="text1"/>
          <w:sz w:val="22"/>
          <w:szCs w:val="22"/>
        </w:rPr>
        <w:t>ie</w:t>
      </w:r>
      <w:r w:rsidR="003E33F7" w:rsidRPr="009B78DA">
        <w:rPr>
          <w:rFonts w:ascii="Arial" w:hAnsi="Arial" w:cs="Arial"/>
          <w:color w:val="000000" w:themeColor="text1"/>
          <w:sz w:val="22"/>
          <w:szCs w:val="22"/>
        </w:rPr>
        <w:t xml:space="preserve"> oddziaływania na środowisko</w:t>
      </w:r>
      <w:r w:rsidR="008C66DB" w:rsidRPr="009B78DA">
        <w:rPr>
          <w:rFonts w:ascii="Arial" w:hAnsi="Arial" w:cs="Arial"/>
          <w:color w:val="000000" w:themeColor="text1"/>
          <w:sz w:val="22"/>
          <w:szCs w:val="22"/>
        </w:rPr>
        <w:t>,</w:t>
      </w:r>
      <w:r w:rsidR="003E33F7" w:rsidRPr="009B78DA">
        <w:rPr>
          <w:rFonts w:ascii="Arial" w:hAnsi="Arial" w:cs="Arial"/>
          <w:color w:val="000000" w:themeColor="text1"/>
          <w:sz w:val="22"/>
          <w:szCs w:val="22"/>
        </w:rPr>
        <w:t xml:space="preserve"> </w:t>
      </w:r>
    </w:p>
    <w:p w14:paraId="7A016872" w14:textId="60D78BB2" w:rsidR="00A344DF" w:rsidRPr="009B78DA" w:rsidRDefault="003E33F7" w:rsidP="00067BFA">
      <w:pPr>
        <w:pStyle w:val="Akapitzlist"/>
        <w:numPr>
          <w:ilvl w:val="0"/>
          <w:numId w:val="3"/>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Podsumowani</w:t>
      </w:r>
      <w:r w:rsidR="00A344DF"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z przeprowadzonych konsultacji społecznych</w:t>
      </w:r>
      <w:r w:rsidR="008C66DB" w:rsidRPr="009B78DA">
        <w:rPr>
          <w:rFonts w:ascii="Arial" w:hAnsi="Arial" w:cs="Arial"/>
          <w:color w:val="000000" w:themeColor="text1"/>
          <w:sz w:val="22"/>
          <w:szCs w:val="22"/>
        </w:rPr>
        <w:t>,</w:t>
      </w:r>
    </w:p>
    <w:p w14:paraId="58E1EA6B" w14:textId="063F692F" w:rsidR="00A344DF" w:rsidRPr="00067BFA" w:rsidRDefault="003E33F7" w:rsidP="00067BFA">
      <w:pPr>
        <w:pStyle w:val="Akapitzlist"/>
        <w:numPr>
          <w:ilvl w:val="0"/>
          <w:numId w:val="3"/>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Analiz</w:t>
      </w:r>
      <w:r w:rsidR="00A344DF" w:rsidRPr="009B78DA">
        <w:rPr>
          <w:rFonts w:ascii="Arial" w:hAnsi="Arial" w:cs="Arial"/>
          <w:color w:val="000000" w:themeColor="text1"/>
          <w:sz w:val="22"/>
          <w:szCs w:val="22"/>
        </w:rPr>
        <w:t>y</w:t>
      </w:r>
      <w:r w:rsidRPr="009B78DA">
        <w:rPr>
          <w:rFonts w:ascii="Arial" w:hAnsi="Arial" w:cs="Arial"/>
          <w:color w:val="000000" w:themeColor="text1"/>
          <w:sz w:val="22"/>
          <w:szCs w:val="22"/>
        </w:rPr>
        <w:t xml:space="preserve"> ryzyka</w:t>
      </w:r>
      <w:r w:rsidR="008C66DB" w:rsidRPr="009B78DA">
        <w:rPr>
          <w:rFonts w:ascii="Arial" w:hAnsi="Arial" w:cs="Arial"/>
          <w:color w:val="000000" w:themeColor="text1"/>
          <w:sz w:val="22"/>
          <w:szCs w:val="22"/>
        </w:rPr>
        <w:t>.</w:t>
      </w:r>
    </w:p>
    <w:p w14:paraId="519DE7D6" w14:textId="20693FE5" w:rsidR="007D1CB1" w:rsidRPr="007D1CB1" w:rsidRDefault="007D1CB1" w:rsidP="007D1CB1">
      <w:pPr>
        <w:pStyle w:val="Legenda"/>
        <w:keepNext/>
        <w:spacing w:line="276" w:lineRule="auto"/>
        <w:rPr>
          <w:rFonts w:ascii="Arial" w:hAnsi="Arial" w:cs="Arial"/>
          <w:i w:val="0"/>
          <w:color w:val="000000" w:themeColor="text1"/>
          <w:sz w:val="22"/>
          <w:szCs w:val="22"/>
        </w:rPr>
      </w:pPr>
      <w:bookmarkStart w:id="22" w:name="_Toc146785630"/>
      <w:bookmarkStart w:id="23" w:name="_Hlk90039413"/>
      <w:bookmarkEnd w:id="21"/>
      <w:r w:rsidRPr="007D1CB1">
        <w:rPr>
          <w:rFonts w:ascii="Arial" w:hAnsi="Arial" w:cs="Arial"/>
          <w:b/>
          <w:i w:val="0"/>
          <w:color w:val="000000" w:themeColor="text1"/>
          <w:sz w:val="22"/>
          <w:szCs w:val="22"/>
        </w:rPr>
        <w:t xml:space="preserve">Rysunek </w:t>
      </w:r>
      <w:r w:rsidRPr="007D1CB1">
        <w:rPr>
          <w:rFonts w:ascii="Arial" w:hAnsi="Arial" w:cs="Arial"/>
          <w:b/>
          <w:i w:val="0"/>
          <w:color w:val="000000" w:themeColor="text1"/>
          <w:sz w:val="22"/>
          <w:szCs w:val="22"/>
        </w:rPr>
        <w:fldChar w:fldCharType="begin"/>
      </w:r>
      <w:r w:rsidRPr="007D1CB1">
        <w:rPr>
          <w:rFonts w:ascii="Arial" w:hAnsi="Arial" w:cs="Arial"/>
          <w:b/>
          <w:i w:val="0"/>
          <w:color w:val="000000" w:themeColor="text1"/>
          <w:sz w:val="22"/>
          <w:szCs w:val="22"/>
        </w:rPr>
        <w:instrText xml:space="preserve"> SEQ Rysunek_ \* ARABIC </w:instrText>
      </w:r>
      <w:r w:rsidRPr="007D1CB1">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w:t>
      </w:r>
      <w:r w:rsidRPr="007D1CB1">
        <w:rPr>
          <w:rFonts w:ascii="Arial" w:hAnsi="Arial" w:cs="Arial"/>
          <w:b/>
          <w:i w:val="0"/>
          <w:color w:val="000000" w:themeColor="text1"/>
          <w:sz w:val="22"/>
          <w:szCs w:val="22"/>
        </w:rPr>
        <w:fldChar w:fldCharType="end"/>
      </w:r>
      <w:r w:rsidRPr="007D1CB1">
        <w:rPr>
          <w:rFonts w:ascii="Arial" w:hAnsi="Arial" w:cs="Arial"/>
          <w:i w:val="0"/>
          <w:color w:val="000000" w:themeColor="text1"/>
          <w:sz w:val="22"/>
          <w:szCs w:val="22"/>
        </w:rPr>
        <w:t xml:space="preserve"> Schemat obrazujący układ Programu Strategicznego Rozwoju Transportu Województwa Podkarpackiego do roku 2030</w:t>
      </w:r>
      <w:bookmarkEnd w:id="22"/>
    </w:p>
    <w:p w14:paraId="0EE5F0A5" w14:textId="2443CCD3" w:rsidR="000A745F" w:rsidRPr="007D1CB1" w:rsidRDefault="007D1CB1" w:rsidP="000A745F">
      <w:pPr>
        <w:spacing w:after="0" w:line="288" w:lineRule="auto"/>
        <w:jc w:val="both"/>
        <w:rPr>
          <w:rFonts w:ascii="Arial" w:hAnsi="Arial" w:cs="Arial"/>
          <w:i/>
          <w:iCs/>
          <w:color w:val="000000" w:themeColor="text1"/>
          <w:sz w:val="22"/>
          <w:szCs w:val="22"/>
        </w:rPr>
      </w:pPr>
      <w:r>
        <w:rPr>
          <w:rFonts w:ascii="Arial" w:hAnsi="Arial" w:cs="Arial"/>
          <w:i/>
          <w:iCs/>
          <w:noProof/>
          <w:color w:val="000000" w:themeColor="text1"/>
          <w:sz w:val="22"/>
          <w:szCs w:val="22"/>
        </w:rPr>
        <w:drawing>
          <wp:inline distT="0" distB="0" distL="0" distR="0" wp14:anchorId="36202D8A" wp14:editId="458F4480">
            <wp:extent cx="5760720" cy="4935220"/>
            <wp:effectExtent l="0" t="0" r="0" b="0"/>
            <wp:docPr id="9" name="Obraz 9" descr="Schemat po lewej stronie: Prognoza oddziaływania na środowisko- najważniejsze wnioski, Podsumowanie z przeprowadzonych konsultacji społecznych, Analiza ryzyka. Schemat po prawej stronie: Synteza diagnozy stanu systemu transportowego w województwie podkarpackim, Analiza SWOT (podsumowanie części diagnostycznej), Problemy wynikające z diagnozy (problemy do rozwiązania), Warianty planistyczne (różne możliwości rozwoju w kontekście realizacji systemu transportowego), Cel główny i cele szczegółowe (podstawowe i horyzontalne), Kierunki działań w ramach celów szczegółowych, System wdrażania i realizacji" title="Rysunek 1 Schemat obrazujący układ Programu Strategicznego Rozwoju Transportu Województwa Podkarpackiego do roku 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ysunek 1.png"/>
                    <pic:cNvPicPr/>
                  </pic:nvPicPr>
                  <pic:blipFill>
                    <a:blip r:embed="rId9">
                      <a:extLst>
                        <a:ext uri="{28A0092B-C50C-407E-A947-70E740481C1C}">
                          <a14:useLocalDpi xmlns:a14="http://schemas.microsoft.com/office/drawing/2010/main" val="0"/>
                        </a:ext>
                      </a:extLst>
                    </a:blip>
                    <a:stretch>
                      <a:fillRect/>
                    </a:stretch>
                  </pic:blipFill>
                  <pic:spPr>
                    <a:xfrm>
                      <a:off x="0" y="0"/>
                      <a:ext cx="5760720" cy="4935220"/>
                    </a:xfrm>
                    <a:prstGeom prst="rect">
                      <a:avLst/>
                    </a:prstGeom>
                  </pic:spPr>
                </pic:pic>
              </a:graphicData>
            </a:graphic>
          </wp:inline>
        </w:drawing>
      </w:r>
    </w:p>
    <w:p w14:paraId="55BE20AE" w14:textId="58158AD3" w:rsidR="00B501F7" w:rsidRPr="007D1CB1" w:rsidRDefault="000A745F" w:rsidP="007D1CB1">
      <w:pPr>
        <w:spacing w:after="240" w:line="288"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6F4FD2" w:rsidRPr="009B78DA">
        <w:rPr>
          <w:rFonts w:ascii="Arial" w:hAnsi="Arial" w:cs="Arial"/>
          <w:color w:val="000000" w:themeColor="text1"/>
          <w:sz w:val="22"/>
          <w:szCs w:val="22"/>
        </w:rPr>
        <w:t>O</w:t>
      </w:r>
      <w:r w:rsidRPr="009B78DA">
        <w:rPr>
          <w:rFonts w:ascii="Arial" w:hAnsi="Arial" w:cs="Arial"/>
          <w:color w:val="000000" w:themeColor="text1"/>
          <w:sz w:val="22"/>
          <w:szCs w:val="22"/>
        </w:rPr>
        <w:t>pracowanie własne.</w:t>
      </w:r>
      <w:bookmarkEnd w:id="23"/>
    </w:p>
    <w:bookmarkEnd w:id="20"/>
    <w:p w14:paraId="6ED7AABA" w14:textId="77777777" w:rsidR="0095664B" w:rsidRPr="009B78DA" w:rsidRDefault="00B501F7" w:rsidP="007D1CB1">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W ramach pierwszej części przedstawiono w ujęciu syntetycznym diagnozę stanu systemu transportowego w województwie podkarpackim. Ponadto zamieszczono analizę popytową uzupełnioną o wykorzystanie elementów istniejących krajowych modeli ruchu. Pierwszą część </w:t>
      </w:r>
      <w:r w:rsidR="00252A02" w:rsidRPr="009B78DA">
        <w:rPr>
          <w:rFonts w:ascii="Arial" w:hAnsi="Arial" w:cs="Arial"/>
          <w:color w:val="000000" w:themeColor="text1"/>
          <w:sz w:val="22"/>
          <w:szCs w:val="22"/>
        </w:rPr>
        <w:t>Programu</w:t>
      </w:r>
      <w:r w:rsidRPr="009B78DA">
        <w:rPr>
          <w:rFonts w:ascii="Arial" w:hAnsi="Arial" w:cs="Arial"/>
          <w:color w:val="000000" w:themeColor="text1"/>
          <w:sz w:val="22"/>
          <w:szCs w:val="22"/>
        </w:rPr>
        <w:t xml:space="preserve"> podsumowuj</w:t>
      </w:r>
      <w:r w:rsidR="00284B82"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analiza SWOT.</w:t>
      </w:r>
    </w:p>
    <w:p w14:paraId="4EFD40C2" w14:textId="74AC63D1" w:rsidR="00B501F7" w:rsidRPr="009B78DA" w:rsidRDefault="00B501F7" w:rsidP="007D1CB1">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Część druga dokumentu prezentuje problemy wynikające z diagnozy wraz z ich uzasadnieniem. </w:t>
      </w:r>
      <w:r w:rsidR="00284B82" w:rsidRPr="009B78DA">
        <w:rPr>
          <w:rFonts w:ascii="Arial" w:hAnsi="Arial" w:cs="Arial"/>
          <w:color w:val="000000" w:themeColor="text1"/>
          <w:sz w:val="22"/>
          <w:szCs w:val="22"/>
        </w:rPr>
        <w:t xml:space="preserve">W części tej </w:t>
      </w:r>
      <w:r w:rsidR="00160115" w:rsidRPr="009B78DA">
        <w:rPr>
          <w:rFonts w:ascii="Arial" w:hAnsi="Arial" w:cs="Arial"/>
          <w:color w:val="000000" w:themeColor="text1"/>
          <w:sz w:val="22"/>
          <w:szCs w:val="22"/>
        </w:rPr>
        <w:t>również</w:t>
      </w:r>
      <w:r w:rsidR="00CC526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sformułowano wizję rozwoju transportu w ujęciu wariantowym, w tym </w:t>
      </w:r>
      <w:r w:rsidR="00160115" w:rsidRPr="009B78DA">
        <w:rPr>
          <w:rFonts w:ascii="Arial" w:hAnsi="Arial" w:cs="Arial"/>
          <w:color w:val="000000" w:themeColor="text1"/>
          <w:sz w:val="22"/>
          <w:szCs w:val="22"/>
        </w:rPr>
        <w:t xml:space="preserve">także </w:t>
      </w:r>
      <w:r w:rsidRPr="009B78DA">
        <w:rPr>
          <w:rFonts w:ascii="Arial" w:hAnsi="Arial" w:cs="Arial"/>
          <w:color w:val="000000" w:themeColor="text1"/>
          <w:sz w:val="22"/>
          <w:szCs w:val="22"/>
        </w:rPr>
        <w:t>z odniesieniem do zapotrzebowania na infrastrukturę transportową w województwie podkarpackim w roku 2030.</w:t>
      </w:r>
    </w:p>
    <w:p w14:paraId="5F3A67EB" w14:textId="6E9D19A7" w:rsidR="00712D66" w:rsidRPr="009B78DA" w:rsidRDefault="00B501F7" w:rsidP="007D1CB1">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W trzeciej części przedstawiono cele i kierunki rozwoju regionalnego systemu transportowego oraz służące ich realizacji </w:t>
      </w:r>
      <w:r w:rsidR="00760C1B" w:rsidRPr="009B78DA">
        <w:rPr>
          <w:rFonts w:ascii="Arial" w:hAnsi="Arial" w:cs="Arial"/>
          <w:color w:val="000000" w:themeColor="text1"/>
          <w:sz w:val="22"/>
          <w:szCs w:val="22"/>
        </w:rPr>
        <w:t>inwestycje</w:t>
      </w:r>
      <w:r w:rsidR="00712D66" w:rsidRPr="009B78DA">
        <w:rPr>
          <w:rFonts w:ascii="Arial" w:hAnsi="Arial" w:cs="Arial"/>
          <w:color w:val="000000" w:themeColor="text1"/>
          <w:sz w:val="22"/>
          <w:szCs w:val="22"/>
        </w:rPr>
        <w:t xml:space="preserve"> tj.</w:t>
      </w:r>
      <w:r w:rsidR="00760C1B" w:rsidRPr="009B78DA">
        <w:rPr>
          <w:rFonts w:ascii="Arial" w:hAnsi="Arial" w:cs="Arial"/>
          <w:color w:val="000000" w:themeColor="text1"/>
          <w:sz w:val="22"/>
          <w:szCs w:val="22"/>
        </w:rPr>
        <w:t xml:space="preserve"> kluczowe przedsięwzięcia w ramach podstawowych podsystemów transportowych</w:t>
      </w:r>
      <w:r w:rsidR="007D1CB1">
        <w:rPr>
          <w:rFonts w:ascii="Arial" w:hAnsi="Arial" w:cs="Arial"/>
          <w:color w:val="000000" w:themeColor="text1"/>
          <w:sz w:val="22"/>
          <w:szCs w:val="22"/>
        </w:rPr>
        <w:t>.</w:t>
      </w:r>
    </w:p>
    <w:p w14:paraId="0F159268" w14:textId="260D92EB" w:rsidR="00A344DF" w:rsidRPr="009B78DA" w:rsidRDefault="00160883" w:rsidP="007D1CB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Biorąc pod uwagę powyższe zapisy Strategii rozwoju województwa – Podkarpackie 2030, jak również wyniki przeprowadzonych analiz eksperckich oraz wnioski z diagnozy, określono cel główny Programu, jakim jest: </w:t>
      </w:r>
      <w:r w:rsidRPr="009B78DA">
        <w:rPr>
          <w:rFonts w:ascii="Arial" w:hAnsi="Arial" w:cs="Arial"/>
          <w:b/>
          <w:bCs/>
          <w:color w:val="000000" w:themeColor="text1"/>
          <w:sz w:val="22"/>
          <w:szCs w:val="22"/>
        </w:rPr>
        <w:t>Efektywne i skuteczne wdrażanie działań, przyczyniających się do realizacji celów Strategii rozwoju województwa – Podkarpackie 2030 w obrębie transportu</w:t>
      </w:r>
      <w:r w:rsidRPr="009B78DA">
        <w:rPr>
          <w:rFonts w:ascii="Arial" w:hAnsi="Arial" w:cs="Arial"/>
          <w:color w:val="000000" w:themeColor="text1"/>
          <w:sz w:val="22"/>
          <w:szCs w:val="22"/>
        </w:rPr>
        <w:t xml:space="preserve">, a także sformułowano </w:t>
      </w:r>
      <w:r w:rsidR="005D0680" w:rsidRPr="009B78DA">
        <w:rPr>
          <w:rFonts w:ascii="Arial" w:hAnsi="Arial" w:cs="Arial"/>
          <w:color w:val="000000" w:themeColor="text1"/>
          <w:sz w:val="22"/>
          <w:szCs w:val="22"/>
        </w:rPr>
        <w:t xml:space="preserve">następujące </w:t>
      </w:r>
      <w:r w:rsidRPr="009B78DA">
        <w:rPr>
          <w:rFonts w:ascii="Arial" w:hAnsi="Arial" w:cs="Arial"/>
          <w:color w:val="000000" w:themeColor="text1"/>
          <w:sz w:val="22"/>
          <w:szCs w:val="22"/>
        </w:rPr>
        <w:t>cele podstawowe i horyzontalne rozwoju regionalnego systemu transportowego</w:t>
      </w:r>
      <w:r w:rsidR="00712D66" w:rsidRPr="009B78DA">
        <w:rPr>
          <w:rFonts w:ascii="Arial" w:hAnsi="Arial" w:cs="Arial"/>
          <w:color w:val="000000" w:themeColor="text1"/>
          <w:sz w:val="22"/>
          <w:szCs w:val="22"/>
        </w:rPr>
        <w:t>:</w:t>
      </w:r>
    </w:p>
    <w:p w14:paraId="0C77A4E7" w14:textId="77777777" w:rsidR="00712D66" w:rsidRPr="009B78DA" w:rsidRDefault="00712D66" w:rsidP="007D1CB1">
      <w:pPr>
        <w:spacing w:after="0" w:line="276" w:lineRule="auto"/>
        <w:rPr>
          <w:rFonts w:ascii="Arial" w:hAnsi="Arial" w:cs="Arial"/>
          <w:b/>
          <w:bCs/>
          <w:color w:val="000000" w:themeColor="text1"/>
          <w:sz w:val="22"/>
          <w:szCs w:val="22"/>
        </w:rPr>
      </w:pPr>
      <w:bookmarkStart w:id="24" w:name="_Hlk86066517"/>
      <w:r w:rsidRPr="009B78DA">
        <w:rPr>
          <w:rFonts w:ascii="Arial" w:hAnsi="Arial" w:cs="Arial"/>
          <w:b/>
          <w:bCs/>
          <w:color w:val="000000" w:themeColor="text1"/>
          <w:sz w:val="22"/>
          <w:szCs w:val="22"/>
        </w:rPr>
        <w:t>Cele podstawowe</w:t>
      </w:r>
    </w:p>
    <w:p w14:paraId="64FDE1B8" w14:textId="2A50400B" w:rsidR="00712D66" w:rsidRPr="009B78DA" w:rsidRDefault="00712D66" w:rsidP="007D1CB1">
      <w:pPr>
        <w:pStyle w:val="Akapitzlist"/>
        <w:numPr>
          <w:ilvl w:val="0"/>
          <w:numId w:val="4"/>
        </w:numPr>
        <w:spacing w:after="0" w:line="276" w:lineRule="auto"/>
        <w:ind w:left="924" w:hanging="357"/>
        <w:rPr>
          <w:rFonts w:ascii="Arial" w:hAnsi="Arial" w:cs="Arial"/>
          <w:color w:val="000000" w:themeColor="text1"/>
          <w:sz w:val="22"/>
          <w:szCs w:val="22"/>
        </w:rPr>
      </w:pPr>
      <w:r w:rsidRPr="009B78DA">
        <w:rPr>
          <w:rFonts w:ascii="Arial" w:hAnsi="Arial" w:cs="Arial"/>
          <w:b/>
          <w:bCs/>
          <w:color w:val="000000" w:themeColor="text1"/>
          <w:sz w:val="22"/>
          <w:szCs w:val="22"/>
        </w:rPr>
        <w:t xml:space="preserve">Cel </w:t>
      </w:r>
      <w:bookmarkStart w:id="25" w:name="_Hlk99617557"/>
      <w:r w:rsidR="00160115" w:rsidRPr="009B78DA">
        <w:rPr>
          <w:rFonts w:ascii="Arial" w:hAnsi="Arial" w:cs="Arial"/>
          <w:b/>
          <w:bCs/>
          <w:color w:val="000000" w:themeColor="text1"/>
          <w:sz w:val="22"/>
          <w:szCs w:val="22"/>
        </w:rPr>
        <w:t>podstawowy</w:t>
      </w:r>
      <w:bookmarkEnd w:id="25"/>
      <w:r w:rsidR="00BB7954" w:rsidRPr="009B78DA">
        <w:rPr>
          <w:rFonts w:ascii="Arial" w:hAnsi="Arial" w:cs="Arial"/>
          <w:b/>
          <w:bCs/>
          <w:color w:val="000000" w:themeColor="text1"/>
          <w:sz w:val="22"/>
          <w:szCs w:val="22"/>
        </w:rPr>
        <w:t xml:space="preserve"> </w:t>
      </w:r>
      <w:r w:rsidRPr="009B78DA">
        <w:rPr>
          <w:rFonts w:ascii="Arial" w:hAnsi="Arial" w:cs="Arial"/>
          <w:b/>
          <w:bCs/>
          <w:color w:val="000000" w:themeColor="text1"/>
          <w:sz w:val="22"/>
          <w:szCs w:val="22"/>
        </w:rPr>
        <w:t>1</w:t>
      </w:r>
      <w:r w:rsidR="00160115"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Zwiększenie dostępności zewnętrznej regionu (krajowej </w:t>
      </w:r>
      <w:r w:rsidR="00897328" w:rsidRPr="009B78DA">
        <w:rPr>
          <w:rFonts w:ascii="Arial" w:hAnsi="Arial" w:cs="Arial"/>
          <w:color w:val="000000" w:themeColor="text1"/>
          <w:sz w:val="22"/>
          <w:szCs w:val="22"/>
        </w:rPr>
        <w:br/>
      </w:r>
      <w:r w:rsidRPr="009B78DA">
        <w:rPr>
          <w:rFonts w:ascii="Arial" w:hAnsi="Arial" w:cs="Arial"/>
          <w:color w:val="000000" w:themeColor="text1"/>
          <w:sz w:val="22"/>
          <w:szCs w:val="22"/>
        </w:rPr>
        <w:t>i zagranicznej) wynikającej z peryferyjnego położenia województwa.</w:t>
      </w:r>
    </w:p>
    <w:p w14:paraId="7AC94BB2" w14:textId="25193EE5" w:rsidR="00712D66" w:rsidRPr="009B78DA" w:rsidRDefault="00712D66" w:rsidP="007D1CB1">
      <w:pPr>
        <w:pStyle w:val="Akapitzlist"/>
        <w:numPr>
          <w:ilvl w:val="0"/>
          <w:numId w:val="4"/>
        </w:numPr>
        <w:spacing w:after="0" w:line="276" w:lineRule="auto"/>
        <w:ind w:left="924" w:hanging="357"/>
        <w:rPr>
          <w:rFonts w:ascii="Arial" w:hAnsi="Arial" w:cs="Arial"/>
          <w:color w:val="000000" w:themeColor="text1"/>
          <w:sz w:val="22"/>
          <w:szCs w:val="22"/>
        </w:rPr>
      </w:pPr>
      <w:r w:rsidRPr="009B78DA">
        <w:rPr>
          <w:rFonts w:ascii="Arial" w:hAnsi="Arial" w:cs="Arial"/>
          <w:b/>
          <w:bCs/>
          <w:color w:val="000000" w:themeColor="text1"/>
          <w:sz w:val="22"/>
          <w:szCs w:val="22"/>
        </w:rPr>
        <w:t xml:space="preserve">Cel </w:t>
      </w:r>
      <w:r w:rsidR="00160115" w:rsidRPr="009B78DA">
        <w:rPr>
          <w:rFonts w:ascii="Arial" w:hAnsi="Arial" w:cs="Arial"/>
          <w:b/>
          <w:bCs/>
          <w:color w:val="000000" w:themeColor="text1"/>
          <w:sz w:val="22"/>
          <w:szCs w:val="22"/>
        </w:rPr>
        <w:t>podstawowy</w:t>
      </w:r>
      <w:r w:rsidR="00E95C21" w:rsidRPr="009B78DA">
        <w:rPr>
          <w:rFonts w:ascii="Arial" w:hAnsi="Arial" w:cs="Arial"/>
          <w:b/>
          <w:bCs/>
          <w:color w:val="000000" w:themeColor="text1"/>
          <w:sz w:val="22"/>
          <w:szCs w:val="22"/>
        </w:rPr>
        <w:t xml:space="preserve"> </w:t>
      </w:r>
      <w:r w:rsidRPr="009B78DA">
        <w:rPr>
          <w:rFonts w:ascii="Arial" w:hAnsi="Arial" w:cs="Arial"/>
          <w:b/>
          <w:bCs/>
          <w:color w:val="000000" w:themeColor="text1"/>
          <w:sz w:val="22"/>
          <w:szCs w:val="22"/>
        </w:rPr>
        <w:t>2</w:t>
      </w:r>
      <w:r w:rsidR="00160115" w:rsidRPr="009B78DA">
        <w:rPr>
          <w:rFonts w:ascii="Arial" w:hAnsi="Arial" w:cs="Arial"/>
          <w:b/>
          <w:bCs/>
          <w:color w:val="000000" w:themeColor="text1"/>
          <w:sz w:val="22"/>
          <w:szCs w:val="22"/>
        </w:rPr>
        <w:t>.</w:t>
      </w:r>
      <w:r w:rsidRPr="009B78DA">
        <w:rPr>
          <w:rFonts w:ascii="Arial" w:hAnsi="Arial" w:cs="Arial"/>
          <w:color w:val="000000" w:themeColor="text1"/>
          <w:sz w:val="22"/>
          <w:szCs w:val="22"/>
        </w:rPr>
        <w:t xml:space="preserve"> Zwiększenie powiązań transportowych w regionie, w tym likwidowanie</w:t>
      </w:r>
      <w:r w:rsidR="00522FE5"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obszarów wykluczenia transportowego spowodowanego niskim zaludnieniem / obszarami górzystymi / obszarami o niskiej skali zatrudniania</w:t>
      </w:r>
      <w:r w:rsidR="00AB404C" w:rsidRPr="009B78DA">
        <w:rPr>
          <w:rFonts w:ascii="Arial" w:hAnsi="Arial" w:cs="Arial"/>
          <w:color w:val="000000" w:themeColor="text1"/>
          <w:sz w:val="22"/>
          <w:szCs w:val="22"/>
        </w:rPr>
        <w:t>.</w:t>
      </w:r>
    </w:p>
    <w:p w14:paraId="1769F589" w14:textId="505B22FB" w:rsidR="00712D66" w:rsidRPr="009B78DA" w:rsidRDefault="00712D66" w:rsidP="007D1CB1">
      <w:pPr>
        <w:pStyle w:val="Akapitzlist"/>
        <w:numPr>
          <w:ilvl w:val="0"/>
          <w:numId w:val="4"/>
        </w:numPr>
        <w:spacing w:after="0" w:line="276" w:lineRule="auto"/>
        <w:ind w:left="924" w:hanging="357"/>
        <w:rPr>
          <w:rFonts w:ascii="Arial" w:hAnsi="Arial" w:cs="Arial"/>
          <w:color w:val="000000" w:themeColor="text1"/>
          <w:sz w:val="22"/>
          <w:szCs w:val="22"/>
        </w:rPr>
      </w:pPr>
      <w:r w:rsidRPr="009B78DA">
        <w:rPr>
          <w:rFonts w:ascii="Arial" w:hAnsi="Arial" w:cs="Arial"/>
          <w:b/>
          <w:bCs/>
          <w:color w:val="000000" w:themeColor="text1"/>
          <w:sz w:val="22"/>
          <w:szCs w:val="22"/>
        </w:rPr>
        <w:t xml:space="preserve">Cel </w:t>
      </w:r>
      <w:r w:rsidR="00160115" w:rsidRPr="009B78DA">
        <w:rPr>
          <w:rFonts w:ascii="Arial" w:hAnsi="Arial" w:cs="Arial"/>
          <w:b/>
          <w:bCs/>
          <w:color w:val="000000" w:themeColor="text1"/>
          <w:sz w:val="22"/>
          <w:szCs w:val="22"/>
        </w:rPr>
        <w:t xml:space="preserve">podstawowy </w:t>
      </w:r>
      <w:r w:rsidRPr="009B78DA">
        <w:rPr>
          <w:rFonts w:ascii="Arial" w:hAnsi="Arial" w:cs="Arial"/>
          <w:b/>
          <w:bCs/>
          <w:color w:val="000000" w:themeColor="text1"/>
          <w:sz w:val="22"/>
          <w:szCs w:val="22"/>
        </w:rPr>
        <w:t>3</w:t>
      </w:r>
      <w:r w:rsidR="00160115" w:rsidRPr="009B78DA">
        <w:rPr>
          <w:rFonts w:ascii="Arial" w:hAnsi="Arial" w:cs="Arial"/>
          <w:b/>
          <w:bCs/>
          <w:color w:val="000000" w:themeColor="text1"/>
          <w:sz w:val="22"/>
          <w:szCs w:val="22"/>
        </w:rPr>
        <w:t>.</w:t>
      </w:r>
      <w:r w:rsidRPr="009B78DA">
        <w:rPr>
          <w:rFonts w:ascii="Arial" w:hAnsi="Arial" w:cs="Arial"/>
          <w:color w:val="000000" w:themeColor="text1"/>
          <w:sz w:val="22"/>
          <w:szCs w:val="22"/>
        </w:rPr>
        <w:t xml:space="preserve"> </w:t>
      </w:r>
      <w:r w:rsidR="00AB404C" w:rsidRPr="009B78DA">
        <w:rPr>
          <w:rFonts w:ascii="Arial" w:hAnsi="Arial" w:cs="Arial"/>
          <w:color w:val="000000" w:themeColor="text1"/>
          <w:sz w:val="22"/>
          <w:szCs w:val="22"/>
        </w:rPr>
        <w:t xml:space="preserve">Integracja </w:t>
      </w:r>
      <w:r w:rsidR="0055728D" w:rsidRPr="009B78DA">
        <w:rPr>
          <w:rFonts w:ascii="Arial" w:hAnsi="Arial" w:cs="Arial"/>
          <w:color w:val="000000" w:themeColor="text1"/>
          <w:sz w:val="22"/>
          <w:szCs w:val="22"/>
        </w:rPr>
        <w:t>wewnętrzna</w:t>
      </w:r>
      <w:r w:rsidR="00AB404C" w:rsidRPr="009B78DA">
        <w:rPr>
          <w:rFonts w:ascii="Arial" w:hAnsi="Arial" w:cs="Arial"/>
          <w:color w:val="000000" w:themeColor="text1"/>
          <w:sz w:val="22"/>
          <w:szCs w:val="22"/>
        </w:rPr>
        <w:t xml:space="preserve"> </w:t>
      </w:r>
      <w:r w:rsidR="00E01E38" w:rsidRPr="009B78DA">
        <w:rPr>
          <w:rFonts w:ascii="Arial" w:hAnsi="Arial" w:cs="Arial"/>
          <w:color w:val="000000" w:themeColor="text1"/>
          <w:sz w:val="22"/>
          <w:szCs w:val="22"/>
        </w:rPr>
        <w:t>Rzeszowskiego Obszaru Funkcjonalnego i miejskich obszarów funkcjonalnych biegunów wzrostu</w:t>
      </w:r>
      <w:r w:rsidR="00A6352F" w:rsidRPr="009B78DA">
        <w:rPr>
          <w:rFonts w:ascii="Arial" w:hAnsi="Arial" w:cs="Arial"/>
          <w:color w:val="000000" w:themeColor="text1"/>
          <w:sz w:val="22"/>
          <w:szCs w:val="22"/>
        </w:rPr>
        <w:t>,</w:t>
      </w:r>
      <w:r w:rsidR="00E01E38" w:rsidRPr="009B78DA">
        <w:rPr>
          <w:rFonts w:ascii="Arial" w:hAnsi="Arial" w:cs="Arial"/>
          <w:color w:val="000000" w:themeColor="text1"/>
          <w:sz w:val="22"/>
          <w:szCs w:val="22"/>
        </w:rPr>
        <w:t xml:space="preserve"> uwzględniająca policentryczny układ województwa i umożliwiająca integrację głównych rynków pracy</w:t>
      </w:r>
      <w:r w:rsidR="00AB404C" w:rsidRPr="009B78DA">
        <w:rPr>
          <w:rFonts w:ascii="Arial" w:hAnsi="Arial" w:cs="Arial"/>
          <w:color w:val="000000" w:themeColor="text1"/>
          <w:sz w:val="22"/>
          <w:szCs w:val="22"/>
        </w:rPr>
        <w:t>.</w:t>
      </w:r>
    </w:p>
    <w:p w14:paraId="56FD44A3" w14:textId="77777777" w:rsidR="00712D66" w:rsidRPr="009B78DA" w:rsidRDefault="00712D66" w:rsidP="007D1CB1">
      <w:pPr>
        <w:spacing w:after="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Cele horyzontalne</w:t>
      </w:r>
    </w:p>
    <w:p w14:paraId="4D3F0013" w14:textId="0104F343" w:rsidR="00712D66" w:rsidRPr="009B78DA" w:rsidRDefault="00160115" w:rsidP="007D1CB1">
      <w:pPr>
        <w:pStyle w:val="Akapitzlist"/>
        <w:numPr>
          <w:ilvl w:val="0"/>
          <w:numId w:val="5"/>
        </w:numPr>
        <w:spacing w:after="0" w:line="276" w:lineRule="auto"/>
        <w:ind w:left="924" w:hanging="357"/>
        <w:rPr>
          <w:rFonts w:ascii="Arial" w:hAnsi="Arial" w:cs="Arial"/>
          <w:color w:val="000000" w:themeColor="text1"/>
          <w:sz w:val="22"/>
          <w:szCs w:val="22"/>
        </w:rPr>
      </w:pPr>
      <w:r w:rsidRPr="009B78DA">
        <w:rPr>
          <w:rFonts w:ascii="Arial" w:hAnsi="Arial" w:cs="Arial"/>
          <w:b/>
          <w:bCs/>
          <w:color w:val="000000" w:themeColor="text1"/>
          <w:sz w:val="22"/>
          <w:szCs w:val="22"/>
        </w:rPr>
        <w:t>Cel horyzontalny 1</w:t>
      </w:r>
      <w:r w:rsidRPr="009B78DA">
        <w:rPr>
          <w:rFonts w:ascii="Arial" w:hAnsi="Arial" w:cs="Arial"/>
          <w:color w:val="000000" w:themeColor="text1"/>
          <w:sz w:val="22"/>
          <w:szCs w:val="22"/>
        </w:rPr>
        <w:t xml:space="preserve">. </w:t>
      </w:r>
      <w:r w:rsidR="00712D66" w:rsidRPr="009B78DA">
        <w:rPr>
          <w:rFonts w:ascii="Arial" w:hAnsi="Arial" w:cs="Arial"/>
          <w:color w:val="000000" w:themeColor="text1"/>
          <w:sz w:val="22"/>
          <w:szCs w:val="22"/>
        </w:rPr>
        <w:t>Ograniczenie negatywnego oddziaływania sektora transportu na klimat oraz na regionalne środowisko naturalne</w:t>
      </w:r>
      <w:r w:rsidR="00E95C21" w:rsidRPr="009B78DA">
        <w:rPr>
          <w:rFonts w:ascii="Arial" w:hAnsi="Arial" w:cs="Arial"/>
          <w:color w:val="000000" w:themeColor="text1"/>
          <w:sz w:val="22"/>
          <w:szCs w:val="22"/>
        </w:rPr>
        <w:t>.</w:t>
      </w:r>
    </w:p>
    <w:p w14:paraId="04F2B119" w14:textId="35F51394" w:rsidR="00712D66" w:rsidRPr="009B78DA" w:rsidRDefault="00160115" w:rsidP="007D1CB1">
      <w:pPr>
        <w:pStyle w:val="Akapitzlist"/>
        <w:numPr>
          <w:ilvl w:val="0"/>
          <w:numId w:val="5"/>
        </w:numPr>
        <w:spacing w:after="0" w:line="276" w:lineRule="auto"/>
        <w:ind w:left="924" w:hanging="357"/>
        <w:rPr>
          <w:rFonts w:ascii="Arial" w:hAnsi="Arial" w:cs="Arial"/>
          <w:color w:val="000000" w:themeColor="text1"/>
          <w:sz w:val="22"/>
          <w:szCs w:val="22"/>
        </w:rPr>
      </w:pPr>
      <w:r w:rsidRPr="009B78DA">
        <w:rPr>
          <w:rFonts w:ascii="Arial" w:hAnsi="Arial" w:cs="Arial"/>
          <w:b/>
          <w:bCs/>
          <w:color w:val="000000" w:themeColor="text1"/>
          <w:sz w:val="22"/>
          <w:szCs w:val="22"/>
        </w:rPr>
        <w:t>Cel horyzontalny 2.</w:t>
      </w:r>
      <w:r w:rsidRPr="009B78DA">
        <w:rPr>
          <w:rFonts w:ascii="Arial" w:hAnsi="Arial" w:cs="Arial"/>
          <w:color w:val="000000" w:themeColor="text1"/>
          <w:sz w:val="22"/>
          <w:szCs w:val="22"/>
        </w:rPr>
        <w:t xml:space="preserve"> </w:t>
      </w:r>
      <w:r w:rsidR="00712D66" w:rsidRPr="009B78DA">
        <w:rPr>
          <w:rFonts w:ascii="Arial" w:hAnsi="Arial" w:cs="Arial"/>
          <w:color w:val="000000" w:themeColor="text1"/>
          <w:sz w:val="22"/>
          <w:szCs w:val="22"/>
        </w:rPr>
        <w:t>Wzmocnienie rozwiązań multimodalnych</w:t>
      </w:r>
      <w:r w:rsidR="00E95C21" w:rsidRPr="009B78DA">
        <w:rPr>
          <w:rFonts w:ascii="Arial" w:hAnsi="Arial" w:cs="Arial"/>
          <w:color w:val="000000" w:themeColor="text1"/>
          <w:sz w:val="22"/>
          <w:szCs w:val="22"/>
        </w:rPr>
        <w:t>.</w:t>
      </w:r>
    </w:p>
    <w:p w14:paraId="6D80B78A" w14:textId="15FCDE20" w:rsidR="00712D66" w:rsidRPr="009B78DA" w:rsidRDefault="00160115" w:rsidP="007D1CB1">
      <w:pPr>
        <w:pStyle w:val="Akapitzlist"/>
        <w:numPr>
          <w:ilvl w:val="0"/>
          <w:numId w:val="5"/>
        </w:numPr>
        <w:spacing w:after="0" w:line="276" w:lineRule="auto"/>
        <w:ind w:left="924" w:hanging="357"/>
        <w:rPr>
          <w:rFonts w:ascii="Arial" w:hAnsi="Arial" w:cs="Arial"/>
          <w:color w:val="000000" w:themeColor="text1"/>
          <w:sz w:val="22"/>
          <w:szCs w:val="22"/>
        </w:rPr>
      </w:pPr>
      <w:r w:rsidRPr="009B78DA">
        <w:rPr>
          <w:rFonts w:ascii="Arial" w:hAnsi="Arial" w:cs="Arial"/>
          <w:b/>
          <w:bCs/>
          <w:color w:val="000000" w:themeColor="text1"/>
          <w:sz w:val="22"/>
          <w:szCs w:val="22"/>
        </w:rPr>
        <w:t>Cel horyzontalny</w:t>
      </w:r>
      <w:r w:rsidR="00CC5267" w:rsidRPr="009B78DA">
        <w:rPr>
          <w:rFonts w:ascii="Arial" w:hAnsi="Arial" w:cs="Arial"/>
          <w:b/>
          <w:bCs/>
          <w:color w:val="000000" w:themeColor="text1"/>
          <w:sz w:val="22"/>
          <w:szCs w:val="22"/>
        </w:rPr>
        <w:t xml:space="preserve"> </w:t>
      </w:r>
      <w:r w:rsidRPr="009B78DA">
        <w:rPr>
          <w:rFonts w:ascii="Arial" w:hAnsi="Arial" w:cs="Arial"/>
          <w:b/>
          <w:bCs/>
          <w:color w:val="000000" w:themeColor="text1"/>
          <w:sz w:val="22"/>
          <w:szCs w:val="22"/>
        </w:rPr>
        <w:t>3.</w:t>
      </w:r>
      <w:r w:rsidRPr="009B78DA">
        <w:rPr>
          <w:rFonts w:ascii="Arial" w:hAnsi="Arial" w:cs="Arial"/>
          <w:color w:val="000000" w:themeColor="text1"/>
          <w:sz w:val="22"/>
          <w:szCs w:val="22"/>
        </w:rPr>
        <w:t xml:space="preserve"> </w:t>
      </w:r>
      <w:r w:rsidR="004E4947" w:rsidRPr="009B78DA">
        <w:rPr>
          <w:rFonts w:ascii="Arial" w:hAnsi="Arial" w:cs="Arial"/>
          <w:color w:val="000000" w:themeColor="text1"/>
          <w:sz w:val="22"/>
          <w:szCs w:val="22"/>
        </w:rPr>
        <w:t>Rozwój t</w:t>
      </w:r>
      <w:r w:rsidR="00712D66" w:rsidRPr="009B78DA">
        <w:rPr>
          <w:rFonts w:ascii="Arial" w:hAnsi="Arial" w:cs="Arial"/>
          <w:color w:val="000000" w:themeColor="text1"/>
          <w:sz w:val="22"/>
          <w:szCs w:val="22"/>
        </w:rPr>
        <w:t>ransport</w:t>
      </w:r>
      <w:r w:rsidR="004E4947" w:rsidRPr="009B78DA">
        <w:rPr>
          <w:rFonts w:ascii="Arial" w:hAnsi="Arial" w:cs="Arial"/>
          <w:color w:val="000000" w:themeColor="text1"/>
          <w:sz w:val="22"/>
          <w:szCs w:val="22"/>
        </w:rPr>
        <w:t>u</w:t>
      </w:r>
      <w:r w:rsidR="00712D66" w:rsidRPr="009B78DA">
        <w:rPr>
          <w:rFonts w:ascii="Arial" w:hAnsi="Arial" w:cs="Arial"/>
          <w:color w:val="000000" w:themeColor="text1"/>
          <w:sz w:val="22"/>
          <w:szCs w:val="22"/>
        </w:rPr>
        <w:t xml:space="preserve"> publiczn</w:t>
      </w:r>
      <w:r w:rsidR="004E4947" w:rsidRPr="009B78DA">
        <w:rPr>
          <w:rFonts w:ascii="Arial" w:hAnsi="Arial" w:cs="Arial"/>
          <w:color w:val="000000" w:themeColor="text1"/>
          <w:sz w:val="22"/>
          <w:szCs w:val="22"/>
        </w:rPr>
        <w:t>ego</w:t>
      </w:r>
      <w:r w:rsidR="00E95C21" w:rsidRPr="009B78DA">
        <w:rPr>
          <w:rFonts w:ascii="Arial" w:hAnsi="Arial" w:cs="Arial"/>
          <w:color w:val="000000" w:themeColor="text1"/>
          <w:sz w:val="22"/>
          <w:szCs w:val="22"/>
        </w:rPr>
        <w:t>.</w:t>
      </w:r>
    </w:p>
    <w:p w14:paraId="098DD163" w14:textId="47165216" w:rsidR="00A14042" w:rsidRPr="009B78DA" w:rsidRDefault="00160115" w:rsidP="007D1CB1">
      <w:pPr>
        <w:pStyle w:val="Akapitzlist"/>
        <w:numPr>
          <w:ilvl w:val="0"/>
          <w:numId w:val="5"/>
        </w:numPr>
        <w:spacing w:after="0" w:line="276" w:lineRule="auto"/>
        <w:ind w:left="924" w:hanging="357"/>
        <w:rPr>
          <w:rFonts w:ascii="Arial" w:hAnsi="Arial" w:cs="Arial"/>
          <w:color w:val="000000" w:themeColor="text1"/>
          <w:sz w:val="22"/>
          <w:szCs w:val="22"/>
        </w:rPr>
      </w:pPr>
      <w:r w:rsidRPr="009B78DA">
        <w:rPr>
          <w:rFonts w:ascii="Arial" w:hAnsi="Arial" w:cs="Arial"/>
          <w:b/>
          <w:bCs/>
          <w:color w:val="000000" w:themeColor="text1"/>
          <w:sz w:val="22"/>
          <w:szCs w:val="22"/>
        </w:rPr>
        <w:t>Cel horyzontalny</w:t>
      </w:r>
      <w:r w:rsidR="00CC5267" w:rsidRPr="009B78DA">
        <w:rPr>
          <w:rStyle w:val="Odwoaniedokomentarza"/>
          <w:b/>
          <w:bCs/>
          <w:color w:val="000000" w:themeColor="text1"/>
        </w:rPr>
        <w:t xml:space="preserve"> </w:t>
      </w:r>
      <w:r w:rsidRPr="009B78DA">
        <w:rPr>
          <w:rFonts w:ascii="Arial" w:hAnsi="Arial" w:cs="Arial"/>
          <w:b/>
          <w:bCs/>
          <w:color w:val="000000" w:themeColor="text1"/>
          <w:sz w:val="22"/>
          <w:szCs w:val="22"/>
        </w:rPr>
        <w:t>4.</w:t>
      </w:r>
      <w:r w:rsidRPr="009B78DA">
        <w:rPr>
          <w:rFonts w:ascii="Arial" w:hAnsi="Arial" w:cs="Arial"/>
          <w:color w:val="000000" w:themeColor="text1"/>
          <w:sz w:val="22"/>
          <w:szCs w:val="22"/>
        </w:rPr>
        <w:t xml:space="preserve"> </w:t>
      </w:r>
      <w:r w:rsidR="00712D66" w:rsidRPr="009B78DA">
        <w:rPr>
          <w:rFonts w:ascii="Arial" w:hAnsi="Arial" w:cs="Arial"/>
          <w:color w:val="000000" w:themeColor="text1"/>
          <w:sz w:val="22"/>
          <w:szCs w:val="22"/>
        </w:rPr>
        <w:t>Poprawa bezpieczeństwa w transporcie</w:t>
      </w:r>
      <w:bookmarkEnd w:id="24"/>
      <w:r w:rsidR="00E95C21" w:rsidRPr="009B78DA">
        <w:rPr>
          <w:rFonts w:ascii="Arial" w:hAnsi="Arial" w:cs="Arial"/>
          <w:color w:val="000000" w:themeColor="text1"/>
          <w:sz w:val="22"/>
          <w:szCs w:val="22"/>
        </w:rPr>
        <w:t>.</w:t>
      </w:r>
    </w:p>
    <w:p w14:paraId="2B0ACEFB" w14:textId="1BEE107C" w:rsidR="00A14042" w:rsidRPr="009B78DA" w:rsidRDefault="00A14042" w:rsidP="007D1CB1">
      <w:pPr>
        <w:spacing w:after="0" w:line="276" w:lineRule="auto"/>
        <w:ind w:firstLine="708"/>
        <w:rPr>
          <w:rFonts w:ascii="Arial" w:hAnsi="Arial" w:cs="Arial"/>
          <w:color w:val="000000" w:themeColor="text1"/>
          <w:sz w:val="22"/>
          <w:szCs w:val="22"/>
        </w:rPr>
      </w:pPr>
      <w:bookmarkStart w:id="26" w:name="_Hlk91845943"/>
      <w:bookmarkStart w:id="27" w:name="_Hlk92207315"/>
      <w:r w:rsidRPr="009B78DA">
        <w:rPr>
          <w:rFonts w:ascii="Arial" w:hAnsi="Arial" w:cs="Arial"/>
          <w:color w:val="000000" w:themeColor="text1"/>
          <w:sz w:val="22"/>
          <w:szCs w:val="22"/>
        </w:rPr>
        <w:t>Kolejna część dokumentu zawiera system wdrażania i realizacji Programu, który określa instytucje odpowiedzialne za jego realizację i monitoring. Wskazan</w:t>
      </w:r>
      <w:r w:rsidR="00221D34" w:rsidRPr="009B78DA">
        <w:rPr>
          <w:rFonts w:ascii="Arial" w:hAnsi="Arial" w:cs="Arial"/>
          <w:color w:val="000000" w:themeColor="text1"/>
          <w:sz w:val="22"/>
          <w:szCs w:val="22"/>
        </w:rPr>
        <w:t>o</w:t>
      </w:r>
      <w:r w:rsidR="00160115"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także kryteria </w:t>
      </w:r>
      <w:r w:rsidR="00DB4261" w:rsidRPr="009B78DA">
        <w:rPr>
          <w:rFonts w:ascii="Arial" w:hAnsi="Arial" w:cs="Arial"/>
          <w:color w:val="000000" w:themeColor="text1"/>
          <w:sz w:val="22"/>
          <w:szCs w:val="22"/>
        </w:rPr>
        <w:t xml:space="preserve">priorytetyzujące inwestycje planowane do realizacji na poziomie regionalnym w zakresie dróg wojewódzkich oraz </w:t>
      </w:r>
      <w:bookmarkStart w:id="28" w:name="_Hlk92274511"/>
      <w:r w:rsidR="00063D5A" w:rsidRPr="009B78DA">
        <w:rPr>
          <w:rFonts w:ascii="Arial" w:hAnsi="Arial" w:cs="Arial"/>
          <w:color w:val="000000" w:themeColor="text1"/>
          <w:sz w:val="22"/>
          <w:szCs w:val="22"/>
        </w:rPr>
        <w:t>wymagania dotyczące zakupu taboru kolejowego</w:t>
      </w:r>
      <w:bookmarkEnd w:id="28"/>
      <w:r w:rsidR="00DB426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Wpisano również ramy finansowe, które określają potencjalne i rzeczywiste źródła finansowania działań. Opisano również system monitoringu i ewaluacji, z uwzględnieniem wskaźników pozwalających dokonywać oceny stopnia realizacji Programu.</w:t>
      </w:r>
      <w:bookmarkEnd w:id="26"/>
    </w:p>
    <w:p w14:paraId="27DEED87" w14:textId="16FB1F6B" w:rsidR="009219F6" w:rsidRPr="009B78DA" w:rsidRDefault="009219F6" w:rsidP="007D1CB1">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W dokumencie zdiagnozowano także istotne trendy wpływające na system transportowy województwa, a także dobór poszczególnych rozwiązań w nim wykorzystywanych. Wskazane w części diagnostycznej zjawiska rzutują bezpośrednio na infrastrukturę transportową w każdej skali. Implikują bowiem przygotowanie transportu do zmian technologicznych, większego natężenia ruchu, lepszej dostępności i ograniczenia wpływu na środowisko i klimat oraz społeczne postrzeganie różnych środków transportu. Zmiany technologiczne są często komplementarne z pozostałymi, ponieważ zawierają </w:t>
      </w:r>
      <w:r w:rsidR="007D1CB1">
        <w:rPr>
          <w:rFonts w:ascii="Arial" w:hAnsi="Arial" w:cs="Arial"/>
          <w:color w:val="000000" w:themeColor="text1"/>
          <w:sz w:val="22"/>
          <w:szCs w:val="22"/>
        </w:rPr>
        <w:br/>
      </w:r>
      <w:r w:rsidRPr="009B78DA">
        <w:rPr>
          <w:rFonts w:ascii="Arial" w:hAnsi="Arial" w:cs="Arial"/>
          <w:color w:val="000000" w:themeColor="text1"/>
          <w:sz w:val="22"/>
          <w:szCs w:val="22"/>
        </w:rPr>
        <w:t>w sobie nie tylko takie aspekty jak automatyzacja, ale i redukcja emisyjności, lepsza wydajność, czy lepsze dostosowanie do specjalnych potrzeb użytkowników.</w:t>
      </w:r>
    </w:p>
    <w:p w14:paraId="2E4B17A1" w14:textId="77777777" w:rsidR="009219F6" w:rsidRPr="009B78DA" w:rsidRDefault="009219F6" w:rsidP="007D1CB1">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Za trendy międzynarodowe, które będą wpływały na system transportowy można uznać:</w:t>
      </w:r>
    </w:p>
    <w:p w14:paraId="11D64F30" w14:textId="4D5DCA06" w:rsidR="009219F6" w:rsidRPr="009B78DA" w:rsidRDefault="009219F6" w:rsidP="007D1CB1">
      <w:pPr>
        <w:pStyle w:val="Akapitzlist"/>
        <w:numPr>
          <w:ilvl w:val="0"/>
          <w:numId w:val="284"/>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rewolucję technologiczną, w tym autom</w:t>
      </w:r>
      <w:r w:rsidR="007D1CB1">
        <w:rPr>
          <w:rFonts w:ascii="Arial" w:hAnsi="Arial" w:cs="Arial"/>
          <w:color w:val="000000" w:themeColor="text1"/>
          <w:sz w:val="22"/>
          <w:szCs w:val="22"/>
        </w:rPr>
        <w:t>atyzację i cyfryzację procesów;</w:t>
      </w:r>
    </w:p>
    <w:p w14:paraId="65A893CA" w14:textId="2FBEA40C" w:rsidR="009219F6" w:rsidRPr="009B78DA" w:rsidRDefault="009219F6" w:rsidP="007D1CB1">
      <w:pPr>
        <w:pStyle w:val="Akapitzlist"/>
        <w:numPr>
          <w:ilvl w:val="0"/>
          <w:numId w:val="284"/>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wzrost liczby osób o ogranicz</w:t>
      </w:r>
      <w:r w:rsidR="007D1CB1">
        <w:rPr>
          <w:rFonts w:ascii="Arial" w:hAnsi="Arial" w:cs="Arial"/>
          <w:color w:val="000000" w:themeColor="text1"/>
          <w:sz w:val="22"/>
          <w:szCs w:val="22"/>
        </w:rPr>
        <w:t>onych możliwościach fizycznych;</w:t>
      </w:r>
    </w:p>
    <w:p w14:paraId="0F3AA4CC" w14:textId="2F585B8B" w:rsidR="009219F6" w:rsidRPr="009B78DA" w:rsidRDefault="009219F6" w:rsidP="007D1CB1">
      <w:pPr>
        <w:pStyle w:val="Akapitzlist"/>
        <w:numPr>
          <w:ilvl w:val="0"/>
          <w:numId w:val="284"/>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działania</w:t>
      </w:r>
      <w:r w:rsidR="007D1CB1">
        <w:rPr>
          <w:rFonts w:ascii="Arial" w:hAnsi="Arial" w:cs="Arial"/>
          <w:color w:val="000000" w:themeColor="text1"/>
          <w:sz w:val="22"/>
          <w:szCs w:val="22"/>
        </w:rPr>
        <w:t xml:space="preserve"> na rzecz środowiska i klimatu;</w:t>
      </w:r>
    </w:p>
    <w:p w14:paraId="57D0D59D" w14:textId="409ED619" w:rsidR="009219F6" w:rsidRPr="009B78DA" w:rsidRDefault="009219F6" w:rsidP="007D1CB1">
      <w:pPr>
        <w:pStyle w:val="Akapitzlist"/>
        <w:numPr>
          <w:ilvl w:val="0"/>
          <w:numId w:val="284"/>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nasilają</w:t>
      </w:r>
      <w:r w:rsidR="007D1CB1">
        <w:rPr>
          <w:rFonts w:ascii="Arial" w:hAnsi="Arial" w:cs="Arial"/>
          <w:color w:val="000000" w:themeColor="text1"/>
          <w:sz w:val="22"/>
          <w:szCs w:val="22"/>
        </w:rPr>
        <w:t>ce się migracje międzynarodowe;</w:t>
      </w:r>
    </w:p>
    <w:p w14:paraId="019FC806" w14:textId="11EE683C" w:rsidR="009219F6" w:rsidRPr="009B78DA" w:rsidRDefault="009219F6" w:rsidP="007D1CB1">
      <w:pPr>
        <w:pStyle w:val="Akapitzlist"/>
        <w:numPr>
          <w:ilvl w:val="0"/>
          <w:numId w:val="284"/>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wrażliwość ł</w:t>
      </w:r>
      <w:r w:rsidR="007D1CB1">
        <w:rPr>
          <w:rFonts w:ascii="Arial" w:hAnsi="Arial" w:cs="Arial"/>
          <w:color w:val="000000" w:themeColor="text1"/>
          <w:sz w:val="22"/>
          <w:szCs w:val="22"/>
        </w:rPr>
        <w:t>ańcuchów dostaw (globalizacji).</w:t>
      </w:r>
    </w:p>
    <w:p w14:paraId="060CC0D2" w14:textId="5D34EF67" w:rsidR="009219F6" w:rsidRPr="009B78DA" w:rsidRDefault="009219F6" w:rsidP="007D1CB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Odpowiedzi na każde z powyższych przykładów znajdują się wśród kierunków rozwoju wyszczególnionych w PSRT WP.</w:t>
      </w:r>
    </w:p>
    <w:bookmarkEnd w:id="27"/>
    <w:p w14:paraId="102EC3F2" w14:textId="29D294D5" w:rsidR="00E54F88" w:rsidRPr="009B78DA" w:rsidRDefault="00B501F7" w:rsidP="007D1CB1">
      <w:pPr>
        <w:spacing w:after="0" w:line="276" w:lineRule="auto"/>
        <w:ind w:firstLine="708"/>
        <w:rPr>
          <w:rFonts w:ascii="Arial" w:hAnsi="Arial" w:cs="Arial"/>
          <w:color w:val="000000" w:themeColor="text1"/>
          <w:sz w:val="22"/>
          <w:szCs w:val="22"/>
        </w:rPr>
      </w:pPr>
      <w:r w:rsidRPr="009B78DA">
        <w:rPr>
          <w:rFonts w:ascii="Arial" w:hAnsi="Arial" w:cs="Arial"/>
          <w:iCs/>
          <w:color w:val="000000" w:themeColor="text1"/>
          <w:sz w:val="22"/>
          <w:szCs w:val="22"/>
        </w:rPr>
        <w:t>Integralną częścią</w:t>
      </w:r>
      <w:r w:rsidRPr="009B78DA">
        <w:rPr>
          <w:rFonts w:ascii="Arial" w:hAnsi="Arial" w:cs="Arial"/>
          <w:i/>
          <w:color w:val="000000" w:themeColor="text1"/>
          <w:sz w:val="22"/>
          <w:szCs w:val="22"/>
        </w:rPr>
        <w:t xml:space="preserve"> Programu Strategicznego Rozwoju Transportu Województwa Podkarpackiego do roku 2030</w:t>
      </w:r>
      <w:r w:rsidRPr="009B78DA">
        <w:rPr>
          <w:rFonts w:ascii="Arial" w:hAnsi="Arial" w:cs="Arial"/>
          <w:color w:val="000000" w:themeColor="text1"/>
          <w:sz w:val="22"/>
          <w:szCs w:val="22"/>
        </w:rPr>
        <w:t xml:space="preserve"> jest </w:t>
      </w:r>
      <w:r w:rsidRPr="009B78DA">
        <w:rPr>
          <w:rFonts w:ascii="Arial" w:hAnsi="Arial" w:cs="Arial"/>
          <w:i/>
          <w:iCs/>
          <w:color w:val="000000" w:themeColor="text1"/>
          <w:sz w:val="22"/>
          <w:szCs w:val="22"/>
        </w:rPr>
        <w:t>Prognoza Oddziaływania na środowisko</w:t>
      </w:r>
      <w:r w:rsidRPr="009B78DA">
        <w:rPr>
          <w:rFonts w:ascii="Arial" w:hAnsi="Arial" w:cs="Arial"/>
          <w:color w:val="000000" w:themeColor="text1"/>
          <w:sz w:val="22"/>
          <w:szCs w:val="22"/>
        </w:rPr>
        <w:t>, w której uwzględnione są aspekty środowiskowe</w:t>
      </w:r>
      <w:r w:rsidR="00160115" w:rsidRPr="009B78DA">
        <w:rPr>
          <w:rFonts w:ascii="Arial" w:hAnsi="Arial" w:cs="Arial"/>
          <w:color w:val="000000" w:themeColor="text1"/>
          <w:sz w:val="22"/>
          <w:szCs w:val="22"/>
        </w:rPr>
        <w:t xml:space="preserve"> </w:t>
      </w:r>
      <w:r w:rsidR="00CC5267" w:rsidRPr="009B78DA">
        <w:rPr>
          <w:rFonts w:ascii="Arial" w:hAnsi="Arial" w:cs="Arial"/>
          <w:color w:val="000000" w:themeColor="text1"/>
          <w:sz w:val="22"/>
          <w:szCs w:val="22"/>
        </w:rPr>
        <w:t xml:space="preserve">i </w:t>
      </w:r>
      <w:r w:rsidR="00160115" w:rsidRPr="009B78DA">
        <w:rPr>
          <w:rFonts w:ascii="Arial" w:hAnsi="Arial" w:cs="Arial"/>
          <w:color w:val="000000" w:themeColor="text1"/>
          <w:sz w:val="22"/>
          <w:szCs w:val="22"/>
        </w:rPr>
        <w:t xml:space="preserve">efekty </w:t>
      </w:r>
      <w:r w:rsidRPr="009B78DA">
        <w:rPr>
          <w:rFonts w:ascii="Arial" w:hAnsi="Arial" w:cs="Arial"/>
          <w:color w:val="000000" w:themeColor="text1"/>
          <w:sz w:val="22"/>
          <w:szCs w:val="22"/>
        </w:rPr>
        <w:t>zmian klimatu. Zadaniem Prognozy jest kontrybuowanie do ogólnych celów zagadnień środowiskowych i klimatycznych</w:t>
      </w:r>
      <w:r w:rsidR="004F1CFC"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r w:rsidR="00A344DF" w:rsidRPr="009B78DA">
        <w:rPr>
          <w:rFonts w:ascii="Arial" w:hAnsi="Arial" w:cs="Arial"/>
          <w:color w:val="000000" w:themeColor="text1"/>
          <w:sz w:val="22"/>
          <w:szCs w:val="22"/>
        </w:rPr>
        <w:t>Wskazane</w:t>
      </w:r>
      <w:r w:rsidR="00E54F88" w:rsidRPr="009B78DA">
        <w:rPr>
          <w:rFonts w:ascii="Arial" w:hAnsi="Arial" w:cs="Arial"/>
          <w:color w:val="000000" w:themeColor="text1"/>
          <w:sz w:val="22"/>
          <w:szCs w:val="22"/>
        </w:rPr>
        <w:t xml:space="preserve"> zapisy znajdują się w części pn.</w:t>
      </w:r>
      <w:r w:rsidR="00A344DF" w:rsidRPr="009B78DA">
        <w:rPr>
          <w:rFonts w:ascii="Arial" w:hAnsi="Arial" w:cs="Arial"/>
          <w:i/>
          <w:iCs/>
          <w:color w:val="000000" w:themeColor="text1"/>
          <w:sz w:val="22"/>
          <w:szCs w:val="22"/>
        </w:rPr>
        <w:t xml:space="preserve"> </w:t>
      </w:r>
      <w:r w:rsidR="00284B82" w:rsidRPr="009B78DA">
        <w:rPr>
          <w:rFonts w:ascii="Arial" w:hAnsi="Arial" w:cs="Arial"/>
          <w:i/>
          <w:iCs/>
          <w:color w:val="000000" w:themeColor="text1"/>
          <w:sz w:val="22"/>
          <w:szCs w:val="22"/>
        </w:rPr>
        <w:t>Prognoza oddziaływania na środowisko – najważniejsze wnioski</w:t>
      </w:r>
      <w:r w:rsidR="00E54F88" w:rsidRPr="009B78DA">
        <w:rPr>
          <w:rFonts w:ascii="Arial" w:hAnsi="Arial" w:cs="Arial"/>
          <w:i/>
          <w:iCs/>
          <w:color w:val="000000" w:themeColor="text1"/>
          <w:sz w:val="22"/>
          <w:szCs w:val="22"/>
        </w:rPr>
        <w:t xml:space="preserve">. </w:t>
      </w:r>
      <w:r w:rsidR="00E54F88" w:rsidRPr="009B78DA">
        <w:rPr>
          <w:rFonts w:ascii="Arial" w:hAnsi="Arial" w:cs="Arial"/>
          <w:color w:val="000000" w:themeColor="text1"/>
          <w:sz w:val="22"/>
          <w:szCs w:val="22"/>
        </w:rPr>
        <w:t>W kolejn</w:t>
      </w:r>
      <w:r w:rsidR="00245A46" w:rsidRPr="009B78DA">
        <w:rPr>
          <w:rFonts w:ascii="Arial" w:hAnsi="Arial" w:cs="Arial"/>
          <w:color w:val="000000" w:themeColor="text1"/>
          <w:sz w:val="22"/>
          <w:szCs w:val="22"/>
        </w:rPr>
        <w:t>ych</w:t>
      </w:r>
      <w:r w:rsidR="00E54F88" w:rsidRPr="009B78DA">
        <w:rPr>
          <w:rFonts w:ascii="Arial" w:hAnsi="Arial" w:cs="Arial"/>
          <w:color w:val="000000" w:themeColor="text1"/>
          <w:sz w:val="22"/>
          <w:szCs w:val="22"/>
        </w:rPr>
        <w:t xml:space="preserve"> </w:t>
      </w:r>
      <w:r w:rsidR="003E33F7" w:rsidRPr="009B78DA">
        <w:rPr>
          <w:rFonts w:ascii="Arial" w:hAnsi="Arial" w:cs="Arial"/>
          <w:color w:val="000000" w:themeColor="text1"/>
          <w:sz w:val="22"/>
          <w:szCs w:val="22"/>
        </w:rPr>
        <w:t>elementach</w:t>
      </w:r>
      <w:r w:rsidR="00E54F88" w:rsidRPr="009B78DA">
        <w:rPr>
          <w:rFonts w:ascii="Arial" w:hAnsi="Arial" w:cs="Arial"/>
          <w:color w:val="000000" w:themeColor="text1"/>
          <w:sz w:val="22"/>
          <w:szCs w:val="22"/>
        </w:rPr>
        <w:t xml:space="preserve"> </w:t>
      </w:r>
      <w:r w:rsidR="002938BE" w:rsidRPr="009B78DA">
        <w:rPr>
          <w:rFonts w:ascii="Arial" w:hAnsi="Arial" w:cs="Arial"/>
          <w:color w:val="000000" w:themeColor="text1"/>
          <w:sz w:val="22"/>
          <w:szCs w:val="22"/>
        </w:rPr>
        <w:t>opisano przebieg oraz p</w:t>
      </w:r>
      <w:r w:rsidR="00E54F88" w:rsidRPr="009B78DA">
        <w:rPr>
          <w:rFonts w:ascii="Arial" w:hAnsi="Arial" w:cs="Arial"/>
          <w:color w:val="000000" w:themeColor="text1"/>
          <w:sz w:val="22"/>
          <w:szCs w:val="22"/>
        </w:rPr>
        <w:t>odsumowanie przeprowadzon</w:t>
      </w:r>
      <w:r w:rsidR="002938BE" w:rsidRPr="009B78DA">
        <w:rPr>
          <w:rFonts w:ascii="Arial" w:hAnsi="Arial" w:cs="Arial"/>
          <w:color w:val="000000" w:themeColor="text1"/>
          <w:sz w:val="22"/>
          <w:szCs w:val="22"/>
        </w:rPr>
        <w:t>ego procesu</w:t>
      </w:r>
      <w:r w:rsidR="00E54F88" w:rsidRPr="009B78DA">
        <w:rPr>
          <w:rFonts w:ascii="Arial" w:hAnsi="Arial" w:cs="Arial"/>
          <w:color w:val="000000" w:themeColor="text1"/>
          <w:sz w:val="22"/>
          <w:szCs w:val="22"/>
        </w:rPr>
        <w:t xml:space="preserve"> konsultacji społecznych</w:t>
      </w:r>
      <w:r w:rsidR="00A344DF" w:rsidRPr="009B78DA">
        <w:rPr>
          <w:rFonts w:ascii="Arial" w:hAnsi="Arial" w:cs="Arial"/>
          <w:color w:val="000000" w:themeColor="text1"/>
          <w:sz w:val="22"/>
          <w:szCs w:val="22"/>
        </w:rPr>
        <w:t xml:space="preserve"> i analizę ryzyka.</w:t>
      </w:r>
    </w:p>
    <w:p w14:paraId="55559F48" w14:textId="0CD45BBF" w:rsidR="00B501F7" w:rsidRPr="009B78DA" w:rsidRDefault="00A14042" w:rsidP="007D1CB1">
      <w:pPr>
        <w:spacing w:after="0" w:line="276" w:lineRule="auto"/>
        <w:ind w:firstLine="567"/>
        <w:rPr>
          <w:rFonts w:ascii="Arial" w:hAnsi="Arial" w:cs="Arial"/>
          <w:color w:val="000000" w:themeColor="text1"/>
          <w:sz w:val="22"/>
          <w:szCs w:val="22"/>
        </w:rPr>
      </w:pPr>
      <w:bookmarkStart w:id="29" w:name="_Hlk91844605"/>
      <w:bookmarkStart w:id="30" w:name="_Hlk92207414"/>
      <w:bookmarkEnd w:id="13"/>
      <w:r w:rsidRPr="009B78DA">
        <w:rPr>
          <w:rFonts w:ascii="Arial" w:hAnsi="Arial" w:cs="Arial"/>
          <w:color w:val="000000" w:themeColor="text1"/>
          <w:sz w:val="22"/>
          <w:szCs w:val="22"/>
        </w:rPr>
        <w:t xml:space="preserve">Załączniki do dokumentu stanowią: spriorytetyzowana lista kluczowych </w:t>
      </w:r>
      <w:r w:rsidR="00F1720F" w:rsidRPr="009B78DA">
        <w:rPr>
          <w:rFonts w:ascii="Arial" w:hAnsi="Arial" w:cs="Arial"/>
          <w:color w:val="000000" w:themeColor="text1"/>
          <w:sz w:val="22"/>
          <w:szCs w:val="22"/>
        </w:rPr>
        <w:t xml:space="preserve">strategicznych projektów drogowych </w:t>
      </w:r>
      <w:r w:rsidRPr="009B78DA">
        <w:rPr>
          <w:rFonts w:ascii="Arial" w:hAnsi="Arial" w:cs="Arial"/>
          <w:color w:val="000000" w:themeColor="text1"/>
          <w:sz w:val="22"/>
          <w:szCs w:val="22"/>
        </w:rPr>
        <w:t xml:space="preserve">w ramach PSRT WP, planowanych do wsparcia w ramach </w:t>
      </w:r>
      <w:r w:rsidR="00BF3795" w:rsidRPr="009B78DA">
        <w:rPr>
          <w:rFonts w:ascii="Arial" w:hAnsi="Arial" w:cs="Arial"/>
          <w:color w:val="000000" w:themeColor="text1"/>
          <w:sz w:val="22"/>
          <w:szCs w:val="22"/>
        </w:rPr>
        <w:t xml:space="preserve">m.in. </w:t>
      </w:r>
      <w:r w:rsidRPr="009B78DA">
        <w:rPr>
          <w:rFonts w:ascii="Arial" w:hAnsi="Arial" w:cs="Arial"/>
          <w:color w:val="000000" w:themeColor="text1"/>
          <w:sz w:val="22"/>
          <w:szCs w:val="22"/>
        </w:rPr>
        <w:t>regionalnego programu FEP 2021-2027</w:t>
      </w:r>
      <w:r w:rsidR="00F1720F" w:rsidRPr="009B78DA">
        <w:rPr>
          <w:rFonts w:ascii="Arial" w:hAnsi="Arial" w:cs="Arial"/>
          <w:color w:val="000000" w:themeColor="text1"/>
          <w:sz w:val="22"/>
          <w:szCs w:val="22"/>
        </w:rPr>
        <w:t xml:space="preserve"> oraz</w:t>
      </w:r>
      <w:r w:rsidRPr="009B78DA">
        <w:rPr>
          <w:rFonts w:ascii="Arial" w:hAnsi="Arial" w:cs="Arial"/>
          <w:color w:val="000000" w:themeColor="text1"/>
          <w:sz w:val="22"/>
          <w:szCs w:val="22"/>
        </w:rPr>
        <w:t xml:space="preserve"> programu FEPW 2021-2027</w:t>
      </w:r>
      <w:r w:rsidR="00063D5A" w:rsidRPr="009B78DA">
        <w:rPr>
          <w:rFonts w:ascii="Arial" w:hAnsi="Arial" w:cs="Arial"/>
          <w:color w:val="000000" w:themeColor="text1"/>
          <w:sz w:val="22"/>
          <w:szCs w:val="22"/>
        </w:rPr>
        <w:t xml:space="preserve"> oraz lista inwestycji dotycząca taboru kolejowego (zaplanowanego do sfinansowania w ramach FEP 2021-2027)</w:t>
      </w:r>
      <w:r w:rsidR="00F1720F" w:rsidRPr="009B78DA">
        <w:rPr>
          <w:rFonts w:ascii="Arial" w:hAnsi="Arial" w:cs="Arial"/>
          <w:color w:val="000000" w:themeColor="text1"/>
          <w:sz w:val="22"/>
          <w:szCs w:val="22"/>
        </w:rPr>
        <w:t xml:space="preserve"> a także </w:t>
      </w:r>
      <w:r w:rsidRPr="009B78DA">
        <w:rPr>
          <w:rFonts w:ascii="Arial" w:hAnsi="Arial" w:cs="Arial"/>
          <w:color w:val="000000" w:themeColor="text1"/>
          <w:sz w:val="22"/>
          <w:szCs w:val="22"/>
        </w:rPr>
        <w:t>wnioski z realizowanego procesu ewaluacji ex-ante.</w:t>
      </w:r>
      <w:bookmarkEnd w:id="29"/>
      <w:r w:rsidR="00B501F7" w:rsidRPr="009B78DA">
        <w:rPr>
          <w:rFonts w:ascii="Arial" w:hAnsi="Arial" w:cs="Arial"/>
          <w:color w:val="000000" w:themeColor="text1"/>
          <w:sz w:val="22"/>
          <w:szCs w:val="22"/>
        </w:rPr>
        <w:br w:type="page"/>
      </w:r>
    </w:p>
    <w:p w14:paraId="787262FC" w14:textId="77777777" w:rsidR="00685C49" w:rsidRPr="009B78DA" w:rsidRDefault="00685C49" w:rsidP="007D1CB1">
      <w:pPr>
        <w:pStyle w:val="Nagwek1"/>
        <w:numPr>
          <w:ilvl w:val="0"/>
          <w:numId w:val="256"/>
        </w:numPr>
        <w:ind w:left="142" w:hanging="142"/>
        <w:rPr>
          <w:rFonts w:cs="Arial"/>
          <w:b/>
          <w:bCs/>
          <w:color w:val="000000" w:themeColor="text1"/>
          <w:sz w:val="26"/>
          <w:szCs w:val="26"/>
        </w:rPr>
      </w:pPr>
      <w:bookmarkStart w:id="31" w:name="_Toc100335055"/>
      <w:bookmarkStart w:id="32" w:name="_Toc146785779"/>
      <w:bookmarkStart w:id="33" w:name="_Hlk76100132"/>
      <w:bookmarkEnd w:id="30"/>
      <w:r w:rsidRPr="009B78DA">
        <w:rPr>
          <w:rFonts w:cs="Arial"/>
          <w:b/>
          <w:bCs/>
          <w:color w:val="000000" w:themeColor="text1"/>
          <w:sz w:val="26"/>
          <w:szCs w:val="26"/>
        </w:rPr>
        <w:t>Diagnoza stanu systemu transportowego w województwie podkarpackim</w:t>
      </w:r>
      <w:bookmarkEnd w:id="31"/>
      <w:bookmarkEnd w:id="32"/>
    </w:p>
    <w:p w14:paraId="21CD263D" w14:textId="20238570" w:rsidR="003F60B3" w:rsidRPr="009B78DA" w:rsidRDefault="00685C49" w:rsidP="007D1CB1">
      <w:pPr>
        <w:pStyle w:val="Nagwek2"/>
        <w:numPr>
          <w:ilvl w:val="0"/>
          <w:numId w:val="257"/>
        </w:numPr>
        <w:rPr>
          <w:rFonts w:cs="Arial"/>
          <w:b w:val="0"/>
          <w:bCs/>
          <w:sz w:val="26"/>
        </w:rPr>
      </w:pPr>
      <w:bookmarkStart w:id="34" w:name="_Toc100335056"/>
      <w:bookmarkStart w:id="35" w:name="_Toc146785780"/>
      <w:bookmarkEnd w:id="33"/>
      <w:r w:rsidRPr="009B78DA">
        <w:rPr>
          <w:rFonts w:cs="Arial"/>
          <w:bCs/>
          <w:sz w:val="26"/>
        </w:rPr>
        <w:t>Synteza diagnozy</w:t>
      </w:r>
      <w:bookmarkEnd w:id="34"/>
      <w:bookmarkEnd w:id="35"/>
    </w:p>
    <w:p w14:paraId="0AE1C027" w14:textId="4611905F" w:rsidR="003F60B3" w:rsidRPr="007D1CB1" w:rsidRDefault="003F60B3" w:rsidP="007D1CB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Niniejszy rozdział stanowi</w:t>
      </w:r>
      <w:r w:rsidR="00FE49A5"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syntezę </w:t>
      </w:r>
      <w:r w:rsidRPr="009B78DA">
        <w:rPr>
          <w:rFonts w:ascii="Arial" w:hAnsi="Arial" w:cs="Arial"/>
          <w:i/>
          <w:color w:val="000000" w:themeColor="text1"/>
          <w:sz w:val="22"/>
          <w:szCs w:val="22"/>
        </w:rPr>
        <w:t xml:space="preserve">Diagnozy Stanu Systemu Transportowego </w:t>
      </w:r>
      <w:r w:rsidR="007D1CB1">
        <w:rPr>
          <w:rFonts w:ascii="Arial" w:hAnsi="Arial" w:cs="Arial"/>
          <w:i/>
          <w:color w:val="000000" w:themeColor="text1"/>
          <w:sz w:val="22"/>
          <w:szCs w:val="22"/>
        </w:rPr>
        <w:br/>
      </w:r>
      <w:r w:rsidRPr="009B78DA">
        <w:rPr>
          <w:rFonts w:ascii="Arial" w:hAnsi="Arial" w:cs="Arial"/>
          <w:i/>
          <w:color w:val="000000" w:themeColor="text1"/>
          <w:sz w:val="22"/>
          <w:szCs w:val="22"/>
        </w:rPr>
        <w:t xml:space="preserve">w Województwie Podkarpackim </w:t>
      </w:r>
      <w:r w:rsidRPr="009B78DA">
        <w:rPr>
          <w:rFonts w:ascii="Arial" w:hAnsi="Arial" w:cs="Arial"/>
          <w:color w:val="000000" w:themeColor="text1"/>
          <w:sz w:val="22"/>
          <w:szCs w:val="22"/>
        </w:rPr>
        <w:t>sporządzonej przez Podkarpackie Biuro Planowania Przestrzennego w Rzeszowie na potrzeby przygotowywanego PSRT WP</w:t>
      </w:r>
      <w:r w:rsidR="00FF378A" w:rsidRPr="009B78DA">
        <w:rPr>
          <w:rFonts w:ascii="Arial" w:hAnsi="Arial" w:cs="Arial"/>
          <w:color w:val="000000" w:themeColor="text1"/>
          <w:sz w:val="22"/>
          <w:szCs w:val="22"/>
        </w:rPr>
        <w:t>,</w:t>
      </w:r>
      <w:r w:rsidR="00FE49A5" w:rsidRPr="009B78DA">
        <w:rPr>
          <w:color w:val="000000" w:themeColor="text1"/>
        </w:rPr>
        <w:t xml:space="preserve"> </w:t>
      </w:r>
      <w:r w:rsidR="00FE49A5" w:rsidRPr="009B78DA">
        <w:rPr>
          <w:rFonts w:ascii="Arial" w:hAnsi="Arial" w:cs="Arial"/>
          <w:color w:val="000000" w:themeColor="text1"/>
          <w:sz w:val="22"/>
          <w:szCs w:val="22"/>
        </w:rPr>
        <w:t xml:space="preserve">uzupełnioną </w:t>
      </w:r>
      <w:r w:rsidR="00FE49A5" w:rsidRPr="009B78DA">
        <w:rPr>
          <w:rFonts w:ascii="Arial" w:hAnsi="Arial" w:cs="Arial"/>
          <w:color w:val="000000" w:themeColor="text1"/>
          <w:sz w:val="22"/>
          <w:szCs w:val="22"/>
        </w:rPr>
        <w:br/>
        <w:t>o wybrane dane pozyskane w trakcie prac nad dokumentem</w:t>
      </w:r>
      <w:r w:rsidRPr="009B78DA">
        <w:rPr>
          <w:rFonts w:ascii="Arial" w:hAnsi="Arial" w:cs="Arial"/>
          <w:color w:val="000000" w:themeColor="text1"/>
          <w:sz w:val="22"/>
          <w:szCs w:val="22"/>
        </w:rPr>
        <w:t>. Opracowany przez PBPP dokument jest przede wszystkim kompleksową diagnozą istniejącej infrastruktury transportowej w województwie podkarpackim, w której zidentyfikowano główne obszary systemów (podsystemów) transportowych regionu, mające zasadniczy wpływ na istniejącą dostępność przestrzenną województwa</w:t>
      </w:r>
      <w:r w:rsidRPr="009B78DA">
        <w:rPr>
          <w:rFonts w:ascii="Arial" w:hAnsi="Arial" w:cs="Arial"/>
          <w:i/>
          <w:color w:val="000000" w:themeColor="text1"/>
          <w:sz w:val="22"/>
          <w:szCs w:val="22"/>
        </w:rPr>
        <w:t>.</w:t>
      </w:r>
      <w:r w:rsidRPr="009B78DA">
        <w:rPr>
          <w:color w:val="000000" w:themeColor="text1"/>
        </w:rPr>
        <w:t xml:space="preserve"> </w:t>
      </w:r>
      <w:r w:rsidRPr="009B78DA">
        <w:rPr>
          <w:rFonts w:ascii="Arial" w:hAnsi="Arial" w:cs="Arial"/>
          <w:color w:val="000000" w:themeColor="text1"/>
          <w:sz w:val="22"/>
          <w:szCs w:val="22"/>
        </w:rPr>
        <w:t xml:space="preserve">Przeprowadzona analiza diagnostyczna, a także </w:t>
      </w:r>
      <w:r w:rsidR="00800ED1" w:rsidRPr="009B78DA">
        <w:rPr>
          <w:rFonts w:ascii="Arial" w:hAnsi="Arial" w:cs="Arial"/>
          <w:color w:val="000000" w:themeColor="text1"/>
          <w:sz w:val="22"/>
          <w:szCs w:val="22"/>
        </w:rPr>
        <w:t>określone dzięki niej problemy (wyzwania)</w:t>
      </w:r>
      <w:r w:rsidRPr="009B78DA">
        <w:rPr>
          <w:rFonts w:ascii="Arial" w:hAnsi="Arial" w:cs="Arial"/>
          <w:color w:val="000000" w:themeColor="text1"/>
          <w:sz w:val="22"/>
          <w:szCs w:val="22"/>
        </w:rPr>
        <w:t>, dotyczą zarówno kontekstu wewnątrzregionalnego, jak również zewnętrznych po</w:t>
      </w:r>
      <w:r w:rsidR="007D1CB1">
        <w:rPr>
          <w:rFonts w:ascii="Arial" w:hAnsi="Arial" w:cs="Arial"/>
          <w:color w:val="000000" w:themeColor="text1"/>
          <w:sz w:val="22"/>
          <w:szCs w:val="22"/>
        </w:rPr>
        <w:t>wiązań transportowych regionu.</w:t>
      </w:r>
    </w:p>
    <w:p w14:paraId="59E3DB0E" w14:textId="15BD9F85" w:rsidR="004E4357" w:rsidRPr="009B78DA" w:rsidRDefault="003A4A53" w:rsidP="007D1CB1">
      <w:pPr>
        <w:pStyle w:val="Nagwek3"/>
        <w:numPr>
          <w:ilvl w:val="1"/>
          <w:numId w:val="258"/>
        </w:numPr>
        <w:rPr>
          <w:rFonts w:cs="Arial"/>
          <w:color w:val="000000" w:themeColor="text1"/>
          <w:sz w:val="24"/>
        </w:rPr>
      </w:pPr>
      <w:bookmarkStart w:id="36" w:name="_Toc100335057"/>
      <w:bookmarkStart w:id="37" w:name="_Toc146785781"/>
      <w:r w:rsidRPr="009B78DA">
        <w:rPr>
          <w:rFonts w:cs="Arial"/>
          <w:color w:val="000000" w:themeColor="text1"/>
          <w:sz w:val="24"/>
        </w:rPr>
        <w:t>Uwarunkowania dla rozwoju transportu w województwie</w:t>
      </w:r>
      <w:bookmarkEnd w:id="36"/>
      <w:bookmarkEnd w:id="37"/>
    </w:p>
    <w:p w14:paraId="2A0B1855" w14:textId="31872FF1" w:rsidR="004E4357" w:rsidRPr="009B78DA" w:rsidRDefault="004E4357" w:rsidP="007D1CB1">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Sieć osadnicza województwa charakteryzuje się układem o regularnym, równomiernym pod względem wielkości rozkładem miast i ma charakter policentryczny. Byłe miasta wojewódzkie</w:t>
      </w:r>
      <w:r w:rsidR="0055728D" w:rsidRPr="009B78DA">
        <w:rPr>
          <w:rFonts w:ascii="Arial" w:hAnsi="Arial" w:cs="Arial"/>
          <w:color w:val="000000" w:themeColor="text1"/>
          <w:sz w:val="22"/>
          <w:szCs w:val="22"/>
        </w:rPr>
        <w:t>,</w:t>
      </w:r>
      <w:r w:rsidR="0035115C" w:rsidRPr="009B78DA">
        <w:rPr>
          <w:rFonts w:ascii="Arial" w:hAnsi="Arial" w:cs="Arial"/>
          <w:color w:val="000000" w:themeColor="text1"/>
          <w:sz w:val="22"/>
          <w:szCs w:val="22"/>
        </w:rPr>
        <w:t xml:space="preserve"> takie jak</w:t>
      </w:r>
      <w:r w:rsidRPr="009B78DA">
        <w:rPr>
          <w:rFonts w:ascii="Arial" w:hAnsi="Arial" w:cs="Arial"/>
          <w:color w:val="000000" w:themeColor="text1"/>
          <w:sz w:val="22"/>
          <w:szCs w:val="22"/>
        </w:rPr>
        <w:t xml:space="preserve"> Krosno, Przemyśl i Tarnobrzeg oraz miasta Stalowa Wola, Mielec, Dębica, Jarosław, Sanok i Jasło tworzą swoisty pierścień wokół miasta Rzeszowa, największego ośrodka w województwie. Pierścień ten uzupełniają miasta średnie i małe. </w:t>
      </w:r>
      <w:bookmarkStart w:id="38" w:name="_Hlk92696858"/>
      <w:r w:rsidRPr="009B78DA">
        <w:rPr>
          <w:rFonts w:ascii="Arial" w:hAnsi="Arial" w:cs="Arial"/>
          <w:color w:val="000000" w:themeColor="text1"/>
          <w:sz w:val="22"/>
          <w:szCs w:val="22"/>
        </w:rPr>
        <w:t>Według stanu na 31.12.20</w:t>
      </w:r>
      <w:r w:rsidR="00846F58" w:rsidRPr="009B78DA">
        <w:rPr>
          <w:rFonts w:ascii="Arial" w:hAnsi="Arial" w:cs="Arial"/>
          <w:color w:val="000000" w:themeColor="text1"/>
          <w:sz w:val="22"/>
          <w:szCs w:val="22"/>
        </w:rPr>
        <w:t>21</w:t>
      </w:r>
      <w:r w:rsidRPr="009B78DA">
        <w:rPr>
          <w:rFonts w:ascii="Arial" w:hAnsi="Arial" w:cs="Arial"/>
          <w:color w:val="000000" w:themeColor="text1"/>
          <w:sz w:val="22"/>
          <w:szCs w:val="22"/>
        </w:rPr>
        <w:t xml:space="preserve"> r. na terenie województwa podkarpackiego zlokalizowan</w:t>
      </w:r>
      <w:r w:rsidR="00B707A5"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w:t>
      </w:r>
      <w:bookmarkStart w:id="39" w:name="_Hlk92696803"/>
      <w:r w:rsidRPr="009B78DA">
        <w:rPr>
          <w:rFonts w:ascii="Arial" w:hAnsi="Arial" w:cs="Arial"/>
          <w:color w:val="000000" w:themeColor="text1"/>
          <w:sz w:val="22"/>
          <w:szCs w:val="22"/>
        </w:rPr>
        <w:t>był</w:t>
      </w:r>
      <w:r w:rsidR="00B707A5" w:rsidRPr="009B78DA">
        <w:rPr>
          <w:rFonts w:ascii="Arial" w:hAnsi="Arial" w:cs="Arial"/>
          <w:color w:val="000000" w:themeColor="text1"/>
          <w:sz w:val="22"/>
          <w:szCs w:val="22"/>
        </w:rPr>
        <w:t>y</w:t>
      </w:r>
      <w:r w:rsidRPr="009B78DA">
        <w:rPr>
          <w:rFonts w:ascii="Arial" w:hAnsi="Arial" w:cs="Arial"/>
          <w:color w:val="000000" w:themeColor="text1"/>
          <w:sz w:val="22"/>
          <w:szCs w:val="22"/>
        </w:rPr>
        <w:t xml:space="preserve"> 5</w:t>
      </w:r>
      <w:r w:rsidR="00846F58" w:rsidRPr="009B78DA">
        <w:rPr>
          <w:rFonts w:ascii="Arial" w:hAnsi="Arial" w:cs="Arial"/>
          <w:color w:val="000000" w:themeColor="text1"/>
          <w:sz w:val="22"/>
          <w:szCs w:val="22"/>
        </w:rPr>
        <w:t>2</w:t>
      </w:r>
      <w:r w:rsidRPr="009B78DA">
        <w:rPr>
          <w:rFonts w:ascii="Arial" w:hAnsi="Arial" w:cs="Arial"/>
          <w:color w:val="000000" w:themeColor="text1"/>
          <w:sz w:val="22"/>
          <w:szCs w:val="22"/>
        </w:rPr>
        <w:t xml:space="preserve"> miast</w:t>
      </w:r>
      <w:r w:rsidR="00B707A5"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i 166</w:t>
      </w:r>
      <w:r w:rsidR="00846F58" w:rsidRPr="009B78DA">
        <w:rPr>
          <w:rFonts w:ascii="Arial" w:hAnsi="Arial" w:cs="Arial"/>
          <w:color w:val="000000" w:themeColor="text1"/>
          <w:sz w:val="22"/>
          <w:szCs w:val="22"/>
        </w:rPr>
        <w:t>2</w:t>
      </w:r>
      <w:r w:rsidRPr="009B78DA">
        <w:rPr>
          <w:rFonts w:ascii="Arial" w:hAnsi="Arial" w:cs="Arial"/>
          <w:color w:val="000000" w:themeColor="text1"/>
          <w:sz w:val="22"/>
          <w:szCs w:val="22"/>
        </w:rPr>
        <w:t xml:space="preserve"> miejscowości wiejski</w:t>
      </w:r>
      <w:r w:rsidR="00B707A5" w:rsidRPr="009B78DA">
        <w:rPr>
          <w:rFonts w:ascii="Arial" w:hAnsi="Arial" w:cs="Arial"/>
          <w:color w:val="000000" w:themeColor="text1"/>
          <w:sz w:val="22"/>
          <w:szCs w:val="22"/>
        </w:rPr>
        <w:t>e</w:t>
      </w:r>
      <w:r w:rsidRPr="009B78DA">
        <w:rPr>
          <w:rFonts w:ascii="Arial" w:hAnsi="Arial" w:cs="Arial"/>
          <w:color w:val="000000" w:themeColor="text1"/>
          <w:sz w:val="22"/>
          <w:szCs w:val="22"/>
        </w:rPr>
        <w:t>, tworzących 21 powiatów ziemskich, 4 powiaty grodzkie i 160 gmin, w tym 16 gmin miejskich, 109 wiejskich i 35 miejsko-wiejskich.</w:t>
      </w:r>
      <w:bookmarkEnd w:id="38"/>
      <w:bookmarkEnd w:id="39"/>
    </w:p>
    <w:p w14:paraId="67EEA1E0" w14:textId="248F01D8" w:rsidR="003A4A53" w:rsidRPr="009B78DA" w:rsidRDefault="003A4A53" w:rsidP="007D1CB1">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Zgodnie ze </w:t>
      </w:r>
      <w:r w:rsidRPr="009B78DA">
        <w:rPr>
          <w:rFonts w:ascii="Arial" w:hAnsi="Arial" w:cs="Arial"/>
          <w:i/>
          <w:iCs/>
          <w:color w:val="000000" w:themeColor="text1"/>
          <w:sz w:val="22"/>
          <w:szCs w:val="22"/>
        </w:rPr>
        <w:t>Strategią Rozwoju Województwa – Podkarpackie 2030</w:t>
      </w:r>
      <w:r w:rsidRPr="009B78DA">
        <w:rPr>
          <w:rFonts w:ascii="Arial" w:hAnsi="Arial" w:cs="Arial"/>
          <w:color w:val="000000" w:themeColor="text1"/>
          <w:sz w:val="22"/>
          <w:szCs w:val="22"/>
        </w:rPr>
        <w:t xml:space="preserve"> biegunami wzrostu na terenie województwa podkarpackiego są </w:t>
      </w:r>
      <w:r w:rsidR="00F860D2" w:rsidRPr="009B78DA">
        <w:rPr>
          <w:rFonts w:ascii="Arial" w:hAnsi="Arial" w:cs="Arial"/>
          <w:color w:val="000000" w:themeColor="text1"/>
          <w:sz w:val="22"/>
          <w:szCs w:val="22"/>
        </w:rPr>
        <w:t xml:space="preserve">następujące miasta </w:t>
      </w:r>
      <w:r w:rsidRPr="009B78DA">
        <w:rPr>
          <w:rFonts w:ascii="Arial" w:hAnsi="Arial" w:cs="Arial"/>
          <w:color w:val="000000" w:themeColor="text1"/>
          <w:sz w:val="22"/>
          <w:szCs w:val="22"/>
        </w:rPr>
        <w:t>wraz z obszarami funkcjonalnymi: Rzeszów, Przemyśl, Krosno, Tarnobrzeg, Stalowa Wola, Mielec, Jasło, Lubaczów, Duopol Dębica-Ropczyce, Duopol Jarosław-Przeworsk</w:t>
      </w:r>
      <w:r w:rsidR="0035115C" w:rsidRPr="009B78DA">
        <w:rPr>
          <w:rFonts w:ascii="Arial" w:hAnsi="Arial" w:cs="Arial"/>
          <w:color w:val="000000" w:themeColor="text1"/>
          <w:sz w:val="22"/>
          <w:szCs w:val="22"/>
        </w:rPr>
        <w:t xml:space="preserve"> oraz </w:t>
      </w:r>
      <w:r w:rsidRPr="009B78DA">
        <w:rPr>
          <w:rFonts w:ascii="Arial" w:hAnsi="Arial" w:cs="Arial"/>
          <w:color w:val="000000" w:themeColor="text1"/>
          <w:sz w:val="22"/>
          <w:szCs w:val="22"/>
        </w:rPr>
        <w:t>Duopol Sanok-Lesko. Rzeszów oraz inne bieguny wzrostu pełnią ważną rolę, jako ośrodki koncentrujące funkcje gospodarcze i społeczne oraz będące miejscem świadczenia usług publicznych istotnych dla ich mieszkańców, a również mieszkańców otaczających je obszarów wiejskich. Rzeszowski O</w:t>
      </w:r>
      <w:r w:rsidR="00F45E35" w:rsidRPr="009B78DA">
        <w:rPr>
          <w:rFonts w:ascii="Arial" w:hAnsi="Arial" w:cs="Arial"/>
          <w:color w:val="000000" w:themeColor="text1"/>
          <w:sz w:val="22"/>
          <w:szCs w:val="22"/>
        </w:rPr>
        <w:t xml:space="preserve">bszar Funkcjonalny jako jedyny </w:t>
      </w:r>
      <w:r w:rsidRPr="009B78DA">
        <w:rPr>
          <w:rFonts w:ascii="Arial" w:hAnsi="Arial" w:cs="Arial"/>
          <w:color w:val="000000" w:themeColor="text1"/>
          <w:sz w:val="22"/>
          <w:szCs w:val="22"/>
        </w:rPr>
        <w:t>z funkcjonujących miejskich obszarów funkcjonalnych rozwija się w sposób równomierny, z zachowaniem proporcji miedzy rdzeniem i strefą zewnętrzną; jest to sytuacja korzystna, potencjalnie ułatwiająca obsługę transportową.</w:t>
      </w:r>
    </w:p>
    <w:p w14:paraId="48C50536" w14:textId="21C08FC1" w:rsidR="003A4A53" w:rsidRPr="009B78DA" w:rsidRDefault="003A4A53" w:rsidP="007D1CB1">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 siecią osadniczą związany jest rozkład ludności w regionie, a co za tym idzie potencjał ludnościowy</w:t>
      </w:r>
      <w:r w:rsidR="0035115C"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 jako generator ruchu. W województwie podkarpackim na koniec 20</w:t>
      </w:r>
      <w:r w:rsidR="00B157EC" w:rsidRPr="009B78DA">
        <w:rPr>
          <w:rFonts w:ascii="Arial" w:hAnsi="Arial" w:cs="Arial"/>
          <w:color w:val="000000" w:themeColor="text1"/>
          <w:sz w:val="22"/>
          <w:szCs w:val="22"/>
        </w:rPr>
        <w:t>21</w:t>
      </w:r>
      <w:r w:rsidRPr="009B78DA">
        <w:rPr>
          <w:rFonts w:ascii="Arial" w:hAnsi="Arial" w:cs="Arial"/>
          <w:color w:val="000000" w:themeColor="text1"/>
          <w:sz w:val="22"/>
          <w:szCs w:val="22"/>
        </w:rPr>
        <w:t>r. mieszkało 2</w:t>
      </w:r>
      <w:r w:rsidR="0027144A" w:rsidRPr="009B78DA">
        <w:rPr>
          <w:rFonts w:ascii="Arial" w:hAnsi="Arial" w:cs="Arial"/>
          <w:color w:val="000000" w:themeColor="text1"/>
          <w:sz w:val="22"/>
          <w:szCs w:val="22"/>
        </w:rPr>
        <w:t> 110 694</w:t>
      </w:r>
      <w:r w:rsidRPr="009B78DA">
        <w:rPr>
          <w:rFonts w:ascii="Arial" w:hAnsi="Arial" w:cs="Arial"/>
          <w:color w:val="000000" w:themeColor="text1"/>
          <w:sz w:val="22"/>
          <w:szCs w:val="22"/>
        </w:rPr>
        <w:t xml:space="preserve"> osób, co odp</w:t>
      </w:r>
      <w:r w:rsidR="00F45E35" w:rsidRPr="009B78DA">
        <w:rPr>
          <w:rFonts w:ascii="Arial" w:hAnsi="Arial" w:cs="Arial"/>
          <w:color w:val="000000" w:themeColor="text1"/>
          <w:sz w:val="22"/>
          <w:szCs w:val="22"/>
        </w:rPr>
        <w:t xml:space="preserve">owiadało 5,5% populacji kraju, </w:t>
      </w:r>
      <w:r w:rsidRPr="009B78DA">
        <w:rPr>
          <w:rFonts w:ascii="Arial" w:hAnsi="Arial" w:cs="Arial"/>
          <w:color w:val="000000" w:themeColor="text1"/>
          <w:sz w:val="22"/>
          <w:szCs w:val="22"/>
        </w:rPr>
        <w:t xml:space="preserve">w tym </w:t>
      </w:r>
      <w:r w:rsidR="0027144A" w:rsidRPr="009B78DA">
        <w:rPr>
          <w:rFonts w:ascii="Arial" w:hAnsi="Arial" w:cs="Arial"/>
          <w:color w:val="000000" w:themeColor="text1"/>
          <w:sz w:val="22"/>
          <w:szCs w:val="22"/>
        </w:rPr>
        <w:t>864 100</w:t>
      </w:r>
      <w:r w:rsidRPr="009B78DA">
        <w:rPr>
          <w:rFonts w:ascii="Arial" w:hAnsi="Arial" w:cs="Arial"/>
          <w:color w:val="000000" w:themeColor="text1"/>
          <w:sz w:val="22"/>
          <w:szCs w:val="22"/>
        </w:rPr>
        <w:t xml:space="preserve"> ludności mieszkało w miastach i 1</w:t>
      </w:r>
      <w:r w:rsidR="0027144A" w:rsidRPr="009B78DA">
        <w:rPr>
          <w:rFonts w:ascii="Arial" w:hAnsi="Arial" w:cs="Arial"/>
          <w:color w:val="000000" w:themeColor="text1"/>
          <w:sz w:val="22"/>
          <w:szCs w:val="22"/>
        </w:rPr>
        <w:t> 229 300</w:t>
      </w:r>
      <w:r w:rsidRPr="009B78DA">
        <w:rPr>
          <w:rFonts w:ascii="Arial" w:hAnsi="Arial" w:cs="Arial"/>
          <w:color w:val="000000" w:themeColor="text1"/>
          <w:sz w:val="22"/>
          <w:szCs w:val="22"/>
        </w:rPr>
        <w:t xml:space="preserve"> na wsi. W 2</w:t>
      </w:r>
      <w:r w:rsidR="000D2451" w:rsidRPr="009B78DA">
        <w:rPr>
          <w:rFonts w:ascii="Arial" w:hAnsi="Arial" w:cs="Arial"/>
          <w:color w:val="000000" w:themeColor="text1"/>
          <w:sz w:val="22"/>
          <w:szCs w:val="22"/>
        </w:rPr>
        <w:t>021</w:t>
      </w:r>
      <w:r w:rsidRPr="009B78DA">
        <w:rPr>
          <w:rFonts w:ascii="Arial" w:hAnsi="Arial" w:cs="Arial"/>
          <w:color w:val="000000" w:themeColor="text1"/>
          <w:sz w:val="22"/>
          <w:szCs w:val="22"/>
        </w:rPr>
        <w:t xml:space="preserve"> r. mieszkańcy miast stanowili 41,</w:t>
      </w:r>
      <w:r w:rsidR="0027144A" w:rsidRPr="009B78DA">
        <w:rPr>
          <w:rFonts w:ascii="Arial" w:hAnsi="Arial" w:cs="Arial"/>
          <w:color w:val="000000" w:themeColor="text1"/>
          <w:sz w:val="22"/>
          <w:szCs w:val="22"/>
        </w:rPr>
        <w:t>3</w:t>
      </w:r>
      <w:r w:rsidRPr="009B78DA">
        <w:rPr>
          <w:rFonts w:ascii="Arial" w:hAnsi="Arial" w:cs="Arial"/>
          <w:color w:val="000000" w:themeColor="text1"/>
          <w:sz w:val="22"/>
          <w:szCs w:val="22"/>
        </w:rPr>
        <w:t xml:space="preserve">% ogółu ludności i był to najniższy wskaźnik wśród województw (w kraju udział ludności miejskiej wyniósł </w:t>
      </w:r>
      <w:r w:rsidR="000D2451" w:rsidRPr="009B78DA">
        <w:rPr>
          <w:rFonts w:ascii="Arial" w:hAnsi="Arial" w:cs="Arial"/>
          <w:color w:val="000000" w:themeColor="text1"/>
          <w:sz w:val="22"/>
          <w:szCs w:val="22"/>
        </w:rPr>
        <w:t xml:space="preserve">niemal </w:t>
      </w:r>
      <w:r w:rsidRPr="009B78DA">
        <w:rPr>
          <w:rFonts w:ascii="Arial" w:hAnsi="Arial" w:cs="Arial"/>
          <w:color w:val="000000" w:themeColor="text1"/>
          <w:sz w:val="22"/>
          <w:szCs w:val="22"/>
        </w:rPr>
        <w:t>60,0%).</w:t>
      </w:r>
    </w:p>
    <w:p w14:paraId="3AAB2003" w14:textId="44B11AEF" w:rsidR="000D69C5" w:rsidRPr="009B78DA" w:rsidRDefault="000D69C5" w:rsidP="007D1CB1">
      <w:pPr>
        <w:pStyle w:val="Legenda"/>
        <w:keepNext/>
        <w:rPr>
          <w:rFonts w:ascii="Arial" w:hAnsi="Arial" w:cs="Arial"/>
          <w:i w:val="0"/>
          <w:color w:val="000000" w:themeColor="text1"/>
          <w:sz w:val="22"/>
          <w:szCs w:val="22"/>
        </w:rPr>
      </w:pPr>
      <w:bookmarkStart w:id="40" w:name="_Toc146785631"/>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Saldo migracji stałej na 1000 ludności w województwie podkarpackim wg gmin </w:t>
      </w:r>
      <w:r w:rsidRPr="009B78DA">
        <w:rPr>
          <w:rFonts w:ascii="Arial" w:hAnsi="Arial" w:cs="Arial"/>
          <w:i w:val="0"/>
          <w:color w:val="000000" w:themeColor="text1"/>
          <w:sz w:val="22"/>
          <w:szCs w:val="22"/>
        </w:rPr>
        <w:br/>
        <w:t>w 2022 r. [‰]</w:t>
      </w:r>
      <w:bookmarkEnd w:id="40"/>
    </w:p>
    <w:p w14:paraId="605A8EBE" w14:textId="74375F22" w:rsidR="00E016F8" w:rsidRPr="009B78DA" w:rsidRDefault="009A7DCC" w:rsidP="00C641A4">
      <w:pPr>
        <w:spacing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0B498215" wp14:editId="7697F3DA">
            <wp:extent cx="5760720" cy="5182870"/>
            <wp:effectExtent l="0" t="0" r="0" b="0"/>
            <wp:docPr id="1849177361" name="Obraz 10" descr="Saldo migracji ogółem na 1000 ludności w województwie podkarpackim. W południowo - wschodniej części od -8 +- 6,01 do -4 +- 2,01, Zagórz 6,01 + 8,0, Zarszyn powyżej 10,0, Lesko i Besko brak danych za 2019 r. W południowo – zachodniej części poniżej -10,0 do 4,01 + 6,0, W wschodniej części od -10,0 +- 8,01 do 0 + 2,0. W środkowej części od - 4,0 +- 2,01 do powyżej 10,0. Powyżej 10,0 Hyżne i Sokołów Małopolski. W zachodniej części od - 10,0 +- 8,01 do 4,01 + 6,0. W północno – wschodniej części poniżej – 10 do 0 +2,0. W północnej części od -6,0 +- 4,01 do 0 + 2,0.  W północno – zachodniej części od - 6,0 +- 4,01 do 4,01 + 6,0" title="Rysunek 2 Saldo migracji stałej na 1000 ludności w województwie podkarpackim wg gm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77361" name="Obraz 10" descr="Obraz zawierający tekst, mapa, atlas, diagram&#10;&#10;Opis wygenerowany automatyczni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5182870"/>
                    </a:xfrm>
                    <a:prstGeom prst="rect">
                      <a:avLst/>
                    </a:prstGeom>
                  </pic:spPr>
                </pic:pic>
              </a:graphicData>
            </a:graphic>
          </wp:inline>
        </w:drawing>
      </w:r>
    </w:p>
    <w:p w14:paraId="064D0501" w14:textId="77777777" w:rsidR="00C85549" w:rsidRPr="009B78DA" w:rsidRDefault="00C85549" w:rsidP="007D1CB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Źródło: Opracowanie własne.</w:t>
      </w:r>
    </w:p>
    <w:p w14:paraId="12099868" w14:textId="7BE32E69" w:rsidR="003A4A53" w:rsidRPr="009B78DA" w:rsidRDefault="003A4A53" w:rsidP="007D1CB1">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Średnia gęstość zaludnienia województwa w roku 20</w:t>
      </w:r>
      <w:r w:rsidR="000E4820" w:rsidRPr="009B78DA">
        <w:rPr>
          <w:rFonts w:ascii="Arial" w:hAnsi="Arial" w:cs="Arial"/>
          <w:color w:val="000000" w:themeColor="text1"/>
          <w:sz w:val="22"/>
          <w:szCs w:val="22"/>
        </w:rPr>
        <w:t>21</w:t>
      </w:r>
      <w:r w:rsidRPr="009B78DA">
        <w:rPr>
          <w:rFonts w:ascii="Arial" w:hAnsi="Arial" w:cs="Arial"/>
          <w:color w:val="000000" w:themeColor="text1"/>
          <w:sz w:val="22"/>
          <w:szCs w:val="22"/>
        </w:rPr>
        <w:t xml:space="preserve"> r. wyniosła </w:t>
      </w:r>
      <w:r w:rsidR="000E4820" w:rsidRPr="009B78DA">
        <w:rPr>
          <w:rFonts w:ascii="Arial" w:hAnsi="Arial" w:cs="Arial"/>
          <w:color w:val="000000" w:themeColor="text1"/>
          <w:sz w:val="22"/>
          <w:szCs w:val="22"/>
        </w:rPr>
        <w:t>117</w:t>
      </w:r>
      <w:r w:rsidRPr="009B78DA">
        <w:rPr>
          <w:rFonts w:ascii="Arial" w:hAnsi="Arial" w:cs="Arial"/>
          <w:color w:val="000000" w:themeColor="text1"/>
          <w:sz w:val="22"/>
          <w:szCs w:val="22"/>
        </w:rPr>
        <w:t xml:space="preserve"> os/k</w:t>
      </w:r>
      <w:r w:rsidR="0035115C" w:rsidRPr="009B78DA">
        <w:rPr>
          <w:rFonts w:ascii="Arial" w:hAnsi="Arial" w:cs="Arial"/>
          <w:color w:val="000000" w:themeColor="text1"/>
          <w:sz w:val="22"/>
          <w:szCs w:val="22"/>
        </w:rPr>
        <w:t>m</w:t>
      </w:r>
      <w:r w:rsidR="0035115C" w:rsidRPr="009B78DA">
        <w:rPr>
          <w:rFonts w:ascii="Arial" w:hAnsi="Arial" w:cs="Arial"/>
          <w:color w:val="000000" w:themeColor="text1"/>
          <w:sz w:val="22"/>
          <w:szCs w:val="22"/>
          <w:vertAlign w:val="superscript"/>
        </w:rPr>
        <w:t>2</w:t>
      </w:r>
      <w:r w:rsidRPr="009B78DA">
        <w:rPr>
          <w:rFonts w:ascii="Arial" w:hAnsi="Arial" w:cs="Arial"/>
          <w:color w:val="000000" w:themeColor="text1"/>
          <w:sz w:val="22"/>
          <w:szCs w:val="22"/>
        </w:rPr>
        <w:t xml:space="preserve">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(w Polsce 12</w:t>
      </w:r>
      <w:r w:rsidR="000E4820" w:rsidRPr="009B78DA">
        <w:rPr>
          <w:rFonts w:ascii="Arial" w:hAnsi="Arial" w:cs="Arial"/>
          <w:color w:val="000000" w:themeColor="text1"/>
          <w:sz w:val="22"/>
          <w:szCs w:val="22"/>
        </w:rPr>
        <w:t>1</w:t>
      </w:r>
      <w:r w:rsidRPr="009B78DA">
        <w:rPr>
          <w:rFonts w:ascii="Arial" w:hAnsi="Arial" w:cs="Arial"/>
          <w:color w:val="000000" w:themeColor="text1"/>
          <w:sz w:val="22"/>
          <w:szCs w:val="22"/>
        </w:rPr>
        <w:t xml:space="preserve"> </w:t>
      </w:r>
      <w:r w:rsidR="0035115C" w:rsidRPr="009B78DA">
        <w:rPr>
          <w:rFonts w:ascii="Arial" w:hAnsi="Arial" w:cs="Arial"/>
          <w:color w:val="000000" w:themeColor="text1"/>
          <w:sz w:val="22"/>
          <w:szCs w:val="22"/>
        </w:rPr>
        <w:t>os/km</w:t>
      </w:r>
      <w:r w:rsidR="0035115C" w:rsidRPr="009B78DA">
        <w:rPr>
          <w:rFonts w:ascii="Arial" w:hAnsi="Arial" w:cs="Arial"/>
          <w:color w:val="000000" w:themeColor="text1"/>
          <w:sz w:val="22"/>
          <w:szCs w:val="22"/>
          <w:vertAlign w:val="superscript"/>
        </w:rPr>
        <w:t>2</w:t>
      </w:r>
      <w:r w:rsidRPr="009B78DA">
        <w:rPr>
          <w:rFonts w:ascii="Arial" w:hAnsi="Arial" w:cs="Arial"/>
          <w:color w:val="000000" w:themeColor="text1"/>
          <w:sz w:val="22"/>
          <w:szCs w:val="22"/>
        </w:rPr>
        <w:t>). Zróżnicowanie gęstości zaludnienia na poziomie gmin województwa wskazuje na pasmową koncentrację ludności</w:t>
      </w:r>
      <w:r w:rsidR="0035115C"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wzdłuż korytarzy transportowych. Oprócz korytarza równoleżnikowego nawiązującego do autostrady A4 i linii kolejowej E30, koncentracja ludności występuje także wzdłuż korytarzy: Pilzno – Jasło – Krosno – Sanok; Stalowa Wola – Leżajsk –</w:t>
      </w:r>
      <w:r w:rsidR="00E95C2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Jarosław; Dębica – Mielec – Tarnobrzeg </w:t>
      </w:r>
      <w:r w:rsidR="0035115C"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Stalowa Wola. Najsłabiej zaludniona jest północno-wschodnia (zwłaszcza powiat lubaczowski) i południowo-wschodnia część województwa: Bieszczady, Beskid Niski oraz tereny Pogórzy: Dynowskiego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i Przemyskiego</w:t>
      </w:r>
      <w:r w:rsidR="00DB70D8" w:rsidRPr="009B78DA">
        <w:rPr>
          <w:rFonts w:ascii="Arial" w:hAnsi="Arial" w:cs="Arial"/>
          <w:color w:val="000000" w:themeColor="text1"/>
          <w:sz w:val="22"/>
          <w:szCs w:val="22"/>
        </w:rPr>
        <w:t xml:space="preserve"> (obszary o wysokim potencjale turystycznym)</w:t>
      </w:r>
      <w:r w:rsidRPr="009B78DA">
        <w:rPr>
          <w:rFonts w:ascii="Arial" w:hAnsi="Arial" w:cs="Arial"/>
          <w:color w:val="000000" w:themeColor="text1"/>
          <w:sz w:val="22"/>
          <w:szCs w:val="22"/>
        </w:rPr>
        <w:t xml:space="preserve">. Ludność województwa podkarpackiego cechuje </w:t>
      </w:r>
      <w:r w:rsidR="00C85549" w:rsidRPr="009B78DA">
        <w:rPr>
          <w:rFonts w:ascii="Arial" w:hAnsi="Arial" w:cs="Arial"/>
          <w:color w:val="000000" w:themeColor="text1"/>
          <w:sz w:val="22"/>
          <w:szCs w:val="22"/>
        </w:rPr>
        <w:t xml:space="preserve">zróżnicowany </w:t>
      </w:r>
      <w:r w:rsidRPr="009B78DA">
        <w:rPr>
          <w:rFonts w:ascii="Arial" w:hAnsi="Arial" w:cs="Arial"/>
          <w:color w:val="000000" w:themeColor="text1"/>
          <w:sz w:val="22"/>
          <w:szCs w:val="22"/>
        </w:rPr>
        <w:t xml:space="preserve">poziom przyrostu naturalnego, tj. różnicy między liczbą urodzeń żywych i zgonów. W przeliczeniu na 1000 mieszkańców województwa, </w:t>
      </w:r>
      <w:r w:rsidR="007D1CB1">
        <w:rPr>
          <w:rFonts w:ascii="Arial" w:hAnsi="Arial" w:cs="Arial"/>
          <w:color w:val="000000" w:themeColor="text1"/>
          <w:sz w:val="22"/>
          <w:szCs w:val="22"/>
        </w:rPr>
        <w:br/>
      </w:r>
      <w:r w:rsidRPr="009B78DA">
        <w:rPr>
          <w:rFonts w:ascii="Arial" w:hAnsi="Arial" w:cs="Arial"/>
          <w:color w:val="000000" w:themeColor="text1"/>
          <w:sz w:val="22"/>
          <w:szCs w:val="22"/>
        </w:rPr>
        <w:t>w 20</w:t>
      </w:r>
      <w:r w:rsidR="000E4820" w:rsidRPr="009B78DA">
        <w:rPr>
          <w:rFonts w:ascii="Arial" w:hAnsi="Arial" w:cs="Arial"/>
          <w:color w:val="000000" w:themeColor="text1"/>
          <w:sz w:val="22"/>
          <w:szCs w:val="22"/>
        </w:rPr>
        <w:t>21</w:t>
      </w:r>
      <w:r w:rsidRPr="009B78DA">
        <w:rPr>
          <w:rFonts w:ascii="Arial" w:hAnsi="Arial" w:cs="Arial"/>
          <w:color w:val="000000" w:themeColor="text1"/>
          <w:sz w:val="22"/>
          <w:szCs w:val="22"/>
        </w:rPr>
        <w:t xml:space="preserve"> r. wskaźnik ten wyniósł </w:t>
      </w:r>
      <w:r w:rsidR="000E4820" w:rsidRPr="009B78DA">
        <w:rPr>
          <w:rFonts w:ascii="Arial" w:hAnsi="Arial" w:cs="Arial"/>
          <w:color w:val="000000" w:themeColor="text1"/>
          <w:sz w:val="22"/>
          <w:szCs w:val="22"/>
        </w:rPr>
        <w:t>-4,1</w:t>
      </w:r>
      <w:r w:rsidRPr="009B78DA">
        <w:rPr>
          <w:rFonts w:ascii="Arial" w:hAnsi="Arial" w:cs="Arial"/>
          <w:color w:val="000000" w:themeColor="text1"/>
          <w:sz w:val="22"/>
          <w:szCs w:val="22"/>
        </w:rPr>
        <w:t xml:space="preserve"> (w kraju -</w:t>
      </w:r>
      <w:r w:rsidR="000E4820" w:rsidRPr="009B78DA">
        <w:rPr>
          <w:rFonts w:ascii="Arial" w:hAnsi="Arial" w:cs="Arial"/>
          <w:color w:val="000000" w:themeColor="text1"/>
          <w:sz w:val="22"/>
          <w:szCs w:val="22"/>
        </w:rPr>
        <w:t>2,2</w:t>
      </w:r>
      <w:r w:rsidRPr="009B78DA">
        <w:rPr>
          <w:rFonts w:ascii="Arial" w:hAnsi="Arial" w:cs="Arial"/>
          <w:color w:val="000000" w:themeColor="text1"/>
          <w:sz w:val="22"/>
          <w:szCs w:val="22"/>
        </w:rPr>
        <w:t>). Drugim, obok przyrostu naturalnego, czynnikiem mającym istotny wpływ na stan zaludnienia są migracje ludności. W 20</w:t>
      </w:r>
      <w:r w:rsidR="00BF53CC" w:rsidRPr="009B78DA">
        <w:rPr>
          <w:rFonts w:ascii="Arial" w:hAnsi="Arial" w:cs="Arial"/>
          <w:color w:val="000000" w:themeColor="text1"/>
          <w:sz w:val="22"/>
          <w:szCs w:val="22"/>
        </w:rPr>
        <w:t>22</w:t>
      </w:r>
      <w:r w:rsidRPr="009B78DA">
        <w:rPr>
          <w:rFonts w:ascii="Arial" w:hAnsi="Arial" w:cs="Arial"/>
          <w:color w:val="000000" w:themeColor="text1"/>
          <w:sz w:val="22"/>
          <w:szCs w:val="22"/>
        </w:rPr>
        <w:t xml:space="preserve"> r.</w:t>
      </w:r>
      <w:r w:rsidR="00C85549" w:rsidRPr="009B78DA">
        <w:rPr>
          <w:rFonts w:ascii="Arial" w:hAnsi="Arial" w:cs="Arial"/>
          <w:color w:val="000000" w:themeColor="text1"/>
          <w:sz w:val="22"/>
          <w:szCs w:val="22"/>
        </w:rPr>
        <w:t xml:space="preserve"> </w:t>
      </w:r>
      <w:r w:rsidR="007D1CB1">
        <w:rPr>
          <w:rFonts w:ascii="Arial" w:hAnsi="Arial" w:cs="Arial"/>
          <w:color w:val="000000" w:themeColor="text1"/>
          <w:sz w:val="22"/>
          <w:szCs w:val="22"/>
        </w:rPr>
        <w:br/>
      </w:r>
      <w:r w:rsidRPr="009B78DA">
        <w:rPr>
          <w:rFonts w:ascii="Arial" w:hAnsi="Arial" w:cs="Arial"/>
          <w:color w:val="000000" w:themeColor="text1"/>
          <w:sz w:val="22"/>
          <w:szCs w:val="22"/>
        </w:rPr>
        <w:t>w</w:t>
      </w:r>
      <w:r w:rsidR="00C85549"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województwie podkarpackim – podobnie jak w latach poprzednich – odpływ ludności (wymeldowania z pobytu stałego) był większy od napływu ludności (zameldowania na pobyt stały). Wielkość i kierunek migracji oraz jej natężenie najczęściej determinowane są przez stopień rozwoju gospodarczego i ekonomiczną sytuację regionu. Ludność poszukuje lepszych warunków życia, a do pracy dojeżdża poza miejsce zamieszkania. Pasmowy układ koncentracji ludności jest czynnikiem przemawiającym za koncentracją inwestycji transportowych w wybranych układach korytarzowych, zapewniających poprawę dostępności </w:t>
      </w:r>
      <w:r w:rsidR="0035115C" w:rsidRPr="009B78DA">
        <w:rPr>
          <w:rFonts w:ascii="Arial" w:hAnsi="Arial" w:cs="Arial"/>
          <w:color w:val="000000" w:themeColor="text1"/>
          <w:sz w:val="22"/>
          <w:szCs w:val="22"/>
        </w:rPr>
        <w:t>komunikacyjne</w:t>
      </w:r>
      <w:r w:rsidR="006E7B41" w:rsidRPr="009B78DA">
        <w:rPr>
          <w:rFonts w:ascii="Arial" w:hAnsi="Arial" w:cs="Arial"/>
          <w:color w:val="000000" w:themeColor="text1"/>
          <w:sz w:val="22"/>
          <w:szCs w:val="22"/>
        </w:rPr>
        <w:t xml:space="preserve">j </w:t>
      </w:r>
      <w:r w:rsidRPr="009B78DA">
        <w:rPr>
          <w:rFonts w:ascii="Arial" w:hAnsi="Arial" w:cs="Arial"/>
          <w:color w:val="000000" w:themeColor="text1"/>
          <w:sz w:val="22"/>
          <w:szCs w:val="22"/>
        </w:rPr>
        <w:t xml:space="preserve">dla dużych grup mieszkańców województwa podkarpackiego. Istnienie stref peryferyjnych o niskiej gęstości zaludnienia i </w:t>
      </w:r>
      <w:r w:rsidR="0035115C" w:rsidRPr="009B78DA">
        <w:rPr>
          <w:rFonts w:ascii="Arial" w:hAnsi="Arial" w:cs="Arial"/>
          <w:color w:val="000000" w:themeColor="text1"/>
          <w:sz w:val="22"/>
          <w:szCs w:val="22"/>
        </w:rPr>
        <w:t>zachodzących procesach</w:t>
      </w:r>
      <w:r w:rsidR="006E7B4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depopulacji przemawia za koniecznością doposażenia tych obszarów zwłaszcza w obsługę ze</w:t>
      </w:r>
      <w:r w:rsidR="00A1592F" w:rsidRPr="009B78DA">
        <w:rPr>
          <w:rFonts w:ascii="Arial" w:hAnsi="Arial" w:cs="Arial"/>
          <w:color w:val="000000" w:themeColor="text1"/>
          <w:sz w:val="22"/>
          <w:szCs w:val="22"/>
        </w:rPr>
        <w:t xml:space="preserve"> strony transportu publicznego.</w:t>
      </w:r>
    </w:p>
    <w:p w14:paraId="152878B8" w14:textId="0A5CDFC6" w:rsidR="003A4A53" w:rsidRPr="009B78DA" w:rsidRDefault="003A4A53" w:rsidP="007D1CB1">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Analizując sytuację gospodarczą województwa podkarpackiego należy zaznaczyć, iż region odnotował znaczny wzrost PKB. O sytuacji gospodarczej regionu świadczy także kondycja finansowa samorządów. Zauważalna jest silna pozycja miast </w:t>
      </w:r>
      <w:r w:rsidR="007D1CB1">
        <w:rPr>
          <w:rFonts w:ascii="Arial" w:hAnsi="Arial" w:cs="Arial"/>
          <w:color w:val="000000" w:themeColor="text1"/>
          <w:sz w:val="22"/>
          <w:szCs w:val="22"/>
        </w:rPr>
        <w:t>w ogólnym rozwoju województwa.</w:t>
      </w:r>
    </w:p>
    <w:p w14:paraId="4CABE164" w14:textId="1833835C" w:rsidR="00A1592F" w:rsidRPr="009B78DA" w:rsidRDefault="003A4A53" w:rsidP="007D1CB1">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Wraz z rozwojem społeczno-gospodarczym wpływ środowiska naturalnego na rozwój sieci transportowej jest znacznie mniejszy, ale nadal bardzo istotny. W województwie podkarpackim podstawowymi czynnikami przyrodniczymi kształtującymi przebieg sieci drogowej i kolejowej są: zróżnicowane warunki geologiczne, rzeźba terenu, tereny osuwiskowe, bogata sieć hydrograficzna, obszary powodziowe, lokalne warunki klimatyczne, duże kompleksy leśne, obszary chronione przyrodniczo, a pozaprzyrodniczymi – </w:t>
      </w:r>
      <w:r w:rsidR="0035115C" w:rsidRPr="009B78DA">
        <w:rPr>
          <w:rFonts w:ascii="Arial" w:hAnsi="Arial" w:cs="Arial"/>
          <w:color w:val="000000" w:themeColor="text1"/>
          <w:sz w:val="22"/>
          <w:szCs w:val="22"/>
        </w:rPr>
        <w:t>często historycznie uwarunkowane</w:t>
      </w:r>
      <w:r w:rsidRPr="009B78DA">
        <w:rPr>
          <w:rFonts w:ascii="Arial" w:hAnsi="Arial" w:cs="Arial"/>
          <w:color w:val="000000" w:themeColor="text1"/>
          <w:sz w:val="22"/>
          <w:szCs w:val="22"/>
        </w:rPr>
        <w:t xml:space="preserve"> rozmieszczenie ludności,</w:t>
      </w:r>
      <w:r w:rsidR="005E088A"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demografia oraz czy</w:t>
      </w:r>
      <w:r w:rsidR="00F45E35" w:rsidRPr="009B78DA">
        <w:rPr>
          <w:rFonts w:ascii="Arial" w:hAnsi="Arial" w:cs="Arial"/>
          <w:color w:val="000000" w:themeColor="text1"/>
          <w:sz w:val="22"/>
          <w:szCs w:val="22"/>
        </w:rPr>
        <w:t xml:space="preserve">nniki polityczne </w:t>
      </w:r>
      <w:r w:rsidR="00C31D8B" w:rsidRPr="009B78DA">
        <w:rPr>
          <w:rFonts w:ascii="Arial" w:hAnsi="Arial" w:cs="Arial"/>
          <w:color w:val="000000" w:themeColor="text1"/>
          <w:sz w:val="22"/>
          <w:szCs w:val="22"/>
        </w:rPr>
        <w:br/>
      </w:r>
      <w:r w:rsidR="00A1592F" w:rsidRPr="009B78DA">
        <w:rPr>
          <w:rFonts w:ascii="Arial" w:hAnsi="Arial" w:cs="Arial"/>
          <w:color w:val="000000" w:themeColor="text1"/>
          <w:sz w:val="22"/>
          <w:szCs w:val="22"/>
        </w:rPr>
        <w:t>i ekonomiczne.</w:t>
      </w:r>
    </w:p>
    <w:p w14:paraId="78F29C28" w14:textId="572C02EA" w:rsidR="00A1592F" w:rsidRPr="009B78DA" w:rsidRDefault="003A4A53" w:rsidP="007D1CB1">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Budowa geologiczna i rzeźba terenu województwa podkarpackiego, ale także niewłaściwe zagospodarowanie danego terenu np. usunięcie szaty roślinnej ze stoków, mechaniczne podcięcia zboczy, obciążenie podłoża różnego typu budowlami (budynki, nasypy), intensywny ruch komunikacyjny czy zmiana warunków hydrogeologicznych sprzyjają powstawaniu osuwisk. Występowanie zjawiska tego typu najczęściej obserwowane jest na stokach w południowej części województwa, w obrębie Karpat fliszowych. Szczególnie duże nasilenie procesów osuwiskowych występuje w paśmie Pogórzy Strzyżowskiego, Dynowskiego i Przemyskiego, na obszarze Beskidu Niskiego </w:t>
      </w:r>
      <w:r w:rsidR="00692599">
        <w:rPr>
          <w:rFonts w:ascii="Arial" w:hAnsi="Arial" w:cs="Arial"/>
          <w:color w:val="000000" w:themeColor="text1"/>
          <w:sz w:val="22"/>
          <w:szCs w:val="22"/>
        </w:rPr>
        <w:br/>
      </w:r>
      <w:r w:rsidRPr="009B78DA">
        <w:rPr>
          <w:rFonts w:ascii="Arial" w:hAnsi="Arial" w:cs="Arial"/>
          <w:color w:val="000000" w:themeColor="text1"/>
          <w:sz w:val="22"/>
          <w:szCs w:val="22"/>
        </w:rPr>
        <w:t xml:space="preserve">i Bieszczadów. W północnej części województwa (obszar Kotliny Sandomierskiej), zjawiska osuwiskowe ze względu na niewielkie deniwelacje terenu należą do rzadkości i występują głównie w </w:t>
      </w:r>
      <w:r w:rsidR="00A1592F" w:rsidRPr="009B78DA">
        <w:rPr>
          <w:rFonts w:ascii="Arial" w:hAnsi="Arial" w:cs="Arial"/>
          <w:color w:val="000000" w:themeColor="text1"/>
          <w:sz w:val="22"/>
          <w:szCs w:val="22"/>
        </w:rPr>
        <w:t xml:space="preserve">obrębie </w:t>
      </w:r>
      <w:r w:rsidR="000F0458" w:rsidRPr="009B78DA">
        <w:rPr>
          <w:rFonts w:ascii="Arial" w:hAnsi="Arial" w:cs="Arial"/>
          <w:color w:val="000000" w:themeColor="text1"/>
          <w:sz w:val="22"/>
          <w:szCs w:val="22"/>
        </w:rPr>
        <w:t xml:space="preserve">dużych </w:t>
      </w:r>
      <w:r w:rsidR="00A1592F" w:rsidRPr="009B78DA">
        <w:rPr>
          <w:rFonts w:ascii="Arial" w:hAnsi="Arial" w:cs="Arial"/>
          <w:color w:val="000000" w:themeColor="text1"/>
          <w:sz w:val="22"/>
          <w:szCs w:val="22"/>
        </w:rPr>
        <w:t>teras rzecznych.</w:t>
      </w:r>
    </w:p>
    <w:p w14:paraId="1F1EC9BC" w14:textId="01432C98" w:rsidR="000D69C5" w:rsidRPr="009B78DA" w:rsidRDefault="000D69C5" w:rsidP="007D1CB1">
      <w:pPr>
        <w:pStyle w:val="Legenda"/>
        <w:keepNext/>
        <w:rPr>
          <w:rFonts w:ascii="Arial" w:hAnsi="Arial" w:cs="Arial"/>
          <w:i w:val="0"/>
          <w:color w:val="000000" w:themeColor="text1"/>
          <w:sz w:val="22"/>
          <w:szCs w:val="22"/>
        </w:rPr>
      </w:pPr>
      <w:bookmarkStart w:id="41" w:name="_Toc146785632"/>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Obszary osuwiskowe na terenie województwa podkarpackiego (stan w 2019 r.)</w:t>
      </w:r>
      <w:bookmarkEnd w:id="41"/>
    </w:p>
    <w:p w14:paraId="319A9B27" w14:textId="319D200D" w:rsidR="00832701" w:rsidRPr="009B78DA" w:rsidRDefault="00832701" w:rsidP="00832701">
      <w:pPr>
        <w:spacing w:line="276" w:lineRule="auto"/>
        <w:jc w:val="center"/>
        <w:rPr>
          <w:rFonts w:ascii="Arial" w:hAnsi="Arial" w:cs="Arial"/>
          <w:color w:val="000000" w:themeColor="text1"/>
          <w:sz w:val="22"/>
          <w:szCs w:val="22"/>
        </w:rPr>
      </w:pPr>
      <w:r w:rsidRPr="009B78DA">
        <w:rPr>
          <w:b/>
          <w:noProof/>
          <w:color w:val="000000" w:themeColor="text1"/>
          <w:sz w:val="18"/>
          <w:szCs w:val="18"/>
        </w:rPr>
        <w:drawing>
          <wp:inline distT="0" distB="0" distL="0" distR="0" wp14:anchorId="73E35AF3" wp14:editId="761DB989">
            <wp:extent cx="3830128" cy="4902827"/>
            <wp:effectExtent l="0" t="0" r="0" b="0"/>
            <wp:docPr id="50" name="Obraz 50" descr="Od Pilzno, Dębica, Ropczyce, Sędziszów Małopolski, Boguchwała , Rzeszów, Łańcut, Kańczuga, Roźwienica, Rokietnica, Żurawica, Przemyśl na południe występują obszary potencjalnych osuwisk. Ponadto od Gminy Czarna, Pilzno, Dzwonowa, Skołyszyn, Jasło, Dębowiec, Osiek Jasielski, Krępna, Jaśliska, Zarszyn, Brzozów, Niebylec, Błażowa, Hyżne, Dubiecko, Bircza , Fredropol, Przemyśl, Żurawica, Radymno, Laszki, Wiązownica, Jarosław, Zarzecze, Łańcut, Trzebownisko, Głogów Małopolski,  Sokołów Małopolski, Kamień, Świlcza, Żyraków i gminy wewnątrz oraz Zaklików, Radomysł nad Sanem, Zaleszany, Pysznica, Stalowa Wola, Bojanów to gminy posiadające mapy osuwisk i terenów zagrożonych ruchami masowymi (SOPO). Czerwona linia zaznaczono granice Karpat Zewnętrznych " title="Rysunek 3 Obszary osuwiskowe na terenie województwa podkarpackiego (stan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830128" cy="4902827"/>
                    </a:xfrm>
                    <a:prstGeom prst="rect">
                      <a:avLst/>
                    </a:prstGeom>
                    <a:noFill/>
                    <a:ln>
                      <a:noFill/>
                    </a:ln>
                  </pic:spPr>
                </pic:pic>
              </a:graphicData>
            </a:graphic>
          </wp:inline>
        </w:drawing>
      </w:r>
    </w:p>
    <w:p w14:paraId="66C10946" w14:textId="426B8E49" w:rsidR="008857C1" w:rsidRPr="009B78DA" w:rsidRDefault="00832701" w:rsidP="00692599">
      <w:pPr>
        <w:spacing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Diagnoza stanu systemu transportowego w województwie podkarpackim, PBPP </w:t>
      </w:r>
      <w:r w:rsidRPr="009B78DA">
        <w:rPr>
          <w:rFonts w:ascii="Arial" w:hAnsi="Arial" w:cs="Arial"/>
          <w:color w:val="000000" w:themeColor="text1"/>
          <w:sz w:val="22"/>
          <w:szCs w:val="22"/>
        </w:rPr>
        <w:br/>
        <w:t>w Rzeszowie, 2020</w:t>
      </w:r>
      <w:r w:rsidR="001E00EE" w:rsidRPr="009B78DA">
        <w:rPr>
          <w:rFonts w:ascii="Arial" w:hAnsi="Arial" w:cs="Arial"/>
          <w:color w:val="000000" w:themeColor="text1"/>
          <w:sz w:val="22"/>
          <w:szCs w:val="22"/>
        </w:rPr>
        <w:t>/2021</w:t>
      </w:r>
      <w:r w:rsidRPr="009B78DA">
        <w:rPr>
          <w:rFonts w:ascii="Arial" w:hAnsi="Arial" w:cs="Arial"/>
          <w:color w:val="000000" w:themeColor="text1"/>
          <w:sz w:val="22"/>
          <w:szCs w:val="22"/>
        </w:rPr>
        <w:t xml:space="preserve">. </w:t>
      </w:r>
    </w:p>
    <w:p w14:paraId="0E5D9AC7" w14:textId="4DE94DA1" w:rsidR="00A1592F"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Duże znaczenie dla rozwoju systemu transportowego mają wody powierzchniowe, często stanowiące barierę rozwoju infrastruktury komunikacyjnej. Sieć hydrograficzna województwa podkarpackiego jest dobrze rozwinięta. Województwo położone jest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w dorzeczach trzech rzek: Sanu, Wisłoka i Wisłoki, przy czym San jest zasilany wodami Wisłoka</w:t>
      </w:r>
      <w:r w:rsidR="000F045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a Wisłoka stanowi dopływ Wisły, wyznaczającej północno-zachodnią granicę województwa podkarpackiego</w:t>
      </w:r>
      <w:r w:rsidR="00260D4B"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Poziom zagrożenia powodziowego województwa jest wyższy od przeciętnego zagrożenia powodziowego w Polsce. Na terenie województwa podkarpackiego jest ok. 280 tys. ha terenów zagrożonych zalaniem lub podtopieniem przez wody z roztopów wiosennych</w:t>
      </w:r>
      <w:r w:rsidR="000F045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albo letnich opadów atmosferycznych. Największe obszary zalewowe zlokalizowane są w dolinach rzek: Wisły, Sanu, Wisłok</w:t>
      </w:r>
      <w:r w:rsidR="00A1592F" w:rsidRPr="009B78DA">
        <w:rPr>
          <w:rFonts w:ascii="Arial" w:hAnsi="Arial" w:cs="Arial"/>
          <w:color w:val="000000" w:themeColor="text1"/>
          <w:sz w:val="22"/>
          <w:szCs w:val="22"/>
        </w:rPr>
        <w:t>i i Wisłoka oraz ich dopływach.</w:t>
      </w:r>
    </w:p>
    <w:p w14:paraId="38077BAA" w14:textId="01971286" w:rsidR="003A4A53"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Kolejnym istotnym ograniczeniem podnoszącym koszty realizacji liniowych inwestycji transportowych są cenne zasoby przyrodnicze województwa, stanowiące ważny element „zielonej infrastruktury” Europy i wymagające szczególnej ochrony. Niemal połowa województwa podkarpackiego (44,9%) objęta jest zróżnicowanym reżimem ochronnym,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a niektóre gminy zwłaszcza o małej dostępności komunikacyjnej, w całości lub w znacznej części objęte są różnymi formami ochrony. Korytarze ekologiczne o znaczeniu paneuropejskim oraz pozostałe, istotne dla zachowania krajowych ciągów migracyjnych zwierząt </w:t>
      </w:r>
      <w:r w:rsidR="00FE0095" w:rsidRPr="009B78DA">
        <w:rPr>
          <w:rFonts w:ascii="Arial" w:hAnsi="Arial" w:cs="Arial"/>
          <w:color w:val="000000" w:themeColor="text1"/>
          <w:sz w:val="22"/>
          <w:szCs w:val="22"/>
        </w:rPr>
        <w:t>korytarze ekologiczne</w:t>
      </w:r>
      <w:r w:rsidR="006E7B41" w:rsidRPr="009B78DA">
        <w:rPr>
          <w:rStyle w:val="Odwoaniedokomentarza"/>
          <w:color w:val="000000" w:themeColor="text1"/>
        </w:rPr>
        <w:t xml:space="preserve"> </w:t>
      </w:r>
      <w:r w:rsidRPr="009B78DA">
        <w:rPr>
          <w:rFonts w:ascii="Arial" w:hAnsi="Arial" w:cs="Arial"/>
          <w:color w:val="000000" w:themeColor="text1"/>
          <w:sz w:val="22"/>
          <w:szCs w:val="22"/>
        </w:rPr>
        <w:t>są przecinane siecią dróg i torów kolejowych. W miejscach konfliktów powinny być stosowane rozwiązania infrastrukturalne chroniące zwierzęta (np. przepusty drogowe). Przy budowie dróg szybkiego ruchu rozwiązania takie są obecnie standardem. Bogata sieć rzeczna województwa skutkuje koniecznością budowy mostów, które pełnią także rolę dolnych przejść dla zwierząt, zwłaszcza że większość rzek województwa (wraz z dopływami) objęta jest Obszarami Specjalne</w:t>
      </w:r>
      <w:r w:rsidR="00A1592F" w:rsidRPr="009B78DA">
        <w:rPr>
          <w:rFonts w:ascii="Arial" w:hAnsi="Arial" w:cs="Arial"/>
          <w:color w:val="000000" w:themeColor="text1"/>
          <w:sz w:val="22"/>
          <w:szCs w:val="22"/>
        </w:rPr>
        <w:t>j Ochrony Siedlisk Natura 2000.</w:t>
      </w:r>
    </w:p>
    <w:p w14:paraId="79AB44ED" w14:textId="77C54A8B" w:rsidR="000B0A64" w:rsidRPr="009B78DA" w:rsidRDefault="000F1A47"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Kluczowym wyzwaniem, które podejmuje niniejszy Program jest</w:t>
      </w:r>
      <w:r w:rsidR="001D23BF" w:rsidRPr="009B78DA">
        <w:rPr>
          <w:rFonts w:ascii="Arial" w:hAnsi="Arial" w:cs="Arial"/>
          <w:color w:val="000000" w:themeColor="text1"/>
          <w:sz w:val="22"/>
          <w:szCs w:val="22"/>
        </w:rPr>
        <w:t xml:space="preserve"> konieczność</w:t>
      </w:r>
      <w:r w:rsidRPr="009B78DA">
        <w:rPr>
          <w:rFonts w:ascii="Arial" w:hAnsi="Arial" w:cs="Arial"/>
          <w:color w:val="000000" w:themeColor="text1"/>
          <w:sz w:val="22"/>
          <w:szCs w:val="22"/>
        </w:rPr>
        <w:t xml:space="preserve"> adaptacj</w:t>
      </w:r>
      <w:r w:rsidR="001D23BF" w:rsidRPr="009B78DA">
        <w:rPr>
          <w:rFonts w:ascii="Arial" w:hAnsi="Arial" w:cs="Arial"/>
          <w:color w:val="000000" w:themeColor="text1"/>
          <w:sz w:val="22"/>
          <w:szCs w:val="22"/>
        </w:rPr>
        <w:t>i</w:t>
      </w:r>
      <w:r w:rsidRPr="009B78DA">
        <w:rPr>
          <w:rFonts w:ascii="Arial" w:hAnsi="Arial" w:cs="Arial"/>
          <w:color w:val="000000" w:themeColor="text1"/>
          <w:sz w:val="22"/>
          <w:szCs w:val="22"/>
        </w:rPr>
        <w:t xml:space="preserve"> do możliwych zmian klimatu. Dzięki odpowiedniemu przygotowaniu do zmian klimat</w:t>
      </w:r>
      <w:r w:rsidR="001D23BF" w:rsidRPr="009B78DA">
        <w:rPr>
          <w:rFonts w:ascii="Arial" w:hAnsi="Arial" w:cs="Arial"/>
          <w:color w:val="000000" w:themeColor="text1"/>
          <w:sz w:val="22"/>
          <w:szCs w:val="22"/>
        </w:rPr>
        <w:t>ycznych</w:t>
      </w:r>
      <w:r w:rsidRPr="009B78DA">
        <w:rPr>
          <w:rFonts w:ascii="Arial" w:hAnsi="Arial" w:cs="Arial"/>
          <w:color w:val="000000" w:themeColor="text1"/>
          <w:sz w:val="22"/>
          <w:szCs w:val="22"/>
        </w:rPr>
        <w:t xml:space="preserve"> system transportowy wykaże się odpornością oraz będzie w stanie dostarczyć </w:t>
      </w:r>
      <w:r w:rsidR="0025796B" w:rsidRPr="009B78DA">
        <w:rPr>
          <w:rFonts w:ascii="Arial" w:hAnsi="Arial" w:cs="Arial"/>
          <w:i/>
          <w:color w:val="000000" w:themeColor="text1"/>
          <w:sz w:val="22"/>
          <w:szCs w:val="22"/>
        </w:rPr>
        <w:t>odporne</w:t>
      </w:r>
      <w:r w:rsidRPr="009B78DA">
        <w:rPr>
          <w:rFonts w:ascii="Arial" w:hAnsi="Arial" w:cs="Arial"/>
          <w:i/>
          <w:color w:val="000000" w:themeColor="text1"/>
          <w:sz w:val="22"/>
          <w:szCs w:val="22"/>
        </w:rPr>
        <w:t xml:space="preserve"> usługi</w:t>
      </w:r>
      <w:r w:rsidRPr="009B78DA">
        <w:rPr>
          <w:rFonts w:ascii="Arial" w:hAnsi="Arial" w:cs="Arial"/>
          <w:color w:val="000000" w:themeColor="text1"/>
          <w:sz w:val="22"/>
          <w:szCs w:val="22"/>
        </w:rPr>
        <w:t>.</w:t>
      </w:r>
      <w:r w:rsidR="001D23BF" w:rsidRPr="009B78DA">
        <w:rPr>
          <w:rFonts w:ascii="Arial" w:hAnsi="Arial" w:cs="Arial"/>
          <w:color w:val="000000" w:themeColor="text1"/>
          <w:sz w:val="22"/>
          <w:szCs w:val="22"/>
        </w:rPr>
        <w:t xml:space="preserve"> Potrzeba wprowadzania adaptacji </w:t>
      </w:r>
      <w:r w:rsidR="00C87EBE" w:rsidRPr="009B78DA">
        <w:rPr>
          <w:rFonts w:ascii="Arial" w:hAnsi="Arial" w:cs="Arial"/>
          <w:color w:val="000000" w:themeColor="text1"/>
          <w:sz w:val="22"/>
          <w:szCs w:val="22"/>
        </w:rPr>
        <w:t xml:space="preserve">w procesie inwestycyjnym w sferze transportu ma m.in. związek z </w:t>
      </w:r>
      <w:r w:rsidR="00521AF4" w:rsidRPr="009B78DA">
        <w:rPr>
          <w:rFonts w:ascii="Arial" w:hAnsi="Arial" w:cs="Arial"/>
          <w:color w:val="000000" w:themeColor="text1"/>
          <w:sz w:val="22"/>
          <w:szCs w:val="22"/>
        </w:rPr>
        <w:t xml:space="preserve">podstawowymi uwarunkowaniami przyrodniczymi kształtującymi rozwój sieci transportowej w województwie podkarpackim </w:t>
      </w:r>
      <w:r w:rsidR="00C87EBE" w:rsidRPr="009B78DA">
        <w:rPr>
          <w:rFonts w:ascii="Arial" w:hAnsi="Arial" w:cs="Arial"/>
          <w:color w:val="000000" w:themeColor="text1"/>
          <w:sz w:val="22"/>
          <w:szCs w:val="22"/>
        </w:rPr>
        <w:t>czyli</w:t>
      </w:r>
      <w:r w:rsidR="00521AF4" w:rsidRPr="009B78DA">
        <w:rPr>
          <w:rFonts w:ascii="Arial" w:hAnsi="Arial" w:cs="Arial"/>
          <w:color w:val="000000" w:themeColor="text1"/>
          <w:sz w:val="22"/>
          <w:szCs w:val="22"/>
        </w:rPr>
        <w:t>: zróżnicowan</w:t>
      </w:r>
      <w:r w:rsidR="000C010D" w:rsidRPr="009B78DA">
        <w:rPr>
          <w:rFonts w:ascii="Arial" w:hAnsi="Arial" w:cs="Arial"/>
          <w:color w:val="000000" w:themeColor="text1"/>
          <w:sz w:val="22"/>
          <w:szCs w:val="22"/>
        </w:rPr>
        <w:t>i</w:t>
      </w:r>
      <w:r w:rsidR="00521AF4" w:rsidRPr="009B78DA">
        <w:rPr>
          <w:rFonts w:ascii="Arial" w:hAnsi="Arial" w:cs="Arial"/>
          <w:color w:val="000000" w:themeColor="text1"/>
          <w:sz w:val="22"/>
          <w:szCs w:val="22"/>
        </w:rPr>
        <w:t>e</w:t>
      </w:r>
      <w:r w:rsidR="00C87EBE" w:rsidRPr="009B78DA">
        <w:rPr>
          <w:rFonts w:ascii="Arial" w:hAnsi="Arial" w:cs="Arial"/>
          <w:color w:val="000000" w:themeColor="text1"/>
          <w:sz w:val="22"/>
          <w:szCs w:val="22"/>
        </w:rPr>
        <w:t>m</w:t>
      </w:r>
      <w:r w:rsidR="00521AF4" w:rsidRPr="009B78DA">
        <w:rPr>
          <w:rFonts w:ascii="Arial" w:hAnsi="Arial" w:cs="Arial"/>
          <w:color w:val="000000" w:themeColor="text1"/>
          <w:sz w:val="22"/>
          <w:szCs w:val="22"/>
        </w:rPr>
        <w:t xml:space="preserve"> geologiczn</w:t>
      </w:r>
      <w:r w:rsidR="00C87EBE" w:rsidRPr="009B78DA">
        <w:rPr>
          <w:rFonts w:ascii="Arial" w:hAnsi="Arial" w:cs="Arial"/>
          <w:color w:val="000000" w:themeColor="text1"/>
          <w:sz w:val="22"/>
          <w:szCs w:val="22"/>
        </w:rPr>
        <w:t>ym</w:t>
      </w:r>
      <w:r w:rsidR="00521AF4" w:rsidRPr="009B78DA">
        <w:rPr>
          <w:rFonts w:ascii="Arial" w:hAnsi="Arial" w:cs="Arial"/>
          <w:color w:val="000000" w:themeColor="text1"/>
          <w:sz w:val="22"/>
          <w:szCs w:val="22"/>
        </w:rPr>
        <w:t>, rzeźb</w:t>
      </w:r>
      <w:r w:rsidR="00C87EBE" w:rsidRPr="009B78DA">
        <w:rPr>
          <w:rFonts w:ascii="Arial" w:hAnsi="Arial" w:cs="Arial"/>
          <w:color w:val="000000" w:themeColor="text1"/>
          <w:sz w:val="22"/>
          <w:szCs w:val="22"/>
        </w:rPr>
        <w:t>ą</w:t>
      </w:r>
      <w:r w:rsidR="00521AF4" w:rsidRPr="009B78DA">
        <w:rPr>
          <w:rFonts w:ascii="Arial" w:hAnsi="Arial" w:cs="Arial"/>
          <w:color w:val="000000" w:themeColor="text1"/>
          <w:sz w:val="22"/>
          <w:szCs w:val="22"/>
        </w:rPr>
        <w:t xml:space="preserve"> terenu, teren</w:t>
      </w:r>
      <w:r w:rsidR="00C87EBE" w:rsidRPr="009B78DA">
        <w:rPr>
          <w:rFonts w:ascii="Arial" w:hAnsi="Arial" w:cs="Arial"/>
          <w:color w:val="000000" w:themeColor="text1"/>
          <w:sz w:val="22"/>
          <w:szCs w:val="22"/>
        </w:rPr>
        <w:t>ami</w:t>
      </w:r>
      <w:r w:rsidR="00521AF4" w:rsidRPr="009B78DA">
        <w:rPr>
          <w:rFonts w:ascii="Arial" w:hAnsi="Arial" w:cs="Arial"/>
          <w:color w:val="000000" w:themeColor="text1"/>
          <w:sz w:val="22"/>
          <w:szCs w:val="22"/>
        </w:rPr>
        <w:t xml:space="preserve"> osuwiskow</w:t>
      </w:r>
      <w:r w:rsidR="00C87EBE" w:rsidRPr="009B78DA">
        <w:rPr>
          <w:rFonts w:ascii="Arial" w:hAnsi="Arial" w:cs="Arial"/>
          <w:color w:val="000000" w:themeColor="text1"/>
          <w:sz w:val="22"/>
          <w:szCs w:val="22"/>
        </w:rPr>
        <w:t>ymi</w:t>
      </w:r>
      <w:r w:rsidR="00521AF4" w:rsidRPr="009B78DA">
        <w:rPr>
          <w:rFonts w:ascii="Arial" w:hAnsi="Arial" w:cs="Arial"/>
          <w:color w:val="000000" w:themeColor="text1"/>
          <w:sz w:val="22"/>
          <w:szCs w:val="22"/>
        </w:rPr>
        <w:t>, bogat</w:t>
      </w:r>
      <w:r w:rsidR="00C87EBE" w:rsidRPr="009B78DA">
        <w:rPr>
          <w:rFonts w:ascii="Arial" w:hAnsi="Arial" w:cs="Arial"/>
          <w:color w:val="000000" w:themeColor="text1"/>
          <w:sz w:val="22"/>
          <w:szCs w:val="22"/>
        </w:rPr>
        <w:t>ą</w:t>
      </w:r>
      <w:r w:rsidR="00521AF4" w:rsidRPr="009B78DA">
        <w:rPr>
          <w:rFonts w:ascii="Arial" w:hAnsi="Arial" w:cs="Arial"/>
          <w:color w:val="000000" w:themeColor="text1"/>
          <w:sz w:val="22"/>
          <w:szCs w:val="22"/>
        </w:rPr>
        <w:t xml:space="preserve"> sie</w:t>
      </w:r>
      <w:r w:rsidR="00C87EBE" w:rsidRPr="009B78DA">
        <w:rPr>
          <w:rFonts w:ascii="Arial" w:hAnsi="Arial" w:cs="Arial"/>
          <w:color w:val="000000" w:themeColor="text1"/>
          <w:sz w:val="22"/>
          <w:szCs w:val="22"/>
        </w:rPr>
        <w:t>cią</w:t>
      </w:r>
      <w:r w:rsidR="00521AF4" w:rsidRPr="009B78DA">
        <w:rPr>
          <w:rFonts w:ascii="Arial" w:hAnsi="Arial" w:cs="Arial"/>
          <w:color w:val="000000" w:themeColor="text1"/>
          <w:sz w:val="22"/>
          <w:szCs w:val="22"/>
        </w:rPr>
        <w:t xml:space="preserve"> hydrograficzn</w:t>
      </w:r>
      <w:r w:rsidR="00C87EBE" w:rsidRPr="009B78DA">
        <w:rPr>
          <w:rFonts w:ascii="Arial" w:hAnsi="Arial" w:cs="Arial"/>
          <w:color w:val="000000" w:themeColor="text1"/>
          <w:sz w:val="22"/>
          <w:szCs w:val="22"/>
        </w:rPr>
        <w:t>ą</w:t>
      </w:r>
      <w:r w:rsidR="00521AF4" w:rsidRPr="009B78DA">
        <w:rPr>
          <w:rFonts w:ascii="Arial" w:hAnsi="Arial" w:cs="Arial"/>
          <w:color w:val="000000" w:themeColor="text1"/>
          <w:sz w:val="22"/>
          <w:szCs w:val="22"/>
        </w:rPr>
        <w:t>, obszar</w:t>
      </w:r>
      <w:r w:rsidR="00C87EBE" w:rsidRPr="009B78DA">
        <w:rPr>
          <w:rFonts w:ascii="Arial" w:hAnsi="Arial" w:cs="Arial"/>
          <w:color w:val="000000" w:themeColor="text1"/>
          <w:sz w:val="22"/>
          <w:szCs w:val="22"/>
        </w:rPr>
        <w:t>ami</w:t>
      </w:r>
      <w:r w:rsidR="00521AF4" w:rsidRPr="009B78DA">
        <w:rPr>
          <w:rFonts w:ascii="Arial" w:hAnsi="Arial" w:cs="Arial"/>
          <w:color w:val="000000" w:themeColor="text1"/>
          <w:sz w:val="22"/>
          <w:szCs w:val="22"/>
        </w:rPr>
        <w:t xml:space="preserve"> powodziow</w:t>
      </w:r>
      <w:r w:rsidR="00C87EBE" w:rsidRPr="009B78DA">
        <w:rPr>
          <w:rFonts w:ascii="Arial" w:hAnsi="Arial" w:cs="Arial"/>
          <w:color w:val="000000" w:themeColor="text1"/>
          <w:sz w:val="22"/>
          <w:szCs w:val="22"/>
        </w:rPr>
        <w:t>ymi</w:t>
      </w:r>
      <w:r w:rsidR="00521AF4" w:rsidRPr="009B78DA">
        <w:rPr>
          <w:rFonts w:ascii="Arial" w:hAnsi="Arial" w:cs="Arial"/>
          <w:color w:val="000000" w:themeColor="text1"/>
          <w:sz w:val="22"/>
          <w:szCs w:val="22"/>
        </w:rPr>
        <w:t>, lokaln</w:t>
      </w:r>
      <w:r w:rsidR="00C87EBE" w:rsidRPr="009B78DA">
        <w:rPr>
          <w:rFonts w:ascii="Arial" w:hAnsi="Arial" w:cs="Arial"/>
          <w:color w:val="000000" w:themeColor="text1"/>
          <w:sz w:val="22"/>
          <w:szCs w:val="22"/>
        </w:rPr>
        <w:t>ymi</w:t>
      </w:r>
      <w:r w:rsidR="00521AF4" w:rsidRPr="009B78DA">
        <w:rPr>
          <w:rFonts w:ascii="Arial" w:hAnsi="Arial" w:cs="Arial"/>
          <w:color w:val="000000" w:themeColor="text1"/>
          <w:sz w:val="22"/>
          <w:szCs w:val="22"/>
        </w:rPr>
        <w:t xml:space="preserve"> warunk</w:t>
      </w:r>
      <w:r w:rsidR="00C87EBE" w:rsidRPr="009B78DA">
        <w:rPr>
          <w:rFonts w:ascii="Arial" w:hAnsi="Arial" w:cs="Arial"/>
          <w:color w:val="000000" w:themeColor="text1"/>
          <w:sz w:val="22"/>
          <w:szCs w:val="22"/>
        </w:rPr>
        <w:t>ami</w:t>
      </w:r>
      <w:r w:rsidR="00521AF4" w:rsidRPr="009B78DA">
        <w:rPr>
          <w:rFonts w:ascii="Arial" w:hAnsi="Arial" w:cs="Arial"/>
          <w:color w:val="000000" w:themeColor="text1"/>
          <w:sz w:val="22"/>
          <w:szCs w:val="22"/>
        </w:rPr>
        <w:t xml:space="preserve"> klimatyczn</w:t>
      </w:r>
      <w:r w:rsidR="00C87EBE" w:rsidRPr="009B78DA">
        <w:rPr>
          <w:rFonts w:ascii="Arial" w:hAnsi="Arial" w:cs="Arial"/>
          <w:color w:val="000000" w:themeColor="text1"/>
          <w:sz w:val="22"/>
          <w:szCs w:val="22"/>
        </w:rPr>
        <w:t>ymi</w:t>
      </w:r>
      <w:r w:rsidR="00521AF4" w:rsidRPr="009B78DA">
        <w:rPr>
          <w:rFonts w:ascii="Arial" w:hAnsi="Arial" w:cs="Arial"/>
          <w:color w:val="000000" w:themeColor="text1"/>
          <w:sz w:val="22"/>
          <w:szCs w:val="22"/>
        </w:rPr>
        <w:t>, duż</w:t>
      </w:r>
      <w:r w:rsidR="00C87EBE" w:rsidRPr="009B78DA">
        <w:rPr>
          <w:rFonts w:ascii="Arial" w:hAnsi="Arial" w:cs="Arial"/>
          <w:color w:val="000000" w:themeColor="text1"/>
          <w:sz w:val="22"/>
          <w:szCs w:val="22"/>
        </w:rPr>
        <w:t>ymi</w:t>
      </w:r>
      <w:r w:rsidR="00521AF4" w:rsidRPr="009B78DA">
        <w:rPr>
          <w:rFonts w:ascii="Arial" w:hAnsi="Arial" w:cs="Arial"/>
          <w:color w:val="000000" w:themeColor="text1"/>
          <w:sz w:val="22"/>
          <w:szCs w:val="22"/>
        </w:rPr>
        <w:t xml:space="preserve"> kompleks</w:t>
      </w:r>
      <w:r w:rsidR="00C87EBE" w:rsidRPr="009B78DA">
        <w:rPr>
          <w:rFonts w:ascii="Arial" w:hAnsi="Arial" w:cs="Arial"/>
          <w:color w:val="000000" w:themeColor="text1"/>
          <w:sz w:val="22"/>
          <w:szCs w:val="22"/>
        </w:rPr>
        <w:t>ami</w:t>
      </w:r>
      <w:r w:rsidR="00521AF4" w:rsidRPr="009B78DA">
        <w:rPr>
          <w:rFonts w:ascii="Arial" w:hAnsi="Arial" w:cs="Arial"/>
          <w:color w:val="000000" w:themeColor="text1"/>
          <w:sz w:val="22"/>
          <w:szCs w:val="22"/>
        </w:rPr>
        <w:t xml:space="preserve"> leśn</w:t>
      </w:r>
      <w:r w:rsidR="00C87EBE" w:rsidRPr="009B78DA">
        <w:rPr>
          <w:rFonts w:ascii="Arial" w:hAnsi="Arial" w:cs="Arial"/>
          <w:color w:val="000000" w:themeColor="text1"/>
          <w:sz w:val="22"/>
          <w:szCs w:val="22"/>
        </w:rPr>
        <w:t>ymi</w:t>
      </w:r>
      <w:r w:rsidR="00521AF4" w:rsidRPr="009B78DA">
        <w:rPr>
          <w:rFonts w:ascii="Arial" w:hAnsi="Arial" w:cs="Arial"/>
          <w:color w:val="000000" w:themeColor="text1"/>
          <w:sz w:val="22"/>
          <w:szCs w:val="22"/>
        </w:rPr>
        <w:t>, obszar</w:t>
      </w:r>
      <w:r w:rsidR="00C87EBE" w:rsidRPr="009B78DA">
        <w:rPr>
          <w:rFonts w:ascii="Arial" w:hAnsi="Arial" w:cs="Arial"/>
          <w:color w:val="000000" w:themeColor="text1"/>
          <w:sz w:val="22"/>
          <w:szCs w:val="22"/>
        </w:rPr>
        <w:t>ami</w:t>
      </w:r>
      <w:r w:rsidR="00521AF4" w:rsidRPr="009B78DA">
        <w:rPr>
          <w:rFonts w:ascii="Arial" w:hAnsi="Arial" w:cs="Arial"/>
          <w:color w:val="000000" w:themeColor="text1"/>
          <w:sz w:val="22"/>
          <w:szCs w:val="22"/>
        </w:rPr>
        <w:t xml:space="preserve"> chronion</w:t>
      </w:r>
      <w:r w:rsidR="00C87EBE" w:rsidRPr="009B78DA">
        <w:rPr>
          <w:rFonts w:ascii="Arial" w:hAnsi="Arial" w:cs="Arial"/>
          <w:color w:val="000000" w:themeColor="text1"/>
          <w:sz w:val="22"/>
          <w:szCs w:val="22"/>
        </w:rPr>
        <w:t>ymi</w:t>
      </w:r>
      <w:r w:rsidR="00521AF4" w:rsidRPr="009B78DA">
        <w:rPr>
          <w:rFonts w:ascii="Arial" w:hAnsi="Arial" w:cs="Arial"/>
          <w:color w:val="000000" w:themeColor="text1"/>
          <w:sz w:val="22"/>
          <w:szCs w:val="22"/>
        </w:rPr>
        <w:t xml:space="preserve"> przyrodniczo</w:t>
      </w:r>
      <w:r w:rsidR="00C87EBE" w:rsidRPr="009B78DA">
        <w:rPr>
          <w:rFonts w:ascii="Arial" w:hAnsi="Arial" w:cs="Arial"/>
          <w:color w:val="000000" w:themeColor="text1"/>
          <w:sz w:val="22"/>
          <w:szCs w:val="22"/>
        </w:rPr>
        <w:t xml:space="preserve">. Istotną </w:t>
      </w:r>
      <w:r w:rsidR="00CD628B" w:rsidRPr="009B78DA">
        <w:rPr>
          <w:rFonts w:ascii="Arial" w:hAnsi="Arial" w:cs="Arial"/>
          <w:color w:val="000000" w:themeColor="text1"/>
          <w:sz w:val="22"/>
          <w:szCs w:val="22"/>
        </w:rPr>
        <w:t>rolę odegra tutaj dostosowanie infrastruktury do specyfiki miejsc, aby w możliwie adekwatny sposób minimalizować lub neutralizować skutki oddziaływania transportu na środowisko</w:t>
      </w:r>
      <w:r w:rsidR="00607D8D" w:rsidRPr="009B78DA">
        <w:rPr>
          <w:rFonts w:ascii="Arial" w:hAnsi="Arial" w:cs="Arial"/>
          <w:color w:val="000000" w:themeColor="text1"/>
          <w:sz w:val="22"/>
          <w:szCs w:val="22"/>
        </w:rPr>
        <w:t xml:space="preserve">, ale też </w:t>
      </w:r>
      <w:r w:rsidR="00CD628B" w:rsidRPr="009B78DA">
        <w:rPr>
          <w:rFonts w:ascii="Arial" w:hAnsi="Arial" w:cs="Arial"/>
          <w:color w:val="000000" w:themeColor="text1"/>
          <w:sz w:val="22"/>
          <w:szCs w:val="22"/>
        </w:rPr>
        <w:t xml:space="preserve">dopasowanie elementów systemu transportowego </w:t>
      </w:r>
      <w:r w:rsidR="00521AF4" w:rsidRPr="009B78DA">
        <w:rPr>
          <w:rFonts w:ascii="Arial" w:hAnsi="Arial" w:cs="Arial"/>
          <w:color w:val="000000" w:themeColor="text1"/>
          <w:sz w:val="22"/>
          <w:szCs w:val="22"/>
        </w:rPr>
        <w:t>do zjawisk</w:t>
      </w:r>
      <w:r w:rsidR="00776511" w:rsidRPr="009B78DA">
        <w:rPr>
          <w:rFonts w:ascii="Arial" w:hAnsi="Arial" w:cs="Arial"/>
          <w:color w:val="000000" w:themeColor="text1"/>
          <w:sz w:val="22"/>
          <w:szCs w:val="22"/>
        </w:rPr>
        <w:t>, które</w:t>
      </w:r>
      <w:r w:rsidR="00521AF4" w:rsidRPr="009B78DA">
        <w:rPr>
          <w:rFonts w:ascii="Arial" w:hAnsi="Arial" w:cs="Arial"/>
          <w:color w:val="000000" w:themeColor="text1"/>
          <w:sz w:val="22"/>
          <w:szCs w:val="22"/>
        </w:rPr>
        <w:t xml:space="preserve"> mogą być wywoływane lub potęgowane zmianami klimatycznymi</w:t>
      </w:r>
      <w:r w:rsidR="00F95165" w:rsidRPr="009B78DA">
        <w:rPr>
          <w:rFonts w:ascii="Arial" w:hAnsi="Arial" w:cs="Arial"/>
          <w:color w:val="000000" w:themeColor="text1"/>
          <w:sz w:val="22"/>
          <w:szCs w:val="22"/>
        </w:rPr>
        <w:t xml:space="preserve"> (np. ulewn</w:t>
      </w:r>
      <w:r w:rsidR="00D03A89" w:rsidRPr="009B78DA">
        <w:rPr>
          <w:rFonts w:ascii="Arial" w:hAnsi="Arial" w:cs="Arial"/>
          <w:color w:val="000000" w:themeColor="text1"/>
          <w:sz w:val="22"/>
          <w:szCs w:val="22"/>
        </w:rPr>
        <w:t>y</w:t>
      </w:r>
      <w:r w:rsidR="00607D8D" w:rsidRPr="009B78DA">
        <w:rPr>
          <w:rFonts w:ascii="Arial" w:hAnsi="Arial" w:cs="Arial"/>
          <w:color w:val="000000" w:themeColor="text1"/>
          <w:sz w:val="22"/>
          <w:szCs w:val="22"/>
        </w:rPr>
        <w:t>mi</w:t>
      </w:r>
      <w:r w:rsidR="00F95165" w:rsidRPr="009B78DA">
        <w:rPr>
          <w:rFonts w:ascii="Arial" w:hAnsi="Arial" w:cs="Arial"/>
          <w:color w:val="000000" w:themeColor="text1"/>
          <w:sz w:val="22"/>
          <w:szCs w:val="22"/>
        </w:rPr>
        <w:t xml:space="preserve"> deszcz</w:t>
      </w:r>
      <w:r w:rsidR="00607D8D" w:rsidRPr="009B78DA">
        <w:rPr>
          <w:rFonts w:ascii="Arial" w:hAnsi="Arial" w:cs="Arial"/>
          <w:color w:val="000000" w:themeColor="text1"/>
          <w:sz w:val="22"/>
          <w:szCs w:val="22"/>
        </w:rPr>
        <w:t>ami</w:t>
      </w:r>
      <w:r w:rsidR="00F95165" w:rsidRPr="009B78DA">
        <w:rPr>
          <w:rFonts w:ascii="Arial" w:hAnsi="Arial" w:cs="Arial"/>
          <w:color w:val="000000" w:themeColor="text1"/>
          <w:sz w:val="22"/>
          <w:szCs w:val="22"/>
        </w:rPr>
        <w:t xml:space="preserve"> skutkujący</w:t>
      </w:r>
      <w:r w:rsidR="00607D8D" w:rsidRPr="009B78DA">
        <w:rPr>
          <w:rFonts w:ascii="Arial" w:hAnsi="Arial" w:cs="Arial"/>
          <w:color w:val="000000" w:themeColor="text1"/>
          <w:sz w:val="22"/>
          <w:szCs w:val="22"/>
        </w:rPr>
        <w:t>mi</w:t>
      </w:r>
      <w:r w:rsidR="00F95165" w:rsidRPr="009B78DA">
        <w:rPr>
          <w:rFonts w:ascii="Arial" w:hAnsi="Arial" w:cs="Arial"/>
          <w:color w:val="000000" w:themeColor="text1"/>
          <w:sz w:val="22"/>
          <w:szCs w:val="22"/>
        </w:rPr>
        <w:t xml:space="preserve"> podtopieniam</w:t>
      </w:r>
      <w:r w:rsidR="00D03A89" w:rsidRPr="009B78DA">
        <w:rPr>
          <w:rFonts w:ascii="Arial" w:hAnsi="Arial" w:cs="Arial"/>
          <w:color w:val="000000" w:themeColor="text1"/>
          <w:sz w:val="22"/>
          <w:szCs w:val="22"/>
        </w:rPr>
        <w:t xml:space="preserve">i </w:t>
      </w:r>
      <w:r w:rsidR="00F95165" w:rsidRPr="009B78DA">
        <w:rPr>
          <w:rFonts w:ascii="Arial" w:hAnsi="Arial" w:cs="Arial"/>
          <w:color w:val="000000" w:themeColor="text1"/>
          <w:sz w:val="22"/>
          <w:szCs w:val="22"/>
        </w:rPr>
        <w:t>i powstawaniem nowych osuwisk)</w:t>
      </w:r>
      <w:r w:rsidR="00944811" w:rsidRPr="009B78DA">
        <w:rPr>
          <w:rFonts w:ascii="Arial" w:hAnsi="Arial" w:cs="Arial"/>
          <w:color w:val="000000" w:themeColor="text1"/>
          <w:sz w:val="22"/>
          <w:szCs w:val="22"/>
        </w:rPr>
        <w:t xml:space="preserve">. </w:t>
      </w:r>
      <w:r w:rsidR="000C010D" w:rsidRPr="009B78DA">
        <w:rPr>
          <w:rFonts w:ascii="Arial" w:hAnsi="Arial" w:cs="Arial"/>
          <w:color w:val="000000" w:themeColor="text1"/>
          <w:sz w:val="22"/>
          <w:szCs w:val="22"/>
        </w:rPr>
        <w:t xml:space="preserve">Zastosowanie powyższego podejścia </w:t>
      </w:r>
      <w:r w:rsidR="00521AF4" w:rsidRPr="009B78DA">
        <w:rPr>
          <w:rFonts w:ascii="Arial" w:hAnsi="Arial" w:cs="Arial"/>
          <w:color w:val="000000" w:themeColor="text1"/>
          <w:sz w:val="22"/>
          <w:szCs w:val="22"/>
        </w:rPr>
        <w:t>pozwoli na minimalizację ryzyk</w:t>
      </w:r>
      <w:r w:rsidR="00607D8D" w:rsidRPr="009B78DA">
        <w:rPr>
          <w:rFonts w:ascii="Arial" w:hAnsi="Arial" w:cs="Arial"/>
          <w:color w:val="000000" w:themeColor="text1"/>
          <w:sz w:val="22"/>
          <w:szCs w:val="22"/>
        </w:rPr>
        <w:t>a</w:t>
      </w:r>
      <w:r w:rsidR="00521AF4" w:rsidRPr="009B78DA">
        <w:rPr>
          <w:rFonts w:ascii="Arial" w:hAnsi="Arial" w:cs="Arial"/>
          <w:color w:val="000000" w:themeColor="text1"/>
          <w:sz w:val="22"/>
          <w:szCs w:val="22"/>
        </w:rPr>
        <w:t xml:space="preserve"> </w:t>
      </w:r>
      <w:r w:rsidR="00776511" w:rsidRPr="009B78DA">
        <w:rPr>
          <w:rFonts w:ascii="Arial" w:hAnsi="Arial" w:cs="Arial"/>
          <w:color w:val="000000" w:themeColor="text1"/>
          <w:sz w:val="22"/>
          <w:szCs w:val="22"/>
        </w:rPr>
        <w:t>wystąpienia</w:t>
      </w:r>
      <w:r w:rsidR="00521AF4" w:rsidRPr="009B78DA">
        <w:rPr>
          <w:rFonts w:ascii="Arial" w:hAnsi="Arial" w:cs="Arial"/>
          <w:color w:val="000000" w:themeColor="text1"/>
          <w:sz w:val="22"/>
          <w:szCs w:val="22"/>
        </w:rPr>
        <w:t xml:space="preserve"> </w:t>
      </w:r>
      <w:r w:rsidR="000B0A64" w:rsidRPr="009B78DA">
        <w:rPr>
          <w:rFonts w:ascii="Arial" w:hAnsi="Arial" w:cs="Arial"/>
          <w:color w:val="000000" w:themeColor="text1"/>
          <w:sz w:val="22"/>
          <w:szCs w:val="22"/>
        </w:rPr>
        <w:t xml:space="preserve">dalszych </w:t>
      </w:r>
      <w:r w:rsidR="00521AF4" w:rsidRPr="009B78DA">
        <w:rPr>
          <w:rFonts w:ascii="Arial" w:hAnsi="Arial" w:cs="Arial"/>
          <w:color w:val="000000" w:themeColor="text1"/>
          <w:sz w:val="22"/>
          <w:szCs w:val="22"/>
        </w:rPr>
        <w:t>szkód</w:t>
      </w:r>
      <w:r w:rsidR="00607D8D" w:rsidRPr="009B78DA">
        <w:rPr>
          <w:rFonts w:ascii="Arial" w:hAnsi="Arial" w:cs="Arial"/>
          <w:color w:val="000000" w:themeColor="text1"/>
          <w:sz w:val="22"/>
          <w:szCs w:val="22"/>
        </w:rPr>
        <w:t xml:space="preserve"> </w:t>
      </w:r>
      <w:r w:rsidR="00521AF4" w:rsidRPr="009B78DA">
        <w:rPr>
          <w:rFonts w:ascii="Arial" w:hAnsi="Arial" w:cs="Arial"/>
          <w:color w:val="000000" w:themeColor="text1"/>
          <w:sz w:val="22"/>
          <w:szCs w:val="22"/>
        </w:rPr>
        <w:t xml:space="preserve">w środowisku </w:t>
      </w:r>
      <w:r w:rsidR="00D95355" w:rsidRPr="009B78DA">
        <w:rPr>
          <w:rFonts w:ascii="Arial" w:hAnsi="Arial" w:cs="Arial"/>
          <w:color w:val="000000" w:themeColor="text1"/>
          <w:sz w:val="22"/>
          <w:szCs w:val="22"/>
        </w:rPr>
        <w:t>naturalnym</w:t>
      </w:r>
      <w:r w:rsidR="00521AF4" w:rsidRPr="009B78DA">
        <w:rPr>
          <w:rFonts w:ascii="Arial" w:hAnsi="Arial" w:cs="Arial"/>
          <w:color w:val="000000" w:themeColor="text1"/>
          <w:sz w:val="22"/>
          <w:szCs w:val="22"/>
        </w:rPr>
        <w:t xml:space="preserve"> oraz </w:t>
      </w:r>
      <w:r w:rsidR="00776511" w:rsidRPr="009B78DA">
        <w:rPr>
          <w:rFonts w:ascii="Arial" w:hAnsi="Arial" w:cs="Arial"/>
          <w:color w:val="000000" w:themeColor="text1"/>
          <w:sz w:val="22"/>
          <w:szCs w:val="22"/>
        </w:rPr>
        <w:t>strat</w:t>
      </w:r>
      <w:r w:rsidR="000C010D" w:rsidRPr="009B78DA">
        <w:rPr>
          <w:rFonts w:ascii="Arial" w:hAnsi="Arial" w:cs="Arial"/>
          <w:color w:val="000000" w:themeColor="text1"/>
          <w:sz w:val="22"/>
          <w:szCs w:val="22"/>
        </w:rPr>
        <w:t xml:space="preserve"> </w:t>
      </w:r>
      <w:r w:rsidR="00776511" w:rsidRPr="009B78DA">
        <w:rPr>
          <w:rFonts w:ascii="Arial" w:hAnsi="Arial" w:cs="Arial"/>
          <w:color w:val="000000" w:themeColor="text1"/>
          <w:sz w:val="22"/>
          <w:szCs w:val="22"/>
        </w:rPr>
        <w:t>w obrębie mienia sfery transportu</w:t>
      </w:r>
      <w:r w:rsidR="007755DE" w:rsidRPr="009B78DA">
        <w:rPr>
          <w:rFonts w:ascii="Arial" w:hAnsi="Arial" w:cs="Arial"/>
          <w:color w:val="000000" w:themeColor="text1"/>
          <w:sz w:val="22"/>
          <w:szCs w:val="22"/>
        </w:rPr>
        <w:t>.</w:t>
      </w:r>
      <w:r w:rsidR="00F96014" w:rsidRPr="009B78DA">
        <w:rPr>
          <w:rFonts w:ascii="Arial" w:hAnsi="Arial" w:cs="Arial"/>
          <w:color w:val="000000" w:themeColor="text1"/>
          <w:sz w:val="22"/>
          <w:szCs w:val="22"/>
        </w:rPr>
        <w:t xml:space="preserve"> </w:t>
      </w:r>
      <w:r w:rsidR="0071243E" w:rsidRPr="009B78DA">
        <w:rPr>
          <w:rFonts w:ascii="Arial" w:hAnsi="Arial" w:cs="Arial"/>
          <w:color w:val="000000" w:themeColor="text1"/>
          <w:sz w:val="22"/>
          <w:szCs w:val="22"/>
        </w:rPr>
        <w:t xml:space="preserve">W podsystemie drogowym wdrożenie odpowiednich rozwiązań może się odbywać np. </w:t>
      </w:r>
      <w:r w:rsidR="004377D3" w:rsidRPr="009B78DA">
        <w:rPr>
          <w:rFonts w:ascii="Arial" w:hAnsi="Arial" w:cs="Arial"/>
          <w:color w:val="000000" w:themeColor="text1"/>
          <w:sz w:val="22"/>
          <w:szCs w:val="22"/>
        </w:rPr>
        <w:t xml:space="preserve">poprzez budowę wspomnianych </w:t>
      </w:r>
      <w:r w:rsidR="000C010D" w:rsidRPr="009B78DA">
        <w:rPr>
          <w:rFonts w:ascii="Arial" w:hAnsi="Arial" w:cs="Arial"/>
          <w:color w:val="000000" w:themeColor="text1"/>
          <w:sz w:val="22"/>
          <w:szCs w:val="22"/>
        </w:rPr>
        <w:t>przepustów drogowych</w:t>
      </w:r>
      <w:r w:rsidR="0071243E" w:rsidRPr="009B78DA">
        <w:rPr>
          <w:rFonts w:ascii="Arial" w:hAnsi="Arial" w:cs="Arial"/>
          <w:color w:val="000000" w:themeColor="text1"/>
          <w:sz w:val="22"/>
          <w:szCs w:val="22"/>
        </w:rPr>
        <w:t>,</w:t>
      </w:r>
      <w:r w:rsidR="005966D5" w:rsidRPr="009B78DA">
        <w:rPr>
          <w:rFonts w:ascii="Arial" w:hAnsi="Arial" w:cs="Arial"/>
          <w:color w:val="000000" w:themeColor="text1"/>
          <w:sz w:val="22"/>
          <w:szCs w:val="22"/>
        </w:rPr>
        <w:t xml:space="preserve"> natomiast</w:t>
      </w:r>
      <w:r w:rsidR="00423517" w:rsidRPr="009B78DA">
        <w:rPr>
          <w:rFonts w:ascii="Arial" w:hAnsi="Arial" w:cs="Arial"/>
          <w:color w:val="000000" w:themeColor="text1"/>
          <w:sz w:val="22"/>
          <w:szCs w:val="22"/>
        </w:rPr>
        <w:t xml:space="preserve"> na </w:t>
      </w:r>
      <w:r w:rsidR="000C010D" w:rsidRPr="009B78DA">
        <w:rPr>
          <w:rFonts w:ascii="Arial" w:hAnsi="Arial" w:cs="Arial"/>
          <w:color w:val="000000" w:themeColor="text1"/>
          <w:sz w:val="22"/>
          <w:szCs w:val="22"/>
        </w:rPr>
        <w:t xml:space="preserve">terenach </w:t>
      </w:r>
      <w:r w:rsidR="00423517" w:rsidRPr="009B78DA">
        <w:rPr>
          <w:rFonts w:ascii="Arial" w:hAnsi="Arial" w:cs="Arial"/>
          <w:color w:val="000000" w:themeColor="text1"/>
          <w:sz w:val="22"/>
          <w:szCs w:val="22"/>
        </w:rPr>
        <w:t xml:space="preserve">zagrożonych </w:t>
      </w:r>
      <w:r w:rsidR="00482709" w:rsidRPr="009B78DA">
        <w:rPr>
          <w:rFonts w:ascii="Arial" w:hAnsi="Arial" w:cs="Arial"/>
          <w:color w:val="000000" w:themeColor="text1"/>
          <w:sz w:val="22"/>
          <w:szCs w:val="22"/>
        </w:rPr>
        <w:t>osuwaniem się gruntu lub powodziami</w:t>
      </w:r>
      <w:r w:rsidR="000C010D" w:rsidRPr="009B78DA">
        <w:rPr>
          <w:rFonts w:ascii="Arial" w:hAnsi="Arial" w:cs="Arial"/>
          <w:color w:val="000000" w:themeColor="text1"/>
          <w:sz w:val="22"/>
          <w:szCs w:val="22"/>
        </w:rPr>
        <w:t xml:space="preserve"> powinno nastąpić</w:t>
      </w:r>
      <w:r w:rsidR="00776511" w:rsidRPr="009B78DA">
        <w:rPr>
          <w:rFonts w:ascii="Arial" w:hAnsi="Arial" w:cs="Arial"/>
          <w:color w:val="000000" w:themeColor="text1"/>
          <w:sz w:val="22"/>
          <w:szCs w:val="22"/>
        </w:rPr>
        <w:t xml:space="preserve"> dostosowanie nawierzchni </w:t>
      </w:r>
      <w:r w:rsidR="000B0A64" w:rsidRPr="009B78DA">
        <w:rPr>
          <w:rFonts w:ascii="Arial" w:hAnsi="Arial" w:cs="Arial"/>
          <w:color w:val="000000" w:themeColor="text1"/>
          <w:sz w:val="22"/>
          <w:szCs w:val="22"/>
        </w:rPr>
        <w:t xml:space="preserve">jezdni </w:t>
      </w:r>
      <w:r w:rsidR="00776511" w:rsidRPr="009B78DA">
        <w:rPr>
          <w:rFonts w:ascii="Arial" w:hAnsi="Arial" w:cs="Arial"/>
          <w:color w:val="000000" w:themeColor="text1"/>
          <w:sz w:val="22"/>
          <w:szCs w:val="22"/>
        </w:rPr>
        <w:t>do parametrów podwyższających</w:t>
      </w:r>
      <w:r w:rsidR="004377D3" w:rsidRPr="009B78DA">
        <w:rPr>
          <w:rFonts w:ascii="Arial" w:hAnsi="Arial" w:cs="Arial"/>
          <w:color w:val="000000" w:themeColor="text1"/>
          <w:sz w:val="22"/>
          <w:szCs w:val="22"/>
        </w:rPr>
        <w:t xml:space="preserve"> </w:t>
      </w:r>
      <w:r w:rsidR="0071243E" w:rsidRPr="009B78DA">
        <w:rPr>
          <w:rFonts w:ascii="Arial" w:hAnsi="Arial" w:cs="Arial"/>
          <w:color w:val="000000" w:themeColor="text1"/>
          <w:sz w:val="22"/>
          <w:szCs w:val="22"/>
        </w:rPr>
        <w:t xml:space="preserve">jej </w:t>
      </w:r>
      <w:r w:rsidR="00776511" w:rsidRPr="009B78DA">
        <w:rPr>
          <w:rFonts w:ascii="Arial" w:hAnsi="Arial" w:cs="Arial"/>
          <w:color w:val="000000" w:themeColor="text1"/>
          <w:sz w:val="22"/>
          <w:szCs w:val="22"/>
        </w:rPr>
        <w:t xml:space="preserve">wytrzymałość </w:t>
      </w:r>
      <w:r w:rsidR="0071243E" w:rsidRPr="009B78DA">
        <w:rPr>
          <w:rFonts w:ascii="Arial" w:hAnsi="Arial" w:cs="Arial"/>
          <w:color w:val="000000" w:themeColor="text1"/>
          <w:sz w:val="22"/>
          <w:szCs w:val="22"/>
        </w:rPr>
        <w:t xml:space="preserve">na </w:t>
      </w:r>
      <w:r w:rsidR="00713C72" w:rsidRPr="009B78DA">
        <w:rPr>
          <w:rFonts w:ascii="Arial" w:hAnsi="Arial" w:cs="Arial"/>
          <w:color w:val="000000" w:themeColor="text1"/>
          <w:sz w:val="22"/>
          <w:szCs w:val="22"/>
        </w:rPr>
        <w:t>działanie</w:t>
      </w:r>
      <w:r w:rsidR="00776511" w:rsidRPr="009B78DA">
        <w:rPr>
          <w:rFonts w:ascii="Arial" w:hAnsi="Arial" w:cs="Arial"/>
          <w:color w:val="000000" w:themeColor="text1"/>
          <w:sz w:val="22"/>
          <w:szCs w:val="22"/>
        </w:rPr>
        <w:t xml:space="preserve"> </w:t>
      </w:r>
      <w:r w:rsidR="000C010D" w:rsidRPr="009B78DA">
        <w:rPr>
          <w:rFonts w:ascii="Arial" w:hAnsi="Arial" w:cs="Arial"/>
          <w:color w:val="000000" w:themeColor="text1"/>
          <w:sz w:val="22"/>
          <w:szCs w:val="22"/>
        </w:rPr>
        <w:t>zjawisk</w:t>
      </w:r>
      <w:r w:rsidR="000B0A64" w:rsidRPr="009B78DA">
        <w:rPr>
          <w:rFonts w:ascii="Arial" w:hAnsi="Arial" w:cs="Arial"/>
          <w:color w:val="000000" w:themeColor="text1"/>
          <w:sz w:val="22"/>
          <w:szCs w:val="22"/>
        </w:rPr>
        <w:t xml:space="preserve"> </w:t>
      </w:r>
      <w:r w:rsidR="0071243E" w:rsidRPr="009B78DA">
        <w:rPr>
          <w:rFonts w:ascii="Arial" w:hAnsi="Arial" w:cs="Arial"/>
          <w:color w:val="000000" w:themeColor="text1"/>
          <w:sz w:val="22"/>
          <w:szCs w:val="22"/>
        </w:rPr>
        <w:t xml:space="preserve">mogących spowodować jej </w:t>
      </w:r>
      <w:r w:rsidR="00482709" w:rsidRPr="009B78DA">
        <w:rPr>
          <w:rFonts w:ascii="Arial" w:hAnsi="Arial" w:cs="Arial"/>
          <w:color w:val="000000" w:themeColor="text1"/>
          <w:sz w:val="22"/>
          <w:szCs w:val="22"/>
        </w:rPr>
        <w:t>degradację lub całkowitą destrukcję</w:t>
      </w:r>
      <w:r w:rsidR="0071243E" w:rsidRPr="009B78DA">
        <w:rPr>
          <w:rFonts w:ascii="Arial" w:hAnsi="Arial" w:cs="Arial"/>
          <w:color w:val="000000" w:themeColor="text1"/>
        </w:rPr>
        <w:t>.</w:t>
      </w:r>
    </w:p>
    <w:p w14:paraId="17FE4DD5" w14:textId="6313E71D" w:rsidR="00C87EBE" w:rsidRPr="009B78DA" w:rsidRDefault="009932D1"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Kreowanie zrównoważonego</w:t>
      </w:r>
      <w:r w:rsidR="0027660F" w:rsidRPr="009B78DA">
        <w:rPr>
          <w:rFonts w:ascii="Arial" w:hAnsi="Arial" w:cs="Arial"/>
          <w:color w:val="000000" w:themeColor="text1"/>
          <w:sz w:val="22"/>
          <w:szCs w:val="22"/>
        </w:rPr>
        <w:t xml:space="preserve"> rozwoju </w:t>
      </w:r>
      <w:r w:rsidRPr="009B78DA">
        <w:rPr>
          <w:rFonts w:ascii="Arial" w:hAnsi="Arial" w:cs="Arial"/>
          <w:color w:val="000000" w:themeColor="text1"/>
          <w:sz w:val="22"/>
          <w:szCs w:val="22"/>
        </w:rPr>
        <w:t xml:space="preserve">regionalnego </w:t>
      </w:r>
      <w:r w:rsidR="0027660F" w:rsidRPr="009B78DA">
        <w:rPr>
          <w:rFonts w:ascii="Arial" w:hAnsi="Arial" w:cs="Arial"/>
          <w:color w:val="000000" w:themeColor="text1"/>
          <w:sz w:val="22"/>
          <w:szCs w:val="22"/>
        </w:rPr>
        <w:t xml:space="preserve">systemu transportowego </w:t>
      </w:r>
      <w:r w:rsidR="003B378C" w:rsidRPr="009B78DA">
        <w:rPr>
          <w:rFonts w:ascii="Arial" w:hAnsi="Arial" w:cs="Arial"/>
          <w:color w:val="000000" w:themeColor="text1"/>
          <w:sz w:val="22"/>
          <w:szCs w:val="22"/>
        </w:rPr>
        <w:t>musi się zatem odbywać przy</w:t>
      </w:r>
      <w:r w:rsidRPr="009B78DA">
        <w:rPr>
          <w:rFonts w:ascii="Arial" w:hAnsi="Arial" w:cs="Arial"/>
          <w:color w:val="000000" w:themeColor="text1"/>
          <w:sz w:val="22"/>
          <w:szCs w:val="22"/>
        </w:rPr>
        <w:t xml:space="preserve"> uwzględni</w:t>
      </w:r>
      <w:r w:rsidR="003B378C" w:rsidRPr="009B78DA">
        <w:rPr>
          <w:rFonts w:ascii="Arial" w:hAnsi="Arial" w:cs="Arial"/>
          <w:color w:val="000000" w:themeColor="text1"/>
          <w:sz w:val="22"/>
          <w:szCs w:val="22"/>
        </w:rPr>
        <w:t>eniu</w:t>
      </w:r>
      <w:r w:rsidRPr="009B78DA">
        <w:rPr>
          <w:rFonts w:ascii="Arial" w:hAnsi="Arial" w:cs="Arial"/>
          <w:color w:val="000000" w:themeColor="text1"/>
          <w:sz w:val="22"/>
          <w:szCs w:val="22"/>
        </w:rPr>
        <w:t xml:space="preserve"> jego wpływu </w:t>
      </w:r>
      <w:r w:rsidR="0027660F" w:rsidRPr="009B78DA">
        <w:rPr>
          <w:rFonts w:ascii="Arial" w:hAnsi="Arial" w:cs="Arial"/>
          <w:color w:val="000000" w:themeColor="text1"/>
          <w:sz w:val="22"/>
          <w:szCs w:val="22"/>
        </w:rPr>
        <w:t>na stan środowiska (w tym otoczenia przyrodniczego)</w:t>
      </w:r>
      <w:r w:rsidRPr="009B78DA">
        <w:rPr>
          <w:rFonts w:ascii="Arial" w:hAnsi="Arial" w:cs="Arial"/>
          <w:color w:val="000000" w:themeColor="text1"/>
          <w:sz w:val="22"/>
          <w:szCs w:val="22"/>
        </w:rPr>
        <w:t xml:space="preserve"> oraz </w:t>
      </w:r>
      <w:r w:rsidR="003B378C" w:rsidRPr="009B78DA">
        <w:rPr>
          <w:rFonts w:ascii="Arial" w:hAnsi="Arial" w:cs="Arial"/>
          <w:color w:val="000000" w:themeColor="text1"/>
          <w:sz w:val="22"/>
          <w:szCs w:val="22"/>
        </w:rPr>
        <w:t>z</w:t>
      </w:r>
      <w:r w:rsidR="00F0104D" w:rsidRPr="009B78DA">
        <w:rPr>
          <w:rFonts w:ascii="Arial" w:hAnsi="Arial" w:cs="Arial"/>
          <w:color w:val="000000" w:themeColor="text1"/>
          <w:sz w:val="22"/>
          <w:szCs w:val="22"/>
        </w:rPr>
        <w:t xml:space="preserve"> za</w:t>
      </w:r>
      <w:r w:rsidR="007E6195" w:rsidRPr="009B78DA">
        <w:rPr>
          <w:rFonts w:ascii="Arial" w:hAnsi="Arial" w:cs="Arial"/>
          <w:color w:val="000000" w:themeColor="text1"/>
          <w:sz w:val="22"/>
          <w:szCs w:val="22"/>
        </w:rPr>
        <w:t>stosowani</w:t>
      </w:r>
      <w:r w:rsidR="003B378C" w:rsidRPr="009B78DA">
        <w:rPr>
          <w:rFonts w:ascii="Arial" w:hAnsi="Arial" w:cs="Arial"/>
          <w:color w:val="000000" w:themeColor="text1"/>
          <w:sz w:val="22"/>
          <w:szCs w:val="22"/>
        </w:rPr>
        <w:t>em</w:t>
      </w:r>
      <w:r w:rsidR="007E6195"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rozwiązań na rzecz zwiększania</w:t>
      </w:r>
      <w:r w:rsidR="0027660F" w:rsidRPr="009B78DA">
        <w:rPr>
          <w:rFonts w:ascii="Arial" w:hAnsi="Arial" w:cs="Arial"/>
          <w:color w:val="000000" w:themeColor="text1"/>
          <w:sz w:val="22"/>
          <w:szCs w:val="22"/>
        </w:rPr>
        <w:t xml:space="preserve"> bezpieczeństwa.</w:t>
      </w:r>
      <w:r w:rsidR="00F0104D" w:rsidRPr="009B78DA">
        <w:rPr>
          <w:rFonts w:ascii="Arial" w:hAnsi="Arial" w:cs="Arial"/>
          <w:color w:val="000000" w:themeColor="text1"/>
          <w:sz w:val="22"/>
          <w:szCs w:val="22"/>
        </w:rPr>
        <w:t xml:space="preserve"> </w:t>
      </w:r>
      <w:r w:rsidR="00D10168" w:rsidRPr="009B78DA">
        <w:rPr>
          <w:rFonts w:ascii="Arial" w:hAnsi="Arial" w:cs="Arial"/>
          <w:color w:val="000000" w:themeColor="text1"/>
          <w:sz w:val="22"/>
          <w:szCs w:val="22"/>
        </w:rPr>
        <w:br/>
      </w:r>
      <w:r w:rsidR="00D416A7" w:rsidRPr="009B78DA">
        <w:rPr>
          <w:rFonts w:ascii="Arial" w:hAnsi="Arial" w:cs="Arial"/>
          <w:color w:val="000000" w:themeColor="text1"/>
          <w:sz w:val="22"/>
          <w:szCs w:val="22"/>
        </w:rPr>
        <w:t>Z kolei i</w:t>
      </w:r>
      <w:r w:rsidR="00C87EBE" w:rsidRPr="009B78DA">
        <w:rPr>
          <w:rFonts w:ascii="Arial" w:hAnsi="Arial" w:cs="Arial"/>
          <w:color w:val="000000" w:themeColor="text1"/>
          <w:sz w:val="22"/>
          <w:szCs w:val="22"/>
        </w:rPr>
        <w:t xml:space="preserve">nwestycje i usługi w obrębie systemu transportowego, realizowane zgodnie </w:t>
      </w:r>
      <w:r w:rsidR="00692599">
        <w:rPr>
          <w:rFonts w:ascii="Arial" w:hAnsi="Arial" w:cs="Arial"/>
          <w:color w:val="000000" w:themeColor="text1"/>
          <w:sz w:val="22"/>
          <w:szCs w:val="22"/>
        </w:rPr>
        <w:br/>
      </w:r>
      <w:r w:rsidR="00C87EBE" w:rsidRPr="009B78DA">
        <w:rPr>
          <w:rFonts w:ascii="Arial" w:hAnsi="Arial" w:cs="Arial"/>
          <w:color w:val="000000" w:themeColor="text1"/>
          <w:sz w:val="22"/>
          <w:szCs w:val="22"/>
        </w:rPr>
        <w:t>z założeniami PSRT WP, powinny cechować się uwzględnieniem ewentualnego wpływu poszczególnych zagrożeń związanych ze zmianami klimatu tak, aby infrastruktura</w:t>
      </w:r>
      <w:r w:rsidR="00D416A7" w:rsidRPr="009B78DA">
        <w:rPr>
          <w:rFonts w:ascii="Arial" w:hAnsi="Arial" w:cs="Arial"/>
          <w:color w:val="000000" w:themeColor="text1"/>
          <w:sz w:val="22"/>
          <w:szCs w:val="22"/>
        </w:rPr>
        <w:t xml:space="preserve"> </w:t>
      </w:r>
      <w:r w:rsidR="00D10168" w:rsidRPr="009B78DA">
        <w:rPr>
          <w:rFonts w:ascii="Arial" w:hAnsi="Arial" w:cs="Arial"/>
          <w:color w:val="000000" w:themeColor="text1"/>
          <w:sz w:val="22"/>
          <w:szCs w:val="22"/>
        </w:rPr>
        <w:br/>
      </w:r>
      <w:r w:rsidR="00C87EBE" w:rsidRPr="009B78DA">
        <w:rPr>
          <w:rFonts w:ascii="Arial" w:hAnsi="Arial" w:cs="Arial"/>
          <w:color w:val="000000" w:themeColor="text1"/>
          <w:sz w:val="22"/>
          <w:szCs w:val="22"/>
        </w:rPr>
        <w:t>i usługi transportowe miały zagwarantowaną trwałości oraz odporność.</w:t>
      </w:r>
    </w:p>
    <w:p w14:paraId="77A6EEAA" w14:textId="5819222F" w:rsidR="000B0A64" w:rsidRPr="009B78DA" w:rsidRDefault="00F0104D"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Trosk</w:t>
      </w:r>
      <w:r w:rsidR="00FE0095" w:rsidRPr="009B78DA">
        <w:rPr>
          <w:rFonts w:ascii="Arial" w:hAnsi="Arial" w:cs="Arial"/>
          <w:color w:val="000000" w:themeColor="text1"/>
          <w:sz w:val="22"/>
          <w:szCs w:val="22"/>
        </w:rPr>
        <w:t>ę</w:t>
      </w:r>
      <w:r w:rsidRPr="009B78DA">
        <w:rPr>
          <w:rFonts w:ascii="Arial" w:hAnsi="Arial" w:cs="Arial"/>
          <w:color w:val="000000" w:themeColor="text1"/>
          <w:sz w:val="22"/>
          <w:szCs w:val="22"/>
        </w:rPr>
        <w:t xml:space="preserve"> o</w:t>
      </w:r>
      <w:r w:rsidR="009932D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środowisko naturalne </w:t>
      </w:r>
      <w:r w:rsidR="009932D1" w:rsidRPr="009B78DA">
        <w:rPr>
          <w:rFonts w:ascii="Arial" w:hAnsi="Arial" w:cs="Arial"/>
          <w:color w:val="000000" w:themeColor="text1"/>
          <w:sz w:val="22"/>
          <w:szCs w:val="22"/>
        </w:rPr>
        <w:t>oraz dbałość</w:t>
      </w:r>
      <w:r w:rsidR="007E6195" w:rsidRPr="009B78DA">
        <w:rPr>
          <w:rFonts w:ascii="Arial" w:hAnsi="Arial" w:cs="Arial"/>
          <w:color w:val="000000" w:themeColor="text1"/>
          <w:sz w:val="22"/>
          <w:szCs w:val="22"/>
        </w:rPr>
        <w:t xml:space="preserve"> </w:t>
      </w:r>
      <w:r w:rsidR="009932D1" w:rsidRPr="009B78DA">
        <w:rPr>
          <w:rFonts w:ascii="Arial" w:hAnsi="Arial" w:cs="Arial"/>
          <w:color w:val="000000" w:themeColor="text1"/>
          <w:sz w:val="22"/>
          <w:szCs w:val="22"/>
        </w:rPr>
        <w:t>o bezpieczeństwo w transporcie</w:t>
      </w:r>
      <w:r w:rsidRPr="009B78DA">
        <w:rPr>
          <w:rFonts w:ascii="Arial" w:hAnsi="Arial" w:cs="Arial"/>
          <w:color w:val="000000" w:themeColor="text1"/>
          <w:sz w:val="22"/>
          <w:szCs w:val="22"/>
        </w:rPr>
        <w:t xml:space="preserve"> ustanowiono</w:t>
      </w:r>
      <w:r w:rsidR="007E6195" w:rsidRPr="009B78DA">
        <w:rPr>
          <w:rFonts w:ascii="Arial" w:hAnsi="Arial" w:cs="Arial"/>
          <w:color w:val="000000" w:themeColor="text1"/>
          <w:sz w:val="22"/>
          <w:szCs w:val="22"/>
        </w:rPr>
        <w:t xml:space="preserve"> </w:t>
      </w:r>
      <w:r w:rsidR="000B0A64" w:rsidRPr="009B78DA">
        <w:rPr>
          <w:rFonts w:ascii="Arial" w:hAnsi="Arial" w:cs="Arial"/>
          <w:color w:val="000000" w:themeColor="text1"/>
          <w:sz w:val="22"/>
          <w:szCs w:val="22"/>
        </w:rPr>
        <w:t xml:space="preserve">wspólną cechą </w:t>
      </w:r>
      <w:r w:rsidR="00680A92" w:rsidRPr="009B78DA">
        <w:rPr>
          <w:rFonts w:ascii="Arial" w:hAnsi="Arial" w:cs="Arial"/>
          <w:color w:val="000000" w:themeColor="text1"/>
          <w:sz w:val="22"/>
          <w:szCs w:val="22"/>
        </w:rPr>
        <w:t xml:space="preserve">nadrzędną </w:t>
      </w:r>
      <w:r w:rsidR="00A23957" w:rsidRPr="009B78DA">
        <w:rPr>
          <w:rFonts w:ascii="Arial" w:hAnsi="Arial" w:cs="Arial"/>
          <w:color w:val="000000" w:themeColor="text1"/>
          <w:sz w:val="22"/>
          <w:szCs w:val="22"/>
        </w:rPr>
        <w:t>PSRT WP, co zostało</w:t>
      </w:r>
      <w:r w:rsidR="000B0A64" w:rsidRPr="009B78DA">
        <w:rPr>
          <w:rFonts w:ascii="Arial" w:hAnsi="Arial" w:cs="Arial"/>
          <w:color w:val="000000" w:themeColor="text1"/>
          <w:sz w:val="22"/>
          <w:szCs w:val="22"/>
        </w:rPr>
        <w:t xml:space="preserve"> opisan</w:t>
      </w:r>
      <w:r w:rsidR="00A23957" w:rsidRPr="009B78DA">
        <w:rPr>
          <w:rFonts w:ascii="Arial" w:hAnsi="Arial" w:cs="Arial"/>
          <w:color w:val="000000" w:themeColor="text1"/>
          <w:sz w:val="22"/>
          <w:szCs w:val="22"/>
        </w:rPr>
        <w:t>e</w:t>
      </w:r>
      <w:r w:rsidR="000B0A64" w:rsidRPr="009B78DA">
        <w:rPr>
          <w:rFonts w:ascii="Arial" w:hAnsi="Arial" w:cs="Arial"/>
          <w:color w:val="000000" w:themeColor="text1"/>
          <w:sz w:val="22"/>
          <w:szCs w:val="22"/>
        </w:rPr>
        <w:t xml:space="preserve"> w dalsze</w:t>
      </w:r>
      <w:r w:rsidR="00692599">
        <w:rPr>
          <w:rFonts w:ascii="Arial" w:hAnsi="Arial" w:cs="Arial"/>
          <w:color w:val="000000" w:themeColor="text1"/>
          <w:sz w:val="22"/>
          <w:szCs w:val="22"/>
        </w:rPr>
        <w:t>j części niniejszego dokumentu.</w:t>
      </w:r>
    </w:p>
    <w:p w14:paraId="12200B84" w14:textId="374E02A2" w:rsidR="003A4A53" w:rsidRPr="009B78DA" w:rsidRDefault="003A4A53" w:rsidP="00692599">
      <w:pPr>
        <w:pStyle w:val="Nagwek3"/>
        <w:numPr>
          <w:ilvl w:val="1"/>
          <w:numId w:val="258"/>
        </w:numPr>
        <w:rPr>
          <w:rFonts w:cs="Arial"/>
          <w:color w:val="000000" w:themeColor="text1"/>
          <w:sz w:val="24"/>
        </w:rPr>
      </w:pPr>
      <w:bookmarkStart w:id="42" w:name="_Toc100335058"/>
      <w:bookmarkStart w:id="43" w:name="_Toc146785782"/>
      <w:r w:rsidRPr="009B78DA">
        <w:rPr>
          <w:rFonts w:cs="Arial"/>
          <w:color w:val="000000" w:themeColor="text1"/>
          <w:sz w:val="24"/>
        </w:rPr>
        <w:t xml:space="preserve">Generatory ruchu jako punktowe miejsca wymagające obsługi </w:t>
      </w:r>
      <w:r w:rsidR="00107163" w:rsidRPr="009B78DA">
        <w:rPr>
          <w:rFonts w:cs="Arial"/>
          <w:color w:val="000000" w:themeColor="text1"/>
          <w:sz w:val="24"/>
        </w:rPr>
        <w:br/>
      </w:r>
      <w:r w:rsidRPr="009B78DA">
        <w:rPr>
          <w:rFonts w:cs="Arial"/>
          <w:color w:val="000000" w:themeColor="text1"/>
          <w:sz w:val="24"/>
        </w:rPr>
        <w:t>w transpor</w:t>
      </w:r>
      <w:r w:rsidR="00A1592F" w:rsidRPr="009B78DA">
        <w:rPr>
          <w:rFonts w:cs="Arial"/>
          <w:color w:val="000000" w:themeColor="text1"/>
          <w:sz w:val="24"/>
        </w:rPr>
        <w:t>cie pasażerskim i towarowym</w:t>
      </w:r>
      <w:bookmarkEnd w:id="42"/>
      <w:bookmarkEnd w:id="43"/>
    </w:p>
    <w:p w14:paraId="726689DD" w14:textId="4EE5B167" w:rsidR="003A4A53"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W analizach transportowych zwraca się uwagę między innymi na generatory ruchu-miejsca, w których</w:t>
      </w:r>
      <w:r w:rsidR="001B5270" w:rsidRPr="009B78DA">
        <w:rPr>
          <w:rFonts w:ascii="Arial" w:hAnsi="Arial" w:cs="Arial"/>
          <w:color w:val="000000" w:themeColor="text1"/>
          <w:sz w:val="22"/>
          <w:szCs w:val="22"/>
        </w:rPr>
        <w:t xml:space="preserve"> ruch</w:t>
      </w:r>
      <w:r w:rsidRPr="009B78DA">
        <w:rPr>
          <w:rFonts w:ascii="Arial" w:hAnsi="Arial" w:cs="Arial"/>
          <w:color w:val="000000" w:themeColor="text1"/>
          <w:sz w:val="22"/>
          <w:szCs w:val="22"/>
        </w:rPr>
        <w:t xml:space="preserve"> powstaje i </w:t>
      </w:r>
      <w:r w:rsidR="00FE0095" w:rsidRPr="009B78DA">
        <w:rPr>
          <w:rFonts w:ascii="Arial" w:hAnsi="Arial" w:cs="Arial"/>
          <w:color w:val="000000" w:themeColor="text1"/>
          <w:sz w:val="22"/>
          <w:szCs w:val="22"/>
        </w:rPr>
        <w:t>w których</w:t>
      </w:r>
      <w:r w:rsidRPr="009B78DA">
        <w:rPr>
          <w:rFonts w:ascii="Arial" w:hAnsi="Arial" w:cs="Arial"/>
          <w:color w:val="000000" w:themeColor="text1"/>
          <w:sz w:val="22"/>
          <w:szCs w:val="22"/>
        </w:rPr>
        <w:t xml:space="preserve"> jest absorbowany. Istotnym czynnikiem wpływającym na ruch jest sieć osadnicza (głównie większe miejscowości), związany z nią rozkład ludności oraz migracje, zarówno na poziomie całego regionu jak i poszczególnych gmin. Ważnymi generatorami ruchu są także miejsca pracy, szkoły ponad</w:t>
      </w:r>
      <w:r w:rsidR="004023EA" w:rsidRPr="009B78DA">
        <w:rPr>
          <w:rFonts w:ascii="Arial" w:hAnsi="Arial" w:cs="Arial"/>
          <w:color w:val="000000" w:themeColor="text1"/>
          <w:sz w:val="22"/>
          <w:szCs w:val="22"/>
        </w:rPr>
        <w:t>podstawowe</w:t>
      </w:r>
      <w:r w:rsidRPr="009B78DA">
        <w:rPr>
          <w:rFonts w:ascii="Arial" w:hAnsi="Arial" w:cs="Arial"/>
          <w:color w:val="000000" w:themeColor="text1"/>
          <w:sz w:val="22"/>
          <w:szCs w:val="22"/>
        </w:rPr>
        <w:t xml:space="preserve"> </w:t>
      </w:r>
      <w:r w:rsidR="00897328"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i ponadpodstawowe, uczelnie wyższe, instytucje publiczne takie jak: instytucje ochrony zdrowia (szpitale), ważne instytucje kultury czy siedziby urzędów administracji samorządowej </w:t>
      </w:r>
      <w:r w:rsidR="005A1FC1" w:rsidRPr="009B78DA">
        <w:rPr>
          <w:rFonts w:ascii="Arial" w:hAnsi="Arial" w:cs="Arial"/>
          <w:color w:val="000000" w:themeColor="text1"/>
          <w:sz w:val="22"/>
          <w:szCs w:val="22"/>
        </w:rPr>
        <w:br/>
      </w:r>
      <w:r w:rsidRPr="009B78DA">
        <w:rPr>
          <w:rFonts w:ascii="Arial" w:hAnsi="Arial" w:cs="Arial"/>
          <w:color w:val="000000" w:themeColor="text1"/>
          <w:sz w:val="22"/>
          <w:szCs w:val="22"/>
        </w:rPr>
        <w:t>i rządowej szczebla wojewódzkiego oraz obiekty turystyczne, handlowe.</w:t>
      </w:r>
    </w:p>
    <w:p w14:paraId="62C3C4FD" w14:textId="4D6D57C5" w:rsidR="003A4A53"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Z diagnozy wynika, iż więksi pracodawcy są dużym generatorem ruchu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w województwie podkarpackim, a ich działalność gospodarcza zlokalizowana jest głównie na terenach miast. W roku </w:t>
      </w:r>
      <w:r w:rsidR="00E50123" w:rsidRPr="009B78DA">
        <w:rPr>
          <w:rFonts w:ascii="Arial" w:hAnsi="Arial" w:cs="Arial"/>
          <w:color w:val="000000" w:themeColor="text1"/>
          <w:sz w:val="22"/>
          <w:szCs w:val="22"/>
        </w:rPr>
        <w:t>2022</w:t>
      </w:r>
      <w:r w:rsidRPr="009B78DA">
        <w:rPr>
          <w:rFonts w:ascii="Arial" w:hAnsi="Arial" w:cs="Arial"/>
          <w:color w:val="000000" w:themeColor="text1"/>
          <w:sz w:val="22"/>
          <w:szCs w:val="22"/>
        </w:rPr>
        <w:t xml:space="preserve"> na terenie województwa podkarpackiego do rejestru REGON wpisanych było </w:t>
      </w:r>
      <w:r w:rsidR="00E50123" w:rsidRPr="009B78DA">
        <w:rPr>
          <w:rFonts w:ascii="Arial" w:hAnsi="Arial" w:cs="Arial"/>
          <w:color w:val="000000" w:themeColor="text1"/>
          <w:sz w:val="22"/>
          <w:szCs w:val="22"/>
        </w:rPr>
        <w:t>203 190</w:t>
      </w:r>
      <w:r w:rsidRPr="009B78DA">
        <w:rPr>
          <w:rFonts w:ascii="Arial" w:hAnsi="Arial" w:cs="Arial"/>
          <w:color w:val="000000" w:themeColor="text1"/>
          <w:sz w:val="22"/>
          <w:szCs w:val="22"/>
        </w:rPr>
        <w:t xml:space="preserve"> podmiotów gospodarczych, z czego 16,</w:t>
      </w:r>
      <w:r w:rsidR="0045669D" w:rsidRPr="009B78DA">
        <w:rPr>
          <w:rFonts w:ascii="Arial" w:hAnsi="Arial" w:cs="Arial"/>
          <w:color w:val="000000" w:themeColor="text1"/>
          <w:sz w:val="22"/>
          <w:szCs w:val="22"/>
        </w:rPr>
        <w:t>8</w:t>
      </w:r>
      <w:r w:rsidRPr="009B78DA">
        <w:rPr>
          <w:rFonts w:ascii="Arial" w:hAnsi="Arial" w:cs="Arial"/>
          <w:color w:val="000000" w:themeColor="text1"/>
          <w:sz w:val="22"/>
          <w:szCs w:val="22"/>
        </w:rPr>
        <w:t xml:space="preserve">% zarejestrowanych było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w mieście Rzeszowie. W Rzeszowie, powiecie rzeszowskim i powiatach położonych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w zachodniej części województwa funkcjonują duże zakłady pracy, które warunkują zwiększony popyt na przewozy towarowe, zarówno transportem drogowym jak i kolejowym. Lokalizacja SSE oraz parków technologicznych</w:t>
      </w:r>
      <w:r w:rsidR="00F33F01" w:rsidRPr="009B78DA">
        <w:rPr>
          <w:rFonts w:ascii="Arial" w:hAnsi="Arial" w:cs="Arial"/>
          <w:color w:val="000000" w:themeColor="text1"/>
          <w:sz w:val="22"/>
          <w:szCs w:val="22"/>
        </w:rPr>
        <w:t xml:space="preserve"> i</w:t>
      </w:r>
      <w:r w:rsidRPr="009B78DA">
        <w:rPr>
          <w:rFonts w:ascii="Arial" w:hAnsi="Arial" w:cs="Arial"/>
          <w:color w:val="000000" w:themeColor="text1"/>
          <w:sz w:val="22"/>
          <w:szCs w:val="22"/>
        </w:rPr>
        <w:t xml:space="preserve"> przemysłowych nawiązuje do rozmieszczenia ośrodków przemysłowych województwa podkarpackiego, czyli Rzeszowa, Stalowej Woli, Mielca, Dębicy, Jasła, Krosna i Sanoka oraz korytarzy układu komunikacyjnego, m.in. DK73/DK28, DK77 oraz dróg wojewódzkich.</w:t>
      </w:r>
    </w:p>
    <w:p w14:paraId="0B6918B9" w14:textId="5F6C35D0" w:rsidR="0066468C"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Województwo podkarpackie charakteryzuje się policentrycznym rozmieszczeniem przemysłu. Świadczy o tym lokalizacja większych zakładów przemysłowych, które zlokalizowane są w północno-zachodniej oraz centralnej części województwa. Są to </w:t>
      </w:r>
      <w:r w:rsidR="00F33F01" w:rsidRPr="009B78DA">
        <w:rPr>
          <w:rFonts w:ascii="Arial" w:hAnsi="Arial" w:cs="Arial"/>
          <w:color w:val="000000" w:themeColor="text1"/>
          <w:sz w:val="22"/>
          <w:szCs w:val="22"/>
        </w:rPr>
        <w:t xml:space="preserve">części </w:t>
      </w:r>
      <w:r w:rsidRPr="009B78DA">
        <w:rPr>
          <w:rFonts w:ascii="Arial" w:hAnsi="Arial" w:cs="Arial"/>
          <w:color w:val="000000" w:themeColor="text1"/>
          <w:sz w:val="22"/>
          <w:szCs w:val="22"/>
        </w:rPr>
        <w:t>region</w:t>
      </w:r>
      <w:r w:rsidR="00F33F01" w:rsidRPr="009B78DA">
        <w:rPr>
          <w:rFonts w:ascii="Arial" w:hAnsi="Arial" w:cs="Arial"/>
          <w:color w:val="000000" w:themeColor="text1"/>
          <w:sz w:val="22"/>
          <w:szCs w:val="22"/>
        </w:rPr>
        <w:t>u</w:t>
      </w:r>
      <w:r w:rsidRPr="009B78DA">
        <w:rPr>
          <w:rFonts w:ascii="Arial" w:hAnsi="Arial" w:cs="Arial"/>
          <w:color w:val="000000" w:themeColor="text1"/>
          <w:sz w:val="22"/>
          <w:szCs w:val="22"/>
        </w:rPr>
        <w:t xml:space="preserve"> powiązane z przemysłem lotniczym, elektromaszynowym i chemicznym. Obszarami </w:t>
      </w:r>
      <w:r w:rsidR="005A1FC1"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o najniższej produkcji sprzedanej przemysłu jest </w:t>
      </w:r>
      <w:r w:rsidR="00F33F01" w:rsidRPr="009B78DA">
        <w:rPr>
          <w:rFonts w:ascii="Arial" w:hAnsi="Arial" w:cs="Arial"/>
          <w:color w:val="000000" w:themeColor="text1"/>
          <w:sz w:val="22"/>
          <w:szCs w:val="22"/>
        </w:rPr>
        <w:t>rejon</w:t>
      </w:r>
      <w:r w:rsidRPr="009B78DA">
        <w:rPr>
          <w:rFonts w:ascii="Arial" w:hAnsi="Arial" w:cs="Arial"/>
          <w:color w:val="000000" w:themeColor="text1"/>
          <w:sz w:val="22"/>
          <w:szCs w:val="22"/>
        </w:rPr>
        <w:t xml:space="preserve"> Bieszczadów.</w:t>
      </w:r>
    </w:p>
    <w:p w14:paraId="59E61984" w14:textId="666668F0" w:rsidR="0066468C"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Działalność gospodarcza województwa podkarpackiego jest zróżnicowana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w zależności od części regionu. Poszczególne obszary różnią się między sobą strukturą gospodarczą obejmującą działalność przemysłowa, usługową, handlową oraz turystykę. Niewątpliwie ma to związek z uwarunkowaniami przyrodniczymi i historycznymi. Na terenie województwa podkarpackiego w roku </w:t>
      </w:r>
      <w:r w:rsidR="0045669D" w:rsidRPr="009B78DA">
        <w:rPr>
          <w:rFonts w:ascii="Arial" w:hAnsi="Arial" w:cs="Arial"/>
          <w:color w:val="000000" w:themeColor="text1"/>
          <w:sz w:val="22"/>
          <w:szCs w:val="22"/>
        </w:rPr>
        <w:t>2022</w:t>
      </w:r>
      <w:r w:rsidRPr="009B78DA">
        <w:rPr>
          <w:rFonts w:ascii="Arial" w:hAnsi="Arial" w:cs="Arial"/>
          <w:color w:val="000000" w:themeColor="text1"/>
          <w:sz w:val="22"/>
          <w:szCs w:val="22"/>
        </w:rPr>
        <w:t xml:space="preserve"> wśród podmiotów gospodarczych wpisanych do rejestru REGON dominowały usługi w dużych miastach –</w:t>
      </w:r>
      <w:r w:rsidR="0066468C" w:rsidRPr="009B78DA">
        <w:rPr>
          <w:rFonts w:ascii="Arial" w:hAnsi="Arial" w:cs="Arial"/>
          <w:color w:val="000000" w:themeColor="text1"/>
          <w:sz w:val="22"/>
          <w:szCs w:val="22"/>
        </w:rPr>
        <w:t xml:space="preserve"> Rzeszowie, Krośnie, Przemyślu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i Tarnobrzegu. Obszary pełniące funkcje turystyczne i uzdrowiskowe o znaczeniu i zasięgu ponadlokalnym oraz lokalnym zlokalizowane są w południowo-wschodniej części województwa. Na obszarach przygranicznych, w tym zwłaszcza wokół przejść granicznych rozwinął się handel przygraniczny. W zachodniej i centralnej części regionu dominuje przemysł elektromaszynowy, lotniczy, chemiczny, farmaceutyczny. Przemysł meblarski i drzewny dominuje w południowych powiatach województwa. Krosno jest szczególnie silnym ośrodkiem produkcji meblarskiej. W województwie podkarpackim prężnie działa również przemysł spożywczy, który kooperuje z rolnictwem, leśn</w:t>
      </w:r>
      <w:r w:rsidR="0066468C" w:rsidRPr="009B78DA">
        <w:rPr>
          <w:rFonts w:ascii="Arial" w:hAnsi="Arial" w:cs="Arial"/>
          <w:color w:val="000000" w:themeColor="text1"/>
          <w:sz w:val="22"/>
          <w:szCs w:val="22"/>
        </w:rPr>
        <w:t>ictwem, łowiectwem i rybactwem.</w:t>
      </w:r>
    </w:p>
    <w:p w14:paraId="6B6DD283" w14:textId="57415910" w:rsidR="0066468C"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Generatorami ruchu są również uczelnie wyższe i szkoły średnie. Według informacji ze Zintegrowanego Systemu Informacji o Nauce i Szkolnictwie Wyższym (POL-on), na terenie województwa podkarpackiego funkcjonuje </w:t>
      </w:r>
      <w:bookmarkStart w:id="44" w:name="_Hlk92551508"/>
      <w:r w:rsidR="00D232C6" w:rsidRPr="009B78DA">
        <w:rPr>
          <w:rFonts w:ascii="Arial" w:hAnsi="Arial" w:cs="Arial"/>
          <w:color w:val="000000" w:themeColor="text1"/>
          <w:sz w:val="22"/>
          <w:szCs w:val="22"/>
        </w:rPr>
        <w:t>16</w:t>
      </w:r>
      <w:r w:rsidRPr="009B78DA">
        <w:rPr>
          <w:rFonts w:ascii="Arial" w:hAnsi="Arial" w:cs="Arial"/>
          <w:color w:val="000000" w:themeColor="text1"/>
          <w:sz w:val="22"/>
          <w:szCs w:val="22"/>
        </w:rPr>
        <w:t xml:space="preserve"> uczelni wyższych</w:t>
      </w:r>
      <w:r w:rsidR="00D232C6" w:rsidRPr="009B78DA">
        <w:rPr>
          <w:rFonts w:ascii="Arial" w:hAnsi="Arial" w:cs="Arial"/>
          <w:color w:val="000000" w:themeColor="text1"/>
          <w:sz w:val="22"/>
          <w:szCs w:val="22"/>
        </w:rPr>
        <w:t xml:space="preserve"> oraz 2 wyższe seminaria duchowne</w:t>
      </w:r>
      <w:bookmarkEnd w:id="44"/>
      <w:r w:rsidRPr="009B78DA">
        <w:rPr>
          <w:rFonts w:ascii="Arial" w:hAnsi="Arial" w:cs="Arial"/>
          <w:color w:val="000000" w:themeColor="text1"/>
          <w:sz w:val="22"/>
          <w:szCs w:val="22"/>
        </w:rPr>
        <w:t xml:space="preserve"> (w Rzeszowie – 6, Przemyślu – 4, Stalowej Woli – 2, Jaśle – 1, Krośnie – 1, Tarnobrzegu – 1, Sanoku – 1, Jarosławiu – 1, Przeworsku – 1) i dwa wydziały zamiejscowe (KUL w Stalowej Woli i AHE w Jaśle). W 2018 roku na uczelniach wyższych </w:t>
      </w:r>
      <w:r w:rsidR="00692599">
        <w:rPr>
          <w:rFonts w:ascii="Arial" w:hAnsi="Arial" w:cs="Arial"/>
          <w:color w:val="000000" w:themeColor="text1"/>
          <w:sz w:val="22"/>
          <w:szCs w:val="22"/>
        </w:rPr>
        <w:br/>
      </w:r>
      <w:r w:rsidRPr="009B78DA">
        <w:rPr>
          <w:rFonts w:ascii="Arial" w:hAnsi="Arial" w:cs="Arial"/>
          <w:color w:val="000000" w:themeColor="text1"/>
          <w:sz w:val="22"/>
          <w:szCs w:val="22"/>
        </w:rPr>
        <w:t>w regionie (bez studentów w wydziałach zamiejscowych) kształciło się 46 912 studentów. Najważniejszym ośrodkiem akademickim generującym dojazdy, a tym samym potrzeby transportowe, jest Rzeszów, a w dalszej kolejności Jarosław i Krosno.</w:t>
      </w:r>
      <w:r w:rsidR="00092E8C"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W warunkach mniej intensywnych dojazdów do pracy, szkoły wyższe mogą stać się jednym z </w:t>
      </w:r>
      <w:r w:rsidR="0066468C" w:rsidRPr="009B78DA">
        <w:rPr>
          <w:rFonts w:ascii="Arial" w:hAnsi="Arial" w:cs="Arial"/>
          <w:color w:val="000000" w:themeColor="text1"/>
          <w:sz w:val="22"/>
          <w:szCs w:val="22"/>
        </w:rPr>
        <w:t>ważniejszych generatorów ruchu.</w:t>
      </w:r>
    </w:p>
    <w:p w14:paraId="6F31EB91" w14:textId="39C1B5CB" w:rsidR="0066468C"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Rozmieszczenie szkół średnich w województwie podkarpackim nawiązuje </w:t>
      </w:r>
      <w:r w:rsidR="0066468C" w:rsidRPr="009B78DA">
        <w:rPr>
          <w:rFonts w:ascii="Arial" w:hAnsi="Arial" w:cs="Arial"/>
          <w:color w:val="000000" w:themeColor="text1"/>
          <w:sz w:val="22"/>
          <w:szCs w:val="22"/>
        </w:rPr>
        <w:br/>
      </w:r>
      <w:r w:rsidRPr="009B78DA">
        <w:rPr>
          <w:rFonts w:ascii="Arial" w:hAnsi="Arial" w:cs="Arial"/>
          <w:color w:val="000000" w:themeColor="text1"/>
          <w:sz w:val="22"/>
          <w:szCs w:val="22"/>
        </w:rPr>
        <w:t>w dużym stopniu do rozkładu przestrzennego osadnictwa na jego obszarze. Największa liczba uczniów szkół średnich w</w:t>
      </w:r>
      <w:r w:rsidR="0045669D" w:rsidRPr="009B78DA">
        <w:rPr>
          <w:rFonts w:ascii="Arial" w:hAnsi="Arial" w:cs="Arial"/>
          <w:color w:val="000000" w:themeColor="text1"/>
          <w:sz w:val="22"/>
          <w:szCs w:val="22"/>
        </w:rPr>
        <w:t xml:space="preserve"> 2021 </w:t>
      </w:r>
      <w:r w:rsidRPr="009B78DA">
        <w:rPr>
          <w:rFonts w:ascii="Arial" w:hAnsi="Arial" w:cs="Arial"/>
          <w:color w:val="000000" w:themeColor="text1"/>
          <w:sz w:val="22"/>
          <w:szCs w:val="22"/>
        </w:rPr>
        <w:t xml:space="preserve">roku koncentrowała się w placówkach położonych na terenie Rzeszowa, na co wpływ miały atrakcyjna oferta edukacyjna szkół oraz dobre skomunikowanie ośrodka centralnego z gminami sąsiednimi. Duża część uczniów </w:t>
      </w:r>
      <w:r w:rsidR="00692599">
        <w:rPr>
          <w:rFonts w:ascii="Arial" w:hAnsi="Arial" w:cs="Arial"/>
          <w:color w:val="000000" w:themeColor="text1"/>
          <w:sz w:val="22"/>
          <w:szCs w:val="22"/>
        </w:rPr>
        <w:br/>
      </w:r>
      <w:r w:rsidRPr="009B78DA">
        <w:rPr>
          <w:rFonts w:ascii="Arial" w:hAnsi="Arial" w:cs="Arial"/>
          <w:color w:val="000000" w:themeColor="text1"/>
          <w:sz w:val="22"/>
          <w:szCs w:val="22"/>
        </w:rPr>
        <w:t xml:space="preserve">z obszarów województwa wybierała również kształcenie w szkołach </w:t>
      </w:r>
      <w:r w:rsidR="00701771" w:rsidRPr="009B78DA">
        <w:rPr>
          <w:rFonts w:ascii="Arial" w:hAnsi="Arial" w:cs="Arial"/>
          <w:color w:val="000000" w:themeColor="text1"/>
          <w:sz w:val="22"/>
          <w:szCs w:val="22"/>
        </w:rPr>
        <w:t xml:space="preserve">ponadpodstawowych </w:t>
      </w:r>
      <w:r w:rsidRPr="009B78DA">
        <w:rPr>
          <w:rFonts w:ascii="Arial" w:hAnsi="Arial" w:cs="Arial"/>
          <w:color w:val="000000" w:themeColor="text1"/>
          <w:sz w:val="22"/>
          <w:szCs w:val="22"/>
        </w:rPr>
        <w:t>zlokalizowanych w m.in. w Krośnie, Mielcu, Stalowej Woli</w:t>
      </w:r>
      <w:r w:rsidR="00ED34A4" w:rsidRPr="009B78DA">
        <w:rPr>
          <w:rFonts w:ascii="Arial" w:hAnsi="Arial" w:cs="Arial"/>
          <w:color w:val="000000" w:themeColor="text1"/>
          <w:sz w:val="22"/>
          <w:szCs w:val="22"/>
        </w:rPr>
        <w:t xml:space="preserve"> czy Leżajsku.</w:t>
      </w:r>
      <w:r w:rsidRPr="009B78DA">
        <w:rPr>
          <w:rFonts w:ascii="Arial" w:hAnsi="Arial" w:cs="Arial"/>
          <w:color w:val="000000" w:themeColor="text1"/>
          <w:sz w:val="22"/>
          <w:szCs w:val="22"/>
        </w:rPr>
        <w:t xml:space="preserve"> Z punktu widzenia potrzeb rozwoju transportu, szczególnego wsparcia wymagać będzie działająca na terenie województwa komunikacja publiczna, stanowiąca niekiedy dla uczniów szkół średnich ich jedyne źródło transportu do miejsc kształcenia. Niekorzystne zjawisko wykluczenia transportowego młodzieży ujawnia się w szczególności w południowej części województwa: Beskid Niski i Bieszczady, jak również na jego północo-wschodnich krańcach. Ponadto, </w:t>
      </w:r>
      <w:r w:rsidR="00692599">
        <w:rPr>
          <w:rFonts w:ascii="Arial" w:hAnsi="Arial" w:cs="Arial"/>
          <w:color w:val="000000" w:themeColor="text1"/>
          <w:sz w:val="22"/>
          <w:szCs w:val="22"/>
        </w:rPr>
        <w:br/>
      </w:r>
      <w:r w:rsidRPr="009B78DA">
        <w:rPr>
          <w:rFonts w:ascii="Arial" w:hAnsi="Arial" w:cs="Arial"/>
          <w:color w:val="000000" w:themeColor="text1"/>
          <w:sz w:val="22"/>
          <w:szCs w:val="22"/>
        </w:rPr>
        <w:t>w rejonie Pogórzy oraz w gminach położonych na północ od Rzeszowa</w:t>
      </w:r>
      <w:r w:rsidR="00F33F01" w:rsidRPr="009B78DA">
        <w:rPr>
          <w:rFonts w:ascii="Arial" w:hAnsi="Arial" w:cs="Arial"/>
          <w:color w:val="000000" w:themeColor="text1"/>
          <w:sz w:val="22"/>
          <w:szCs w:val="22"/>
        </w:rPr>
        <w:t xml:space="preserve"> w</w:t>
      </w:r>
      <w:r w:rsidRPr="009B78DA">
        <w:rPr>
          <w:rFonts w:ascii="Arial" w:hAnsi="Arial" w:cs="Arial"/>
          <w:color w:val="000000" w:themeColor="text1"/>
          <w:sz w:val="22"/>
          <w:szCs w:val="22"/>
        </w:rPr>
        <w:t>ybór</w:t>
      </w:r>
      <w:r w:rsidR="006E7B41" w:rsidRPr="009B78DA">
        <w:rPr>
          <w:rStyle w:val="Odwoaniedokomentarza"/>
          <w:color w:val="000000" w:themeColor="text1"/>
        </w:rPr>
        <w:t xml:space="preserve"> </w:t>
      </w:r>
      <w:r w:rsidRPr="009B78DA">
        <w:rPr>
          <w:rFonts w:ascii="Arial" w:hAnsi="Arial" w:cs="Arial"/>
          <w:color w:val="000000" w:themeColor="text1"/>
          <w:sz w:val="22"/>
          <w:szCs w:val="22"/>
        </w:rPr>
        <w:t xml:space="preserve">placówek edukacyjnych, jakim dysponują uczniowie jest niewielki, co stanowi impuls do usprawniania </w:t>
      </w:r>
      <w:r w:rsidR="00692599">
        <w:rPr>
          <w:rFonts w:ascii="Arial" w:hAnsi="Arial" w:cs="Arial"/>
          <w:color w:val="000000" w:themeColor="text1"/>
          <w:sz w:val="22"/>
          <w:szCs w:val="22"/>
        </w:rPr>
        <w:br/>
      </w:r>
      <w:r w:rsidRPr="009B78DA">
        <w:rPr>
          <w:rFonts w:ascii="Arial" w:hAnsi="Arial" w:cs="Arial"/>
          <w:color w:val="000000" w:themeColor="text1"/>
          <w:sz w:val="22"/>
          <w:szCs w:val="22"/>
        </w:rPr>
        <w:t>i rozwoju systemu komunikacji publicznej na tym obszarze, w tym alternatywnych źródeł transportu, tj. Podmiejskiej Kolei Aglomeracyjnej</w:t>
      </w:r>
      <w:r w:rsidR="008529EB" w:rsidRPr="009B78DA">
        <w:rPr>
          <w:rFonts w:ascii="Arial" w:hAnsi="Arial" w:cs="Arial"/>
          <w:color w:val="000000" w:themeColor="text1"/>
          <w:sz w:val="22"/>
          <w:szCs w:val="22"/>
        </w:rPr>
        <w:t xml:space="preserve"> (PKA)</w:t>
      </w:r>
      <w:r w:rsidR="008529EB" w:rsidRPr="009B78DA">
        <w:rPr>
          <w:rStyle w:val="Odwoanieprzypisudolnego"/>
          <w:rFonts w:ascii="Arial" w:hAnsi="Arial" w:cs="Arial"/>
          <w:color w:val="000000" w:themeColor="text1"/>
          <w:sz w:val="22"/>
          <w:szCs w:val="22"/>
        </w:rPr>
        <w:footnoteReference w:id="7"/>
      </w:r>
      <w:r w:rsidRPr="009B78DA">
        <w:rPr>
          <w:rFonts w:ascii="Arial" w:hAnsi="Arial" w:cs="Arial"/>
          <w:color w:val="000000" w:themeColor="text1"/>
          <w:sz w:val="22"/>
          <w:szCs w:val="22"/>
        </w:rPr>
        <w:t>, która obsług</w:t>
      </w:r>
      <w:r w:rsidR="005516A2" w:rsidRPr="009B78DA">
        <w:rPr>
          <w:rFonts w:ascii="Arial" w:hAnsi="Arial" w:cs="Arial"/>
          <w:color w:val="000000" w:themeColor="text1"/>
          <w:sz w:val="22"/>
          <w:szCs w:val="22"/>
        </w:rPr>
        <w:t>uje</w:t>
      </w:r>
      <w:r w:rsidRPr="009B78DA">
        <w:rPr>
          <w:rFonts w:ascii="Arial" w:hAnsi="Arial" w:cs="Arial"/>
          <w:color w:val="000000" w:themeColor="text1"/>
          <w:sz w:val="22"/>
          <w:szCs w:val="22"/>
        </w:rPr>
        <w:t xml:space="preserve"> tereny położone </w:t>
      </w:r>
      <w:r w:rsidR="00692599">
        <w:rPr>
          <w:rFonts w:ascii="Arial" w:hAnsi="Arial" w:cs="Arial"/>
          <w:color w:val="000000" w:themeColor="text1"/>
          <w:sz w:val="22"/>
          <w:szCs w:val="22"/>
        </w:rPr>
        <w:br/>
      </w:r>
      <w:r w:rsidRPr="009B78DA">
        <w:rPr>
          <w:rFonts w:ascii="Arial" w:hAnsi="Arial" w:cs="Arial"/>
          <w:color w:val="000000" w:themeColor="text1"/>
          <w:sz w:val="22"/>
          <w:szCs w:val="22"/>
        </w:rPr>
        <w:t>w najbliższym</w:t>
      </w:r>
      <w:r w:rsidR="0066468C" w:rsidRPr="009B78DA">
        <w:rPr>
          <w:rFonts w:ascii="Arial" w:hAnsi="Arial" w:cs="Arial"/>
          <w:color w:val="000000" w:themeColor="text1"/>
          <w:sz w:val="22"/>
          <w:szCs w:val="22"/>
        </w:rPr>
        <w:t xml:space="preserve"> zasięgu ośrodka wojewódzkiego.</w:t>
      </w:r>
      <w:r w:rsidR="00BB67BB" w:rsidRPr="009B78DA">
        <w:rPr>
          <w:rFonts w:ascii="Arial" w:hAnsi="Arial" w:cs="Arial"/>
          <w:color w:val="000000" w:themeColor="text1"/>
          <w:sz w:val="22"/>
          <w:szCs w:val="22"/>
        </w:rPr>
        <w:t xml:space="preserve"> Zagrożenie wykluczeniem transportowym młodzieży ujawnia się także w niektórych gminach nie położonych peryferyjnie (np. na południe i </w:t>
      </w:r>
      <w:r w:rsidR="003F60B3" w:rsidRPr="009B78DA">
        <w:rPr>
          <w:rFonts w:ascii="Arial" w:hAnsi="Arial" w:cs="Arial"/>
          <w:color w:val="000000" w:themeColor="text1"/>
          <w:sz w:val="22"/>
          <w:szCs w:val="22"/>
        </w:rPr>
        <w:t>południowy wschód</w:t>
      </w:r>
      <w:r w:rsidR="00BB67BB" w:rsidRPr="009B78DA">
        <w:rPr>
          <w:rFonts w:ascii="Arial" w:hAnsi="Arial" w:cs="Arial"/>
          <w:color w:val="000000" w:themeColor="text1"/>
          <w:sz w:val="22"/>
          <w:szCs w:val="22"/>
        </w:rPr>
        <w:t xml:space="preserve"> od Rzeszowa), wynika </w:t>
      </w:r>
      <w:r w:rsidR="00E734E0" w:rsidRPr="009B78DA">
        <w:rPr>
          <w:rFonts w:ascii="Arial" w:hAnsi="Arial" w:cs="Arial"/>
          <w:color w:val="000000" w:themeColor="text1"/>
          <w:sz w:val="22"/>
          <w:szCs w:val="22"/>
        </w:rPr>
        <w:t xml:space="preserve">to </w:t>
      </w:r>
      <w:r w:rsidR="00BB67BB" w:rsidRPr="009B78DA">
        <w:rPr>
          <w:rFonts w:ascii="Arial" w:hAnsi="Arial" w:cs="Arial"/>
          <w:color w:val="000000" w:themeColor="text1"/>
          <w:sz w:val="22"/>
          <w:szCs w:val="22"/>
        </w:rPr>
        <w:t xml:space="preserve">z występujących tam problemów </w:t>
      </w:r>
      <w:r w:rsidR="00692599">
        <w:rPr>
          <w:rFonts w:ascii="Arial" w:hAnsi="Arial" w:cs="Arial"/>
          <w:color w:val="000000" w:themeColor="text1"/>
          <w:sz w:val="22"/>
          <w:szCs w:val="22"/>
        </w:rPr>
        <w:br/>
      </w:r>
      <w:r w:rsidR="00BB67BB" w:rsidRPr="009B78DA">
        <w:rPr>
          <w:rFonts w:ascii="Arial" w:hAnsi="Arial" w:cs="Arial"/>
          <w:color w:val="000000" w:themeColor="text1"/>
          <w:sz w:val="22"/>
          <w:szCs w:val="22"/>
        </w:rPr>
        <w:t xml:space="preserve">z finansowaniem komunikacji autobusowej. Uwarunkowania geograficzne położonych na południe od Rzeszowa gmin nie wskazuje na możliwość rozbudowy systemu </w:t>
      </w:r>
      <w:r w:rsidR="008529EB" w:rsidRPr="009B78DA">
        <w:rPr>
          <w:rFonts w:ascii="Arial" w:hAnsi="Arial" w:cs="Arial"/>
          <w:color w:val="000000" w:themeColor="text1"/>
          <w:sz w:val="22"/>
          <w:szCs w:val="22"/>
        </w:rPr>
        <w:t>PKA</w:t>
      </w:r>
      <w:r w:rsidR="006E7B41" w:rsidRPr="009B78DA">
        <w:rPr>
          <w:rFonts w:ascii="Arial" w:hAnsi="Arial" w:cs="Arial"/>
          <w:color w:val="000000" w:themeColor="text1"/>
          <w:sz w:val="22"/>
          <w:szCs w:val="22"/>
        </w:rPr>
        <w:t xml:space="preserve">. Tym </w:t>
      </w:r>
      <w:r w:rsidR="00BB67BB" w:rsidRPr="009B78DA">
        <w:rPr>
          <w:rFonts w:ascii="Arial" w:hAnsi="Arial" w:cs="Arial"/>
          <w:color w:val="000000" w:themeColor="text1"/>
          <w:sz w:val="22"/>
          <w:szCs w:val="22"/>
        </w:rPr>
        <w:t>samym transport autobusowy</w:t>
      </w:r>
      <w:r w:rsidR="00C85877" w:rsidRPr="009B78DA">
        <w:rPr>
          <w:rFonts w:ascii="Arial" w:hAnsi="Arial" w:cs="Arial"/>
          <w:color w:val="000000" w:themeColor="text1"/>
          <w:sz w:val="22"/>
          <w:szCs w:val="22"/>
        </w:rPr>
        <w:t>, mimo kłopotów z jego finansowaniem,</w:t>
      </w:r>
      <w:r w:rsidR="00BB67BB" w:rsidRPr="009B78DA">
        <w:rPr>
          <w:rFonts w:ascii="Arial" w:hAnsi="Arial" w:cs="Arial"/>
          <w:color w:val="000000" w:themeColor="text1"/>
          <w:sz w:val="22"/>
          <w:szCs w:val="22"/>
        </w:rPr>
        <w:t xml:space="preserve"> jest obecnie j</w:t>
      </w:r>
      <w:r w:rsidR="00F45E35" w:rsidRPr="009B78DA">
        <w:rPr>
          <w:rFonts w:ascii="Arial" w:hAnsi="Arial" w:cs="Arial"/>
          <w:color w:val="000000" w:themeColor="text1"/>
          <w:sz w:val="22"/>
          <w:szCs w:val="22"/>
        </w:rPr>
        <w:t>edyną możliwą formą transportu.</w:t>
      </w:r>
      <w:r w:rsidR="00E83799" w:rsidRPr="009B78DA">
        <w:rPr>
          <w:rFonts w:ascii="Arial" w:hAnsi="Arial" w:cs="Arial"/>
          <w:color w:val="000000" w:themeColor="text1"/>
          <w:sz w:val="22"/>
          <w:szCs w:val="22"/>
        </w:rPr>
        <w:t xml:space="preserve"> Obszar ten, ze względu na swój charakter wymaga podjęcia działań mających na celu integrację różnych form transportu zbiorowego, celem uzyskania efektu synergii (integracja PKA oraz transportu autobusowego stanowi skuteczne rozwiązanie zapobiegające wykluczen</w:t>
      </w:r>
      <w:r w:rsidR="00692599">
        <w:rPr>
          <w:rFonts w:ascii="Arial" w:hAnsi="Arial" w:cs="Arial"/>
          <w:color w:val="000000" w:themeColor="text1"/>
          <w:sz w:val="22"/>
          <w:szCs w:val="22"/>
        </w:rPr>
        <w:t>iu transportowemu mieszkańców).</w:t>
      </w:r>
    </w:p>
    <w:p w14:paraId="6926FCCE" w14:textId="5767F580" w:rsidR="0066468C"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W województwie podkarpackim, wg znowelizowanej </w:t>
      </w:r>
      <w:r w:rsidR="00E734E0" w:rsidRPr="009B78DA">
        <w:rPr>
          <w:rFonts w:ascii="Arial" w:hAnsi="Arial" w:cs="Arial"/>
          <w:color w:val="000000" w:themeColor="text1"/>
          <w:sz w:val="22"/>
          <w:szCs w:val="22"/>
        </w:rPr>
        <w:t>U</w:t>
      </w:r>
      <w:r w:rsidRPr="009B78DA">
        <w:rPr>
          <w:rFonts w:ascii="Arial" w:hAnsi="Arial" w:cs="Arial"/>
          <w:color w:val="000000" w:themeColor="text1"/>
          <w:sz w:val="22"/>
          <w:szCs w:val="22"/>
        </w:rPr>
        <w:t>stawy o świadczeniach opieki zdrowotnej finansowanych ze środków publicznych (Dz.U. z 202</w:t>
      </w:r>
      <w:r w:rsidR="00F52B3A" w:rsidRPr="009B78DA">
        <w:rPr>
          <w:rFonts w:ascii="Arial" w:hAnsi="Arial" w:cs="Arial"/>
          <w:color w:val="000000" w:themeColor="text1"/>
          <w:sz w:val="22"/>
          <w:szCs w:val="22"/>
        </w:rPr>
        <w:t>2</w:t>
      </w:r>
      <w:r w:rsidRPr="009B78DA">
        <w:rPr>
          <w:rFonts w:ascii="Arial" w:hAnsi="Arial" w:cs="Arial"/>
          <w:color w:val="000000" w:themeColor="text1"/>
          <w:sz w:val="22"/>
          <w:szCs w:val="22"/>
        </w:rPr>
        <w:t xml:space="preserve"> r., poz. </w:t>
      </w:r>
      <w:r w:rsidR="00F52B3A" w:rsidRPr="009B78DA">
        <w:rPr>
          <w:rFonts w:ascii="Arial" w:hAnsi="Arial" w:cs="Arial"/>
          <w:color w:val="000000" w:themeColor="text1"/>
          <w:sz w:val="22"/>
          <w:szCs w:val="22"/>
        </w:rPr>
        <w:t>2561</w:t>
      </w:r>
      <w:r w:rsidRPr="009B78DA">
        <w:rPr>
          <w:rFonts w:ascii="Arial" w:hAnsi="Arial" w:cs="Arial"/>
          <w:color w:val="000000" w:themeColor="text1"/>
          <w:sz w:val="22"/>
          <w:szCs w:val="22"/>
        </w:rPr>
        <w:t>), znajduje się dwanaście szpitali I stopnia (w Dębicy, Kolbuszowej, Lesku, Leżajsku, Lubaczowie, Nisku, Nowej Dębie, Ropczycach, Strzyżowie, Ustrzykach Dolnych, Łańcucie, Rzeszowie), któr</w:t>
      </w:r>
      <w:r w:rsidR="00E734E0" w:rsidRPr="009B78DA">
        <w:rPr>
          <w:rFonts w:ascii="Arial" w:hAnsi="Arial" w:cs="Arial"/>
          <w:color w:val="000000" w:themeColor="text1"/>
          <w:sz w:val="22"/>
          <w:szCs w:val="22"/>
        </w:rPr>
        <w:t>ych</w:t>
      </w:r>
      <w:r w:rsidRPr="009B78DA">
        <w:rPr>
          <w:rFonts w:ascii="Arial" w:hAnsi="Arial" w:cs="Arial"/>
          <w:color w:val="000000" w:themeColor="text1"/>
          <w:sz w:val="22"/>
          <w:szCs w:val="22"/>
        </w:rPr>
        <w:t xml:space="preserve"> lokalizacja zapewnia w miarę szybki dojazd do najbliższego szpitala. </w:t>
      </w:r>
      <w:r w:rsidR="00E734E0" w:rsidRPr="009B78DA">
        <w:rPr>
          <w:rFonts w:ascii="Arial" w:hAnsi="Arial" w:cs="Arial"/>
          <w:color w:val="000000" w:themeColor="text1"/>
          <w:sz w:val="22"/>
          <w:szCs w:val="22"/>
        </w:rPr>
        <w:t>W województwie funkcjonuje również d</w:t>
      </w:r>
      <w:r w:rsidRPr="009B78DA">
        <w:rPr>
          <w:rFonts w:ascii="Arial" w:hAnsi="Arial" w:cs="Arial"/>
          <w:color w:val="000000" w:themeColor="text1"/>
          <w:sz w:val="22"/>
          <w:szCs w:val="22"/>
        </w:rPr>
        <w:t xml:space="preserve">ziewięć szpitali II stopnia (w Jarosławiu, Jaśle, Przeworsku, Rzeszowie, Stalowej Woli, Tarnobrzegu, Krośnie, Rudnej Małej), pięć szpitali III stopnia </w:t>
      </w:r>
      <w:r w:rsidR="00692599">
        <w:rPr>
          <w:rFonts w:ascii="Arial" w:hAnsi="Arial" w:cs="Arial"/>
          <w:color w:val="000000" w:themeColor="text1"/>
          <w:sz w:val="22"/>
          <w:szCs w:val="22"/>
        </w:rPr>
        <w:br/>
      </w:r>
      <w:r w:rsidRPr="009B78DA">
        <w:rPr>
          <w:rFonts w:ascii="Arial" w:hAnsi="Arial" w:cs="Arial"/>
          <w:color w:val="000000" w:themeColor="text1"/>
          <w:sz w:val="22"/>
          <w:szCs w:val="22"/>
        </w:rPr>
        <w:t>(w Mielcu, Sanoku, Przemyślu, Rzeszowie), trzy szpitale onkologiczne lub pulmonologiczne (w Brzozowie, Rzeszowie, Górnie) oraz jeden szpit</w:t>
      </w:r>
      <w:r w:rsidR="0066468C" w:rsidRPr="009B78DA">
        <w:rPr>
          <w:rFonts w:ascii="Arial" w:hAnsi="Arial" w:cs="Arial"/>
          <w:color w:val="000000" w:themeColor="text1"/>
          <w:sz w:val="22"/>
          <w:szCs w:val="22"/>
        </w:rPr>
        <w:t>al ogólnopolski (w Rzeszowie).</w:t>
      </w:r>
    </w:p>
    <w:p w14:paraId="17BD50AB" w14:textId="67069A3A" w:rsidR="0066468C"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Szpitale zlokalizowane są we wszystkich miastach powiatowych, co potencjalnie zapewnia mieszkańcom powiatów dobrą dostępność do usług medycznych. Duża koncentracja placówek specjalistycznych w Rzeszowie przemawia za usprawnieniem powiązań miasta z resztą regionu. Dostęp do szpitala onkologicznego w Brzozowie ulegnie poprawie poprzez podłączenie sieci komunikacyjnej regionu do planowanej S19. Z kolei peryferyjne obszary Bieszczadów i Beskidu Niskiego potrzebują poprawy stanu infrastruktury transportowej łączącej z Sanokiem, Ustrzykami Dolnymi i Leskiem w których zlokalizowane są</w:t>
      </w:r>
      <w:r w:rsidR="0066468C" w:rsidRPr="009B78DA">
        <w:rPr>
          <w:rFonts w:ascii="Arial" w:hAnsi="Arial" w:cs="Arial"/>
          <w:color w:val="000000" w:themeColor="text1"/>
          <w:sz w:val="22"/>
          <w:szCs w:val="22"/>
        </w:rPr>
        <w:t xml:space="preserve"> najbliższe placówki szpitalne.</w:t>
      </w:r>
    </w:p>
    <w:p w14:paraId="54CC5DD4" w14:textId="29B6EAF1" w:rsidR="0066468C"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Rozmieszczenie obiektów handlowych odzwie</w:t>
      </w:r>
      <w:r w:rsidR="00F45E35" w:rsidRPr="009B78DA">
        <w:rPr>
          <w:rFonts w:ascii="Arial" w:hAnsi="Arial" w:cs="Arial"/>
          <w:color w:val="000000" w:themeColor="text1"/>
          <w:sz w:val="22"/>
          <w:szCs w:val="22"/>
        </w:rPr>
        <w:t>rciedla rozmieszczenie ludności</w:t>
      </w:r>
      <w:r w:rsidR="005A1FC1" w:rsidRPr="009B78DA">
        <w:rPr>
          <w:rFonts w:ascii="Arial" w:hAnsi="Arial" w:cs="Arial"/>
          <w:color w:val="000000" w:themeColor="text1"/>
          <w:sz w:val="22"/>
          <w:szCs w:val="22"/>
        </w:rPr>
        <w:br/>
      </w:r>
      <w:r w:rsidRPr="009B78DA">
        <w:rPr>
          <w:rFonts w:ascii="Arial" w:hAnsi="Arial" w:cs="Arial"/>
          <w:color w:val="000000" w:themeColor="text1"/>
          <w:sz w:val="22"/>
          <w:szCs w:val="22"/>
        </w:rPr>
        <w:t>w województwie – im liczniejsze skupiska ludności tym więcej sklepów wielkopowierzchniowych. Najwięcej obiektów handlowych jest w Rzeszowie, Mielcu, Krośnie, Przemyślu i Jarosławiu, co ma wpływ na nasilenie ruchu dojazdowego do tych miast. Największe galerie handlowe usytuowane są w centrum Rzeszowa i w rejonie południowo-wschodnim miasta. Obiektami generującymi ruch z większych odległości są hipermarkety, które zlokalizowane są w Rzeszowie i w gminach podmiejskich Rzeszowa: Krasne, Głogów Małopolski oraz w Przemyślu, Stalowej Woli, Mielcu, Krośnie</w:t>
      </w:r>
      <w:r w:rsidR="00E734E0"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w gminie podmiejskiej Krosna – Miejscu Piastowym, Tarnobrzegu, Dębicy, Jarosławiu, Sanoku. </w:t>
      </w:r>
      <w:r w:rsidR="00E734E0" w:rsidRPr="009B78DA">
        <w:rPr>
          <w:rFonts w:ascii="Arial" w:hAnsi="Arial" w:cs="Arial"/>
          <w:color w:val="000000" w:themeColor="text1"/>
          <w:sz w:val="22"/>
          <w:szCs w:val="22"/>
        </w:rPr>
        <w:t>R</w:t>
      </w:r>
      <w:r w:rsidRPr="009B78DA">
        <w:rPr>
          <w:rFonts w:ascii="Arial" w:hAnsi="Arial" w:cs="Arial"/>
          <w:color w:val="000000" w:themeColor="text1"/>
          <w:sz w:val="22"/>
          <w:szCs w:val="22"/>
        </w:rPr>
        <w:t xml:space="preserve">ozkład przestrzenny miejsc noclegowych w województwie podkarpackim odpowiada </w:t>
      </w:r>
      <w:r w:rsidR="00E734E0" w:rsidRPr="009B78DA">
        <w:rPr>
          <w:rFonts w:ascii="Arial" w:hAnsi="Arial" w:cs="Arial"/>
          <w:color w:val="000000" w:themeColor="text1"/>
          <w:sz w:val="22"/>
          <w:szCs w:val="22"/>
        </w:rPr>
        <w:t xml:space="preserve">natomiast </w:t>
      </w:r>
      <w:r w:rsidRPr="009B78DA">
        <w:rPr>
          <w:rFonts w:ascii="Arial" w:hAnsi="Arial" w:cs="Arial"/>
          <w:color w:val="000000" w:themeColor="text1"/>
          <w:sz w:val="22"/>
          <w:szCs w:val="22"/>
        </w:rPr>
        <w:t xml:space="preserve">rozmieszczeniu miejsc atrakcyjnych turystycznie </w:t>
      </w:r>
      <w:r w:rsidR="0066468C" w:rsidRPr="009B78DA">
        <w:rPr>
          <w:rFonts w:ascii="Arial" w:hAnsi="Arial" w:cs="Arial"/>
          <w:color w:val="000000" w:themeColor="text1"/>
          <w:sz w:val="22"/>
          <w:szCs w:val="22"/>
        </w:rPr>
        <w:t>i administracyjno-biznesowych.</w:t>
      </w:r>
    </w:p>
    <w:p w14:paraId="3F386036" w14:textId="77777777" w:rsidR="0066468C"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Poziom oraz rozmieszczenie efektów aktywności eksportowej w województwie podkarpackim jest w większości zbieżny z układem gospodarczym regionu. Aktywność eksportowa regionu skoncentrowana jest głównie w centralnej oraz zachodniej części województwa. W województwie podkarpackim, w wymiarze międzynarodowym i krajowym, dominuje kierunek przepływu towarów z zachodu na wschód, co warunkuje równoleżnikowy przebieg głównego korytarza tranzytowego – autostrady A4 i linii kolejowej E30. Układ ten ułatwia rozwój eksportu z krajami wschodnimi, leżąc</w:t>
      </w:r>
      <w:r w:rsidR="0066468C" w:rsidRPr="009B78DA">
        <w:rPr>
          <w:rFonts w:ascii="Arial" w:hAnsi="Arial" w:cs="Arial"/>
          <w:color w:val="000000" w:themeColor="text1"/>
          <w:sz w:val="22"/>
          <w:szCs w:val="22"/>
        </w:rPr>
        <w:t>ymi poza zewnętrzną granicą UE.</w:t>
      </w:r>
    </w:p>
    <w:p w14:paraId="70CFDB6B" w14:textId="1D683908" w:rsidR="0066468C"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Największą rolę w wymianie towarowej województwa odgrywa rynek niemiecki, będący głównym partnerem regionu. Głównym kierunkiem eksportu w wymianie handlowej </w:t>
      </w:r>
      <w:r w:rsidR="00692599">
        <w:rPr>
          <w:rFonts w:ascii="Arial" w:hAnsi="Arial" w:cs="Arial"/>
          <w:color w:val="000000" w:themeColor="text1"/>
          <w:sz w:val="22"/>
          <w:szCs w:val="22"/>
        </w:rPr>
        <w:br/>
      </w:r>
      <w:r w:rsidRPr="009B78DA">
        <w:rPr>
          <w:rFonts w:ascii="Arial" w:hAnsi="Arial" w:cs="Arial"/>
          <w:color w:val="000000" w:themeColor="text1"/>
          <w:sz w:val="22"/>
          <w:szCs w:val="22"/>
        </w:rPr>
        <w:t>z krajami wschodnimi, szczególnie w powiatach przygranicznych, jest Ukraina. Ruch towarowy do krajów wschodnich odbywa się poprzez cztery drogowe przejścia graniczne (Medyka, Korczowa, Budomierz i Krościenko). Największa liczba samochodów ciężarowych w latach 2018 i 2019 została odprawiona na przejści</w:t>
      </w:r>
      <w:r w:rsidR="00E734E0" w:rsidRPr="009B78DA">
        <w:rPr>
          <w:rFonts w:ascii="Arial" w:hAnsi="Arial" w:cs="Arial"/>
          <w:color w:val="000000" w:themeColor="text1"/>
          <w:sz w:val="22"/>
          <w:szCs w:val="22"/>
        </w:rPr>
        <w:t>ach</w:t>
      </w:r>
      <w:r w:rsidRPr="009B78DA">
        <w:rPr>
          <w:rFonts w:ascii="Arial" w:hAnsi="Arial" w:cs="Arial"/>
          <w:color w:val="000000" w:themeColor="text1"/>
          <w:sz w:val="22"/>
          <w:szCs w:val="22"/>
        </w:rPr>
        <w:t xml:space="preserve"> graniczny</w:t>
      </w:r>
      <w:r w:rsidR="00E734E0" w:rsidRPr="009B78DA">
        <w:rPr>
          <w:rFonts w:ascii="Arial" w:hAnsi="Arial" w:cs="Arial"/>
          <w:color w:val="000000" w:themeColor="text1"/>
          <w:sz w:val="22"/>
          <w:szCs w:val="22"/>
        </w:rPr>
        <w:t>ch</w:t>
      </w:r>
      <w:r w:rsidRPr="009B78DA">
        <w:rPr>
          <w:rFonts w:ascii="Arial" w:hAnsi="Arial" w:cs="Arial"/>
          <w:color w:val="000000" w:themeColor="text1"/>
          <w:sz w:val="22"/>
          <w:szCs w:val="22"/>
        </w:rPr>
        <w:t xml:space="preserve"> w Korczowej oraz Medyce. Wymiana towarowa ze Słowacją ma charakter lokalny i koncentruje się głównie </w:t>
      </w:r>
      <w:r w:rsidR="00692599">
        <w:rPr>
          <w:rFonts w:ascii="Arial" w:hAnsi="Arial" w:cs="Arial"/>
          <w:color w:val="000000" w:themeColor="text1"/>
          <w:sz w:val="22"/>
          <w:szCs w:val="22"/>
        </w:rPr>
        <w:br/>
      </w:r>
      <w:r w:rsidRPr="009B78DA">
        <w:rPr>
          <w:rFonts w:ascii="Arial" w:hAnsi="Arial" w:cs="Arial"/>
          <w:color w:val="000000" w:themeColor="text1"/>
          <w:sz w:val="22"/>
          <w:szCs w:val="22"/>
        </w:rPr>
        <w:t>w rejonie m. Krosna oraz całego obszaru przygrani</w:t>
      </w:r>
      <w:r w:rsidR="0066468C" w:rsidRPr="009B78DA">
        <w:rPr>
          <w:rFonts w:ascii="Arial" w:hAnsi="Arial" w:cs="Arial"/>
          <w:color w:val="000000" w:themeColor="text1"/>
          <w:sz w:val="22"/>
          <w:szCs w:val="22"/>
        </w:rPr>
        <w:t>cznego powiatu krośnieńskiego.</w:t>
      </w:r>
      <w:r w:rsidR="00CA2B74" w:rsidRPr="009B78DA">
        <w:rPr>
          <w:rFonts w:ascii="Arial" w:hAnsi="Arial" w:cs="Arial"/>
          <w:color w:val="000000" w:themeColor="text1"/>
          <w:sz w:val="22"/>
          <w:szCs w:val="22"/>
        </w:rPr>
        <w:t xml:space="preserve"> Coraz częściej w wymianie towarowej bierze udział również międzynarodowy transport kolejowy.</w:t>
      </w:r>
    </w:p>
    <w:p w14:paraId="712195F9" w14:textId="6D6ECEDA" w:rsidR="0066468C" w:rsidRPr="009B78DA" w:rsidRDefault="003A4A53" w:rsidP="0069259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W skali kraju, koncentracja osobowego ruchu granicznego występuje wzdłuż całej wschodniej granicy Polski, będącej też zewnętrzną granicą Unii Europejskiej. Przyjmuje ona układ pasmowy, kształtowany poprzez odległość miejsca zamieszkania Polaków </w:t>
      </w:r>
      <w:r w:rsidR="00692599">
        <w:rPr>
          <w:rFonts w:ascii="Arial" w:hAnsi="Arial" w:cs="Arial"/>
          <w:color w:val="000000" w:themeColor="text1"/>
          <w:sz w:val="22"/>
          <w:szCs w:val="22"/>
        </w:rPr>
        <w:br/>
      </w:r>
      <w:r w:rsidRPr="009B78DA">
        <w:rPr>
          <w:rFonts w:ascii="Arial" w:hAnsi="Arial" w:cs="Arial"/>
          <w:color w:val="000000" w:themeColor="text1"/>
          <w:sz w:val="22"/>
          <w:szCs w:val="22"/>
        </w:rPr>
        <w:t xml:space="preserve">i cudzoziemców od granicy, podróżujących w kierunkach wschód-zachód. W obszarze przygranicznym województwa podkarpackiego, położonego przy granicy z Ukrainą, największe natężenie ruchu Polaków zamieszkałych w strefie 30 km od granicy występuje na przejściu granicznym w Krościenku, a ruchu cudzoziemców na przejściu w Medyce. Wraz ze wzrostem odległości od granicy miejsca zamieszkania Polaków i cudzoziemców zmniejsza się wartość natężenia ruchu granicznego. W przypadku ruchu granicznego ze Słowacją, przekraczający granicę cudzoziemcy, zamieszkiwali głównie tereny położone w zasięgu ponad 51 km od granicy, decydując się na zakupy w miejscach oddalonych do 30 km od granicy. Znaczny odsetek Polaków wybierał obiekty handlowe położone w pasie powyżej 51 km od granicy polsko-słowackiej, pokonując w tym celu odległości powyżej 51 </w:t>
      </w:r>
      <w:r w:rsidR="0066468C" w:rsidRPr="009B78DA">
        <w:rPr>
          <w:rFonts w:ascii="Arial" w:hAnsi="Arial" w:cs="Arial"/>
          <w:color w:val="000000" w:themeColor="text1"/>
          <w:sz w:val="22"/>
          <w:szCs w:val="22"/>
        </w:rPr>
        <w:t>km od ich miejsca zamieszkania.</w:t>
      </w:r>
      <w:r w:rsidR="00CA2B74" w:rsidRPr="009B78DA">
        <w:rPr>
          <w:rFonts w:ascii="Arial" w:hAnsi="Arial" w:cs="Arial"/>
          <w:color w:val="000000" w:themeColor="text1"/>
          <w:sz w:val="22"/>
          <w:szCs w:val="22"/>
        </w:rPr>
        <w:t xml:space="preserve"> Również w zakresie ruchu osobowego międzynarodowy transport kolejowy odgrywa coraz większa rolę, przejmując część połączeń </w:t>
      </w:r>
      <w:r w:rsidR="00692599">
        <w:rPr>
          <w:rFonts w:ascii="Arial" w:hAnsi="Arial" w:cs="Arial"/>
          <w:color w:val="000000" w:themeColor="text1"/>
          <w:sz w:val="22"/>
          <w:szCs w:val="22"/>
        </w:rPr>
        <w:t>od komunikacji autobusowej.</w:t>
      </w:r>
    </w:p>
    <w:p w14:paraId="30836646" w14:textId="3386709E" w:rsidR="003A4A53" w:rsidRPr="009B78DA" w:rsidRDefault="003A4A53" w:rsidP="00692599">
      <w:pPr>
        <w:spacing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Największe natężenie ruchu granicznego koncentruje się na granicy polsko-ukraińskiej, stanowiącej równocześnie zewnętrzną granicę Unii Europejskiej. Aktywność eksportowa województwa podkarpackiego, skoncentrowana w centralnej i zachodniej części regionu, dzięki bliskiemu położeniu względem głównego korytarza transportowego oraz nasilonemu ruchowi granicznemu w obszarze przygranicznym, stwarza odpowiednie warunki do sukcesywnego zwiększania eksportu wyprodukowanych towarów i usług na rynki krajów sąsiednich.</w:t>
      </w:r>
    </w:p>
    <w:p w14:paraId="3BF745CD" w14:textId="77777777" w:rsidR="003A4A53" w:rsidRPr="009B78DA" w:rsidRDefault="003A4A53" w:rsidP="00692599">
      <w:pPr>
        <w:pStyle w:val="Nagwek3"/>
        <w:numPr>
          <w:ilvl w:val="1"/>
          <w:numId w:val="258"/>
        </w:numPr>
        <w:rPr>
          <w:rFonts w:cs="Arial"/>
          <w:color w:val="000000" w:themeColor="text1"/>
          <w:sz w:val="24"/>
        </w:rPr>
      </w:pPr>
      <w:bookmarkStart w:id="45" w:name="_Toc100335059"/>
      <w:bookmarkStart w:id="46" w:name="_Toc146785783"/>
      <w:bookmarkStart w:id="47" w:name="_Hlk120254707"/>
      <w:r w:rsidRPr="009B78DA">
        <w:rPr>
          <w:rFonts w:cs="Arial"/>
          <w:color w:val="000000" w:themeColor="text1"/>
          <w:sz w:val="24"/>
        </w:rPr>
        <w:t>Infrastruktura transportowa</w:t>
      </w:r>
      <w:bookmarkEnd w:id="45"/>
      <w:bookmarkEnd w:id="46"/>
    </w:p>
    <w:bookmarkEnd w:id="47"/>
    <w:p w14:paraId="0CCC46F9" w14:textId="04851B2A" w:rsidR="003A4A53" w:rsidRPr="009B78DA" w:rsidRDefault="003A4A53" w:rsidP="0069259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Sieć transportowa województwa podkarpackiego jest ściśle powiązana z układem krajowym i transeuropejskim. Głównym elementem umiejscowienia systemu transportu województwa w europejskim systemie transportow</w:t>
      </w:r>
      <w:r w:rsidR="00A24369" w:rsidRPr="009B78DA">
        <w:rPr>
          <w:rFonts w:ascii="Arial" w:hAnsi="Arial" w:cs="Arial"/>
          <w:color w:val="000000" w:themeColor="text1"/>
          <w:sz w:val="22"/>
          <w:szCs w:val="22"/>
        </w:rPr>
        <w:t>ym jest jego położenie w ramach</w:t>
      </w:r>
      <w:bookmarkStart w:id="48" w:name="_Hlk120255504"/>
      <w:r w:rsidR="008E63EF">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Transeuropejskiej Sieci Transportowej (TEN-T), </w:t>
      </w:r>
      <w:bookmarkEnd w:id="48"/>
      <w:r w:rsidRPr="009B78DA">
        <w:rPr>
          <w:rFonts w:ascii="Arial" w:hAnsi="Arial" w:cs="Arial"/>
          <w:color w:val="000000" w:themeColor="text1"/>
          <w:sz w:val="22"/>
          <w:szCs w:val="22"/>
        </w:rPr>
        <w:t>do której należą:</w:t>
      </w:r>
    </w:p>
    <w:p w14:paraId="13CB88CA" w14:textId="77777777" w:rsidR="003A4A53" w:rsidRPr="009B78DA" w:rsidRDefault="003A4A53" w:rsidP="00692599">
      <w:pPr>
        <w:pStyle w:val="Akapitzlist"/>
        <w:numPr>
          <w:ilvl w:val="2"/>
          <w:numId w:val="7"/>
        </w:numPr>
        <w:spacing w:after="0" w:line="276" w:lineRule="auto"/>
        <w:ind w:left="538" w:hanging="181"/>
        <w:rPr>
          <w:rFonts w:ascii="Arial" w:hAnsi="Arial" w:cs="Arial"/>
          <w:color w:val="000000" w:themeColor="text1"/>
          <w:sz w:val="22"/>
          <w:szCs w:val="22"/>
          <w:u w:val="single"/>
        </w:rPr>
      </w:pPr>
      <w:r w:rsidRPr="009B78DA">
        <w:rPr>
          <w:rFonts w:ascii="Arial" w:hAnsi="Arial" w:cs="Arial"/>
          <w:color w:val="000000" w:themeColor="text1"/>
          <w:sz w:val="22"/>
          <w:szCs w:val="22"/>
          <w:u w:val="single"/>
        </w:rPr>
        <w:t>Sieć bazowa:</w:t>
      </w:r>
    </w:p>
    <w:p w14:paraId="024B680E" w14:textId="77777777" w:rsidR="003A4A53" w:rsidRPr="009B78DA" w:rsidRDefault="003A4A53" w:rsidP="00692599">
      <w:pPr>
        <w:pStyle w:val="Akapitzlist"/>
        <w:numPr>
          <w:ilvl w:val="0"/>
          <w:numId w:val="8"/>
        </w:numPr>
        <w:spacing w:after="0"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autostrada A4;</w:t>
      </w:r>
    </w:p>
    <w:p w14:paraId="21E39D2E" w14:textId="77777777" w:rsidR="003A4A53" w:rsidRPr="009B78DA" w:rsidRDefault="003A4A53" w:rsidP="00692599">
      <w:pPr>
        <w:pStyle w:val="Akapitzlist"/>
        <w:numPr>
          <w:ilvl w:val="0"/>
          <w:numId w:val="8"/>
        </w:numPr>
        <w:spacing w:after="0"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droga ekspresowa S19, na odcinku Rzeszów – Lublin;</w:t>
      </w:r>
    </w:p>
    <w:p w14:paraId="3411BB1E" w14:textId="77777777" w:rsidR="003A4A53" w:rsidRPr="009B78DA" w:rsidRDefault="003A4A53" w:rsidP="00692599">
      <w:pPr>
        <w:pStyle w:val="Akapitzlist"/>
        <w:numPr>
          <w:ilvl w:val="0"/>
          <w:numId w:val="8"/>
        </w:numPr>
        <w:spacing w:after="0"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linia kolejowa E30;</w:t>
      </w:r>
    </w:p>
    <w:p w14:paraId="27442A5E" w14:textId="77777777" w:rsidR="003A4A53" w:rsidRPr="009B78DA" w:rsidRDefault="003A4A53" w:rsidP="00692599">
      <w:pPr>
        <w:pStyle w:val="Akapitzlist"/>
        <w:numPr>
          <w:ilvl w:val="0"/>
          <w:numId w:val="8"/>
        </w:numPr>
        <w:spacing w:after="0"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przejście drogowe Korczowa – Krakowiec w ciągu autostrady A4;</w:t>
      </w:r>
    </w:p>
    <w:p w14:paraId="3B9D5B83" w14:textId="2E50AE62" w:rsidR="00475513" w:rsidRPr="00692599" w:rsidRDefault="003A4A53" w:rsidP="00692599">
      <w:pPr>
        <w:pStyle w:val="Akapitzlist"/>
        <w:numPr>
          <w:ilvl w:val="0"/>
          <w:numId w:val="8"/>
        </w:numPr>
        <w:spacing w:after="120" w:line="276" w:lineRule="auto"/>
        <w:ind w:left="92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przejście kolejowe Przemyśl – Mościska w ciągu linii kolejowej E30;</w:t>
      </w:r>
    </w:p>
    <w:p w14:paraId="1D0375A0" w14:textId="1F14ED69" w:rsidR="000E5639" w:rsidRPr="009B78DA" w:rsidRDefault="000E5639" w:rsidP="00692599">
      <w:pPr>
        <w:pStyle w:val="Akapitzlist"/>
        <w:numPr>
          <w:ilvl w:val="2"/>
          <w:numId w:val="7"/>
        </w:numPr>
        <w:spacing w:after="0" w:line="276" w:lineRule="auto"/>
        <w:ind w:left="709" w:hanging="283"/>
        <w:rPr>
          <w:rFonts w:ascii="Arial" w:hAnsi="Arial" w:cs="Arial"/>
          <w:color w:val="000000" w:themeColor="text1"/>
          <w:sz w:val="22"/>
          <w:szCs w:val="22"/>
          <w:u w:val="single"/>
        </w:rPr>
      </w:pPr>
      <w:r w:rsidRPr="009B78DA">
        <w:rPr>
          <w:rFonts w:ascii="Arial" w:hAnsi="Arial" w:cs="Arial"/>
          <w:color w:val="000000" w:themeColor="text1"/>
          <w:sz w:val="22"/>
          <w:szCs w:val="22"/>
          <w:u w:val="single"/>
        </w:rPr>
        <w:t>Sieć kompleksowa:</w:t>
      </w:r>
    </w:p>
    <w:p w14:paraId="6E984420" w14:textId="420354BC" w:rsidR="003A4A53" w:rsidRPr="009B78DA" w:rsidRDefault="003A4A53" w:rsidP="00692599">
      <w:pPr>
        <w:pStyle w:val="Akapitzlist"/>
        <w:numPr>
          <w:ilvl w:val="0"/>
          <w:numId w:val="9"/>
        </w:numPr>
        <w:spacing w:after="0"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odcinki linii kolejowych nr 68,74,25 oraz linia kolejowa nr 78 tworzące połączenie relacji Przeworsk – Stalowa Wola Rozwadów – Sandomierz – Skarżysko Kamienna</w:t>
      </w:r>
      <w:r w:rsidR="009A7C8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 Łódź Kaliska;</w:t>
      </w:r>
    </w:p>
    <w:p w14:paraId="627A7AE1" w14:textId="4CEE895C" w:rsidR="003A4A53" w:rsidRPr="009B78DA" w:rsidRDefault="003A4A53" w:rsidP="00692599">
      <w:pPr>
        <w:pStyle w:val="Akapitzlist"/>
        <w:numPr>
          <w:ilvl w:val="0"/>
          <w:numId w:val="9"/>
        </w:numPr>
        <w:spacing w:after="0"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lotnisko Rzeszów – Jasionka;</w:t>
      </w:r>
    </w:p>
    <w:p w14:paraId="0FC9024D" w14:textId="77777777" w:rsidR="003A4A53" w:rsidRPr="009B78DA" w:rsidRDefault="003A4A53" w:rsidP="00692599">
      <w:pPr>
        <w:pStyle w:val="Akapitzlist"/>
        <w:numPr>
          <w:ilvl w:val="0"/>
          <w:numId w:val="9"/>
        </w:numPr>
        <w:spacing w:after="0"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terminal kolejowo-drogowy Medyka – Żurawica;</w:t>
      </w:r>
    </w:p>
    <w:p w14:paraId="2D6A016A" w14:textId="77777777" w:rsidR="003A4A53" w:rsidRPr="009B78DA" w:rsidRDefault="003A4A53" w:rsidP="00692599">
      <w:pPr>
        <w:pStyle w:val="Akapitzlist"/>
        <w:numPr>
          <w:ilvl w:val="0"/>
          <w:numId w:val="9"/>
        </w:numPr>
        <w:spacing w:after="0"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 xml:space="preserve">odcinek projektowanej drogi ekspresowej S19 łączący autostradę A4 </w:t>
      </w:r>
      <w:r w:rsidR="00CC4AB0" w:rsidRPr="009B78DA">
        <w:rPr>
          <w:rFonts w:ascii="Arial" w:hAnsi="Arial" w:cs="Arial"/>
          <w:color w:val="000000" w:themeColor="text1"/>
          <w:sz w:val="22"/>
          <w:szCs w:val="22"/>
        </w:rPr>
        <w:br/>
      </w:r>
      <w:r w:rsidRPr="009B78DA">
        <w:rPr>
          <w:rFonts w:ascii="Arial" w:hAnsi="Arial" w:cs="Arial"/>
          <w:color w:val="000000" w:themeColor="text1"/>
          <w:sz w:val="22"/>
          <w:szCs w:val="22"/>
        </w:rPr>
        <w:t>z granicą ze Słowacją w Barwinku;</w:t>
      </w:r>
    </w:p>
    <w:p w14:paraId="56C5173F" w14:textId="77777777" w:rsidR="003A4A53" w:rsidRPr="009B78DA" w:rsidRDefault="003A4A53" w:rsidP="00692599">
      <w:pPr>
        <w:pStyle w:val="Akapitzlist"/>
        <w:numPr>
          <w:ilvl w:val="0"/>
          <w:numId w:val="9"/>
        </w:numPr>
        <w:spacing w:after="0" w:line="276" w:lineRule="auto"/>
        <w:ind w:left="924" w:hanging="357"/>
        <w:rPr>
          <w:rFonts w:ascii="Arial" w:hAnsi="Arial" w:cs="Arial"/>
          <w:color w:val="000000" w:themeColor="text1"/>
          <w:sz w:val="22"/>
          <w:szCs w:val="22"/>
        </w:rPr>
      </w:pPr>
      <w:bookmarkStart w:id="49" w:name="_Hlk120254742"/>
      <w:r w:rsidRPr="009B78DA">
        <w:rPr>
          <w:rFonts w:ascii="Arial" w:hAnsi="Arial" w:cs="Arial"/>
          <w:color w:val="000000" w:themeColor="text1"/>
          <w:sz w:val="22"/>
          <w:szCs w:val="22"/>
        </w:rPr>
        <w:t>odcinek projektowanej drogi ekspresowej S74 między granicą z województwem świętokrzyskim a pro</w:t>
      </w:r>
      <w:r w:rsidR="00CA6CD0" w:rsidRPr="009B78DA">
        <w:rPr>
          <w:rFonts w:ascii="Arial" w:hAnsi="Arial" w:cs="Arial"/>
          <w:color w:val="000000" w:themeColor="text1"/>
          <w:sz w:val="22"/>
          <w:szCs w:val="22"/>
        </w:rPr>
        <w:t>jektowaną drogą ekspresową S19.</w:t>
      </w:r>
    </w:p>
    <w:bookmarkEnd w:id="49"/>
    <w:p w14:paraId="75FC517F" w14:textId="171AE719" w:rsidR="00C641A4" w:rsidRPr="009B78DA" w:rsidRDefault="003A4A53" w:rsidP="00692599">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Długość sieci dróg publicznych w województwie podkarpackim wynosiła w </w:t>
      </w:r>
      <w:r w:rsidR="0045669D" w:rsidRPr="009B78DA">
        <w:rPr>
          <w:rFonts w:ascii="Arial" w:hAnsi="Arial" w:cs="Arial"/>
          <w:color w:val="000000" w:themeColor="text1"/>
          <w:sz w:val="22"/>
          <w:szCs w:val="22"/>
        </w:rPr>
        <w:t>2021</w:t>
      </w:r>
      <w:r w:rsidRPr="009B78DA">
        <w:rPr>
          <w:rFonts w:ascii="Arial" w:hAnsi="Arial" w:cs="Arial"/>
          <w:color w:val="000000" w:themeColor="text1"/>
          <w:sz w:val="22"/>
          <w:szCs w:val="22"/>
        </w:rPr>
        <w:t xml:space="preserve"> roku 21</w:t>
      </w:r>
      <w:r w:rsidR="0045669D" w:rsidRPr="009B78DA">
        <w:rPr>
          <w:rFonts w:ascii="Arial" w:hAnsi="Arial" w:cs="Arial"/>
          <w:color w:val="000000" w:themeColor="text1"/>
          <w:sz w:val="22"/>
          <w:szCs w:val="22"/>
        </w:rPr>
        <w:t> 735,9</w:t>
      </w:r>
      <w:r w:rsidRPr="009B78DA">
        <w:rPr>
          <w:rFonts w:ascii="Arial" w:hAnsi="Arial" w:cs="Arial"/>
          <w:color w:val="000000" w:themeColor="text1"/>
          <w:sz w:val="22"/>
          <w:szCs w:val="22"/>
        </w:rPr>
        <w:t xml:space="preserve"> km, co stanowiło ok. 5</w:t>
      </w:r>
      <w:r w:rsidR="0045669D" w:rsidRPr="009B78DA">
        <w:rPr>
          <w:rFonts w:ascii="Arial" w:hAnsi="Arial" w:cs="Arial"/>
          <w:color w:val="000000" w:themeColor="text1"/>
          <w:sz w:val="22"/>
          <w:szCs w:val="22"/>
        </w:rPr>
        <w:t>,2</w:t>
      </w:r>
      <w:r w:rsidRPr="009B78DA">
        <w:rPr>
          <w:rFonts w:ascii="Arial" w:hAnsi="Arial" w:cs="Arial"/>
          <w:color w:val="000000" w:themeColor="text1"/>
          <w:sz w:val="22"/>
          <w:szCs w:val="22"/>
        </w:rPr>
        <w:t>% długości s</w:t>
      </w:r>
      <w:r w:rsidR="00692599">
        <w:rPr>
          <w:rFonts w:ascii="Arial" w:hAnsi="Arial" w:cs="Arial"/>
          <w:color w:val="000000" w:themeColor="text1"/>
          <w:sz w:val="22"/>
          <w:szCs w:val="22"/>
        </w:rPr>
        <w:t>ieci dróg publicznych w Polsce.</w:t>
      </w:r>
    </w:p>
    <w:p w14:paraId="57C95D92" w14:textId="15ABE926" w:rsidR="000D69C5" w:rsidRPr="009B78DA" w:rsidRDefault="000D69C5" w:rsidP="00692599">
      <w:pPr>
        <w:pStyle w:val="Legenda"/>
        <w:keepNext/>
        <w:spacing w:after="0" w:line="276" w:lineRule="auto"/>
        <w:rPr>
          <w:rFonts w:ascii="Arial" w:hAnsi="Arial" w:cs="Arial"/>
          <w:i w:val="0"/>
          <w:color w:val="000000" w:themeColor="text1"/>
          <w:sz w:val="22"/>
          <w:szCs w:val="22"/>
        </w:rPr>
      </w:pPr>
      <w:bookmarkStart w:id="50" w:name="_Toc146785731"/>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bookmarkStart w:id="51" w:name="_Toc74563132"/>
      <w:r w:rsidRPr="009B78DA">
        <w:rPr>
          <w:rFonts w:ascii="Arial" w:hAnsi="Arial" w:cs="Arial"/>
          <w:i w:val="0"/>
          <w:color w:val="000000" w:themeColor="text1"/>
          <w:sz w:val="22"/>
          <w:szCs w:val="22"/>
        </w:rPr>
        <w:t>Długość sieci drogowej o nawierzchni twardej w Polsce i w województwie podkarpackim w 2021 r. (km)</w:t>
      </w:r>
      <w:bookmarkEnd w:id="51"/>
      <w:bookmarkEnd w:id="50"/>
    </w:p>
    <w:tbl>
      <w:tblPr>
        <w:tblStyle w:val="Tabela-Siatka"/>
        <w:tblW w:w="5000" w:type="pct"/>
        <w:tblLook w:val="04A0" w:firstRow="1" w:lastRow="0" w:firstColumn="1" w:lastColumn="0" w:noHBand="0" w:noVBand="1"/>
        <w:tblCaption w:val="Tabela 1. Długość sieci drogowej o nawierzchni twardej w Polsce i w województwie podkarpackim w 2018 r. (km)"/>
        <w:tblDescription w:val="Tabela zawiera Jednostka administracyjna, Krajowe, autostrady, ekspresowe, wojewódzkie, powiatowe, gminne"/>
      </w:tblPr>
      <w:tblGrid>
        <w:gridCol w:w="1745"/>
        <w:gridCol w:w="975"/>
        <w:gridCol w:w="1244"/>
        <w:gridCol w:w="1390"/>
        <w:gridCol w:w="1464"/>
        <w:gridCol w:w="1256"/>
        <w:gridCol w:w="988"/>
      </w:tblGrid>
      <w:tr w:rsidR="006F4FD2" w:rsidRPr="009B78DA" w14:paraId="6CC4862B" w14:textId="77777777" w:rsidTr="00692599">
        <w:trPr>
          <w:tblHeader/>
        </w:trPr>
        <w:tc>
          <w:tcPr>
            <w:tcW w:w="911" w:type="pct"/>
            <w:shd w:val="clear" w:color="auto" w:fill="DEEAF6" w:themeFill="accent1" w:themeFillTint="33"/>
            <w:vAlign w:val="center"/>
          </w:tcPr>
          <w:p w14:paraId="37D67CA9" w14:textId="77777777" w:rsidR="00450B1A" w:rsidRPr="009B78DA" w:rsidRDefault="00450B1A" w:rsidP="00F45E35">
            <w:pPr>
              <w:spacing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Jednostka administracyjna</w:t>
            </w:r>
          </w:p>
        </w:tc>
        <w:tc>
          <w:tcPr>
            <w:tcW w:w="557" w:type="pct"/>
            <w:shd w:val="clear" w:color="auto" w:fill="DEEAF6" w:themeFill="accent1" w:themeFillTint="33"/>
            <w:vAlign w:val="center"/>
          </w:tcPr>
          <w:p w14:paraId="3A794107" w14:textId="65C7081F" w:rsidR="00450B1A" w:rsidRPr="009B78DA" w:rsidRDefault="008E63EF" w:rsidP="008E63EF">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k</w:t>
            </w:r>
            <w:r w:rsidR="00450B1A" w:rsidRPr="009B78DA">
              <w:rPr>
                <w:rFonts w:ascii="Arial" w:hAnsi="Arial" w:cs="Arial"/>
                <w:color w:val="000000" w:themeColor="text1"/>
                <w:sz w:val="22"/>
                <w:szCs w:val="22"/>
              </w:rPr>
              <w:t>rajowe</w:t>
            </w:r>
          </w:p>
        </w:tc>
        <w:tc>
          <w:tcPr>
            <w:tcW w:w="662" w:type="pct"/>
            <w:shd w:val="clear" w:color="auto" w:fill="DEEAF6" w:themeFill="accent1" w:themeFillTint="33"/>
            <w:vAlign w:val="center"/>
          </w:tcPr>
          <w:p w14:paraId="58C07705" w14:textId="77777777" w:rsidR="00450B1A" w:rsidRPr="009B78DA" w:rsidRDefault="00450B1A" w:rsidP="008E63EF">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autostrady</w:t>
            </w:r>
          </w:p>
        </w:tc>
        <w:tc>
          <w:tcPr>
            <w:tcW w:w="736" w:type="pct"/>
            <w:shd w:val="clear" w:color="auto" w:fill="DEEAF6" w:themeFill="accent1" w:themeFillTint="33"/>
            <w:vAlign w:val="center"/>
          </w:tcPr>
          <w:p w14:paraId="6AA2CD9C" w14:textId="77777777" w:rsidR="00450B1A" w:rsidRPr="009B78DA" w:rsidRDefault="00450B1A" w:rsidP="008E63EF">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ekspresowe</w:t>
            </w:r>
          </w:p>
        </w:tc>
        <w:tc>
          <w:tcPr>
            <w:tcW w:w="809" w:type="pct"/>
            <w:shd w:val="clear" w:color="auto" w:fill="DEEAF6" w:themeFill="accent1" w:themeFillTint="33"/>
            <w:vAlign w:val="center"/>
          </w:tcPr>
          <w:p w14:paraId="02B6CEDD" w14:textId="3AC6E4DD" w:rsidR="00450B1A" w:rsidRPr="009B78DA" w:rsidRDefault="008E63EF" w:rsidP="008E63EF">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w</w:t>
            </w:r>
            <w:r w:rsidR="00450B1A" w:rsidRPr="009B78DA">
              <w:rPr>
                <w:rFonts w:ascii="Arial" w:hAnsi="Arial" w:cs="Arial"/>
                <w:color w:val="000000" w:themeColor="text1"/>
                <w:sz w:val="22"/>
                <w:szCs w:val="22"/>
              </w:rPr>
              <w:t>ojewódzkie</w:t>
            </w:r>
          </w:p>
        </w:tc>
        <w:tc>
          <w:tcPr>
            <w:tcW w:w="662" w:type="pct"/>
            <w:shd w:val="clear" w:color="auto" w:fill="DEEAF6" w:themeFill="accent1" w:themeFillTint="33"/>
            <w:vAlign w:val="center"/>
          </w:tcPr>
          <w:p w14:paraId="3A2AAB0F" w14:textId="77777777" w:rsidR="00450B1A" w:rsidRPr="009B78DA" w:rsidRDefault="00450B1A" w:rsidP="008E63EF">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powiatowe</w:t>
            </w:r>
          </w:p>
        </w:tc>
        <w:tc>
          <w:tcPr>
            <w:tcW w:w="662" w:type="pct"/>
            <w:shd w:val="clear" w:color="auto" w:fill="DEEAF6" w:themeFill="accent1" w:themeFillTint="33"/>
            <w:vAlign w:val="center"/>
          </w:tcPr>
          <w:p w14:paraId="11F12FD4" w14:textId="77777777" w:rsidR="00450B1A" w:rsidRPr="009B78DA" w:rsidRDefault="00450B1A" w:rsidP="008E63EF">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gminne</w:t>
            </w:r>
          </w:p>
        </w:tc>
      </w:tr>
      <w:tr w:rsidR="006F4FD2" w:rsidRPr="009B78DA" w14:paraId="28C42361" w14:textId="77777777" w:rsidTr="00692599">
        <w:tc>
          <w:tcPr>
            <w:tcW w:w="911" w:type="pct"/>
            <w:vAlign w:val="center"/>
          </w:tcPr>
          <w:p w14:paraId="4A5C1BA1" w14:textId="77777777" w:rsidR="00450B1A" w:rsidRPr="009B78DA" w:rsidRDefault="00450B1A" w:rsidP="00F45E35">
            <w:pPr>
              <w:spacing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Polska</w:t>
            </w:r>
          </w:p>
        </w:tc>
        <w:tc>
          <w:tcPr>
            <w:tcW w:w="557" w:type="pct"/>
            <w:vAlign w:val="center"/>
          </w:tcPr>
          <w:p w14:paraId="4A9CBAA4" w14:textId="313C4C1D" w:rsidR="00450B1A" w:rsidRPr="009B78DA" w:rsidRDefault="00C03F49"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19 498,1</w:t>
            </w:r>
          </w:p>
        </w:tc>
        <w:tc>
          <w:tcPr>
            <w:tcW w:w="662" w:type="pct"/>
            <w:vAlign w:val="center"/>
          </w:tcPr>
          <w:p w14:paraId="79B10688" w14:textId="3273BABF" w:rsidR="00450B1A" w:rsidRPr="009B78DA" w:rsidRDefault="00C03F49"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1 760,5</w:t>
            </w:r>
          </w:p>
        </w:tc>
        <w:tc>
          <w:tcPr>
            <w:tcW w:w="736" w:type="pct"/>
            <w:vAlign w:val="center"/>
          </w:tcPr>
          <w:p w14:paraId="17549143" w14:textId="2AA0F368" w:rsidR="00450B1A" w:rsidRPr="009B78DA" w:rsidRDefault="00C03F49"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2 794,9</w:t>
            </w:r>
          </w:p>
        </w:tc>
        <w:tc>
          <w:tcPr>
            <w:tcW w:w="809" w:type="pct"/>
            <w:vAlign w:val="center"/>
          </w:tcPr>
          <w:p w14:paraId="22556293" w14:textId="7A1AA19A" w:rsidR="00450B1A" w:rsidRPr="009B78DA" w:rsidRDefault="00C03F49"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29 347,4</w:t>
            </w:r>
          </w:p>
        </w:tc>
        <w:tc>
          <w:tcPr>
            <w:tcW w:w="662" w:type="pct"/>
            <w:vAlign w:val="center"/>
          </w:tcPr>
          <w:p w14:paraId="40B373D3" w14:textId="15FCB5FC" w:rsidR="00450B1A" w:rsidRPr="009B78DA" w:rsidRDefault="00C03F49"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 xml:space="preserve">115 385,8 </w:t>
            </w:r>
          </w:p>
        </w:tc>
        <w:tc>
          <w:tcPr>
            <w:tcW w:w="662" w:type="pct"/>
            <w:vAlign w:val="center"/>
          </w:tcPr>
          <w:p w14:paraId="3F6F3800" w14:textId="181326E5" w:rsidR="00450B1A" w:rsidRPr="009B78DA" w:rsidRDefault="00C03F49"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 xml:space="preserve">151 281,8 </w:t>
            </w:r>
          </w:p>
        </w:tc>
      </w:tr>
      <w:tr w:rsidR="006F4FD2" w:rsidRPr="009B78DA" w14:paraId="20D21D08" w14:textId="77777777" w:rsidTr="00692599">
        <w:tc>
          <w:tcPr>
            <w:tcW w:w="911" w:type="pct"/>
            <w:vAlign w:val="center"/>
          </w:tcPr>
          <w:p w14:paraId="078E0FBE" w14:textId="77777777" w:rsidR="00450B1A" w:rsidRPr="009B78DA" w:rsidRDefault="00450B1A" w:rsidP="00F45E35">
            <w:pPr>
              <w:spacing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województwo podkarpackie</w:t>
            </w:r>
          </w:p>
        </w:tc>
        <w:tc>
          <w:tcPr>
            <w:tcW w:w="557" w:type="pct"/>
            <w:vAlign w:val="center"/>
          </w:tcPr>
          <w:p w14:paraId="6FFE94C8" w14:textId="6314646E" w:rsidR="00450B1A" w:rsidRPr="009B78DA" w:rsidRDefault="00C46E1C"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931,3</w:t>
            </w:r>
          </w:p>
        </w:tc>
        <w:tc>
          <w:tcPr>
            <w:tcW w:w="662" w:type="pct"/>
            <w:vAlign w:val="center"/>
          </w:tcPr>
          <w:p w14:paraId="149EB5AB" w14:textId="205DB9B0" w:rsidR="00450B1A" w:rsidRPr="009B78DA" w:rsidRDefault="00450B1A"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152,5</w:t>
            </w:r>
            <w:r w:rsidR="00C46E1C" w:rsidRPr="009B78DA">
              <w:rPr>
                <w:rFonts w:ascii="Arial" w:hAnsi="Arial" w:cs="Arial"/>
                <w:color w:val="000000" w:themeColor="text1"/>
                <w:sz w:val="22"/>
                <w:szCs w:val="22"/>
              </w:rPr>
              <w:t xml:space="preserve"> </w:t>
            </w:r>
          </w:p>
        </w:tc>
        <w:tc>
          <w:tcPr>
            <w:tcW w:w="736" w:type="pct"/>
            <w:vAlign w:val="center"/>
          </w:tcPr>
          <w:p w14:paraId="27AC2216" w14:textId="3CBB0BA6" w:rsidR="00450B1A" w:rsidRPr="009B78DA" w:rsidRDefault="00B030A6"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73,7</w:t>
            </w:r>
          </w:p>
        </w:tc>
        <w:tc>
          <w:tcPr>
            <w:tcW w:w="809" w:type="pct"/>
            <w:vAlign w:val="center"/>
          </w:tcPr>
          <w:p w14:paraId="11A46BFA" w14:textId="1B3A7523" w:rsidR="00450B1A" w:rsidRPr="009B78DA" w:rsidRDefault="00B030A6"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1 780,2</w:t>
            </w:r>
          </w:p>
        </w:tc>
        <w:tc>
          <w:tcPr>
            <w:tcW w:w="662" w:type="pct"/>
            <w:vAlign w:val="center"/>
          </w:tcPr>
          <w:p w14:paraId="6BCF2252" w14:textId="2CAC74B1" w:rsidR="00450B1A" w:rsidRPr="009B78DA" w:rsidRDefault="00B030A6"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6 536,2</w:t>
            </w:r>
            <w:r w:rsidR="00C46E1C" w:rsidRPr="009B78DA">
              <w:rPr>
                <w:rFonts w:ascii="Arial" w:hAnsi="Arial" w:cs="Arial"/>
                <w:color w:val="000000" w:themeColor="text1"/>
                <w:sz w:val="22"/>
                <w:szCs w:val="22"/>
              </w:rPr>
              <w:t xml:space="preserve"> </w:t>
            </w:r>
          </w:p>
        </w:tc>
        <w:tc>
          <w:tcPr>
            <w:tcW w:w="662" w:type="pct"/>
            <w:vAlign w:val="center"/>
          </w:tcPr>
          <w:p w14:paraId="04648F17" w14:textId="6F056DE2" w:rsidR="00450B1A" w:rsidRPr="009B78DA" w:rsidRDefault="00B030A6"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8 540,7</w:t>
            </w:r>
            <w:r w:rsidR="00C46E1C" w:rsidRPr="009B78DA">
              <w:rPr>
                <w:rFonts w:ascii="Arial" w:hAnsi="Arial" w:cs="Arial"/>
                <w:color w:val="000000" w:themeColor="text1"/>
                <w:sz w:val="22"/>
                <w:szCs w:val="22"/>
              </w:rPr>
              <w:t xml:space="preserve"> </w:t>
            </w:r>
          </w:p>
        </w:tc>
      </w:tr>
    </w:tbl>
    <w:p w14:paraId="37B06DCF" w14:textId="471C4180" w:rsidR="00692599" w:rsidRDefault="00123C58"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45669D" w:rsidRPr="009B78DA">
        <w:rPr>
          <w:rFonts w:ascii="Arial" w:hAnsi="Arial" w:cs="Arial"/>
          <w:color w:val="000000" w:themeColor="text1"/>
          <w:sz w:val="22"/>
          <w:szCs w:val="22"/>
        </w:rPr>
        <w:t>Opracowanie własne</w:t>
      </w:r>
      <w:r w:rsidR="006C1AD6" w:rsidRPr="009B78DA">
        <w:rPr>
          <w:rFonts w:ascii="Arial" w:hAnsi="Arial" w:cs="Arial"/>
          <w:color w:val="000000" w:themeColor="text1"/>
          <w:sz w:val="22"/>
          <w:szCs w:val="22"/>
        </w:rPr>
        <w:t xml:space="preserve"> na podstawie danych GUS</w:t>
      </w:r>
      <w:r w:rsidR="00692599">
        <w:rPr>
          <w:rFonts w:ascii="Arial" w:hAnsi="Arial" w:cs="Arial"/>
          <w:color w:val="000000" w:themeColor="text1"/>
          <w:sz w:val="22"/>
          <w:szCs w:val="22"/>
        </w:rPr>
        <w:t>.</w:t>
      </w:r>
    </w:p>
    <w:p w14:paraId="2209A7BD" w14:textId="77777777" w:rsidR="00692599" w:rsidRDefault="00692599">
      <w:pPr>
        <w:rPr>
          <w:rFonts w:ascii="Arial" w:hAnsi="Arial" w:cs="Arial"/>
          <w:color w:val="000000" w:themeColor="text1"/>
          <w:sz w:val="22"/>
          <w:szCs w:val="22"/>
        </w:rPr>
      </w:pPr>
      <w:r>
        <w:rPr>
          <w:rFonts w:ascii="Arial" w:hAnsi="Arial" w:cs="Arial"/>
          <w:color w:val="000000" w:themeColor="text1"/>
          <w:sz w:val="22"/>
          <w:szCs w:val="22"/>
        </w:rPr>
        <w:br w:type="page"/>
      </w:r>
    </w:p>
    <w:p w14:paraId="067176FE" w14:textId="7F521405" w:rsidR="00123C58" w:rsidRPr="009B78DA" w:rsidRDefault="00123C58" w:rsidP="00692599">
      <w:pPr>
        <w:pStyle w:val="Akapitzlist"/>
        <w:numPr>
          <w:ilvl w:val="2"/>
          <w:numId w:val="6"/>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 xml:space="preserve">Drogi krajowe </w:t>
      </w:r>
    </w:p>
    <w:p w14:paraId="49EEAB1D" w14:textId="319E3363" w:rsidR="00123C58" w:rsidRPr="009B78DA" w:rsidRDefault="00123C58" w:rsidP="00692599">
      <w:pPr>
        <w:pStyle w:val="Akapitzlist"/>
        <w:numPr>
          <w:ilvl w:val="0"/>
          <w:numId w:val="1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Sieć dróg krajowych województwa </w:t>
      </w:r>
      <w:r w:rsidR="00F45E35" w:rsidRPr="009B78DA">
        <w:rPr>
          <w:rFonts w:ascii="Arial" w:hAnsi="Arial" w:cs="Arial"/>
          <w:color w:val="000000" w:themeColor="text1"/>
          <w:sz w:val="22"/>
          <w:szCs w:val="22"/>
        </w:rPr>
        <w:t xml:space="preserve">tworzy system dobrze powiązany </w:t>
      </w:r>
      <w:r w:rsidRPr="009B78DA">
        <w:rPr>
          <w:rFonts w:ascii="Arial" w:hAnsi="Arial" w:cs="Arial"/>
          <w:color w:val="000000" w:themeColor="text1"/>
          <w:sz w:val="22"/>
          <w:szCs w:val="22"/>
        </w:rPr>
        <w:t>z układem krajowym i międzynarodowym na kierunku wschód</w:t>
      </w:r>
      <w:r w:rsidR="002852F5" w:rsidRPr="009B78DA">
        <w:rPr>
          <w:rFonts w:ascii="Arial" w:hAnsi="Arial" w:cs="Arial"/>
          <w:color w:val="000000" w:themeColor="text1"/>
          <w:sz w:val="22"/>
          <w:szCs w:val="22"/>
        </w:rPr>
        <w:t>-</w:t>
      </w:r>
      <w:r w:rsidRPr="009B78DA">
        <w:rPr>
          <w:rFonts w:ascii="Arial" w:hAnsi="Arial" w:cs="Arial"/>
          <w:color w:val="000000" w:themeColor="text1"/>
          <w:sz w:val="22"/>
          <w:szCs w:val="22"/>
        </w:rPr>
        <w:t>zachód, natomiast realizowana droga ekspresowa S19 poprawi powiązan</w:t>
      </w:r>
      <w:r w:rsidR="00F45E35" w:rsidRPr="009B78DA">
        <w:rPr>
          <w:rFonts w:ascii="Arial" w:hAnsi="Arial" w:cs="Arial"/>
          <w:color w:val="000000" w:themeColor="text1"/>
          <w:sz w:val="22"/>
          <w:szCs w:val="22"/>
        </w:rPr>
        <w:t>ie na kierunku północ-południe.</w:t>
      </w:r>
    </w:p>
    <w:p w14:paraId="64276441" w14:textId="40C08D6A" w:rsidR="00123C58" w:rsidRPr="009B78DA" w:rsidRDefault="00123C58" w:rsidP="00692599">
      <w:pPr>
        <w:pStyle w:val="Akapitzlist"/>
        <w:numPr>
          <w:ilvl w:val="0"/>
          <w:numId w:val="1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Przez teren województwa przebiegają odcinki 8 dróg krajowych</w:t>
      </w:r>
      <w:r w:rsidR="002852F5"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 ogółem 891,43 km administrowane przez GDDKiA Oddział w Rzeszowie (w granicach miast na prawach powiatu wszystkimi drogami publicznymi, z wyjątkiem autostrad i dróg ekspresowych, zarządza miasto). </w:t>
      </w:r>
    </w:p>
    <w:p w14:paraId="563E00F5" w14:textId="77777777" w:rsidR="00123C58" w:rsidRPr="009B78DA" w:rsidRDefault="00123C58" w:rsidP="00692599">
      <w:pPr>
        <w:pStyle w:val="Akapitzlist"/>
        <w:numPr>
          <w:ilvl w:val="0"/>
          <w:numId w:val="1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Gęstość dróg krajowych w województwie podkarpackim wynosi 5,2 km/100 km2 i jest niższa od średniej krajowej wynoszącej 6,2 km/100 km2.</w:t>
      </w:r>
    </w:p>
    <w:p w14:paraId="23B78DB3" w14:textId="44B4F234" w:rsidR="00123C58" w:rsidRPr="009B78DA" w:rsidRDefault="003712D3" w:rsidP="00692599">
      <w:pPr>
        <w:pStyle w:val="Akapitzlist"/>
        <w:numPr>
          <w:ilvl w:val="0"/>
          <w:numId w:val="10"/>
        </w:numPr>
        <w:spacing w:line="276" w:lineRule="auto"/>
        <w:rPr>
          <w:rFonts w:ascii="Arial" w:hAnsi="Arial" w:cs="Arial"/>
          <w:color w:val="000000" w:themeColor="text1"/>
          <w:sz w:val="22"/>
          <w:szCs w:val="22"/>
        </w:rPr>
      </w:pPr>
      <w:bookmarkStart w:id="52" w:name="_Hlk144131868"/>
      <w:r w:rsidRPr="009B78DA">
        <w:rPr>
          <w:rFonts w:ascii="Arial" w:hAnsi="Arial" w:cs="Arial"/>
          <w:color w:val="000000" w:themeColor="text1"/>
          <w:sz w:val="22"/>
          <w:szCs w:val="22"/>
        </w:rPr>
        <w:t>Stan dróg krajowych można uznać za dobry – w 2021 roku 64,4% dróg krajowych było w stanie dobrym, 23,9% w stanie niezadowalający</w:t>
      </w:r>
      <w:r w:rsidR="00693ECE" w:rsidRPr="009B78DA">
        <w:rPr>
          <w:rFonts w:ascii="Arial" w:hAnsi="Arial" w:cs="Arial"/>
          <w:color w:val="000000" w:themeColor="text1"/>
          <w:sz w:val="22"/>
          <w:szCs w:val="22"/>
        </w:rPr>
        <w:t>m</w:t>
      </w:r>
      <w:r w:rsidRPr="009B78DA">
        <w:rPr>
          <w:rFonts w:ascii="Arial" w:hAnsi="Arial" w:cs="Arial"/>
          <w:color w:val="000000" w:themeColor="text1"/>
          <w:sz w:val="22"/>
          <w:szCs w:val="22"/>
        </w:rPr>
        <w:t>, a 11,7% w stanie złym.</w:t>
      </w:r>
    </w:p>
    <w:bookmarkEnd w:id="52"/>
    <w:p w14:paraId="53C3C592" w14:textId="1FEA4625" w:rsidR="00123C58" w:rsidRPr="009B78DA" w:rsidRDefault="00123C58" w:rsidP="00692599">
      <w:pPr>
        <w:pStyle w:val="Akapitzlist"/>
        <w:numPr>
          <w:ilvl w:val="0"/>
          <w:numId w:val="1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Odcinki dróg krajowych niedostosowane do przenoszenia obciążeń o nacisku 115 kN/oś znajdują się głównie w południowej części województwa (DK73, DK28, DK84) oraz w północno-wschodniej części (odcinki DK77, DK19, DK94)</w:t>
      </w:r>
      <w:r w:rsidR="00512F28"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p>
    <w:p w14:paraId="04AF3EFD" w14:textId="2C89B71C" w:rsidR="000D69C5" w:rsidRPr="009B78DA" w:rsidRDefault="000D69C5" w:rsidP="00692599">
      <w:pPr>
        <w:pStyle w:val="Legenda"/>
        <w:keepNext/>
        <w:spacing w:after="0" w:line="276" w:lineRule="auto"/>
        <w:rPr>
          <w:rFonts w:ascii="Arial" w:hAnsi="Arial" w:cs="Arial"/>
          <w:i w:val="0"/>
          <w:color w:val="000000" w:themeColor="text1"/>
          <w:sz w:val="22"/>
          <w:szCs w:val="22"/>
        </w:rPr>
      </w:pPr>
      <w:bookmarkStart w:id="53" w:name="_Toc146785633"/>
      <w:bookmarkStart w:id="54" w:name="_Hlk83630001"/>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Nośność dróg krajowych </w:t>
      </w:r>
      <w:bookmarkStart w:id="55" w:name="_Hlk92196489"/>
      <w:r w:rsidRPr="009B78DA">
        <w:rPr>
          <w:rFonts w:ascii="Arial" w:hAnsi="Arial" w:cs="Arial"/>
          <w:i w:val="0"/>
          <w:color w:val="000000" w:themeColor="text1"/>
          <w:sz w:val="22"/>
          <w:szCs w:val="22"/>
        </w:rPr>
        <w:t>w 2020/2021 r.</w:t>
      </w:r>
      <w:bookmarkEnd w:id="55"/>
      <w:bookmarkEnd w:id="53"/>
    </w:p>
    <w:p w14:paraId="696EA74D" w14:textId="5B0B00C3" w:rsidR="00450B1A" w:rsidRPr="009B78DA" w:rsidRDefault="000446BB" w:rsidP="00C641A4">
      <w:pPr>
        <w:spacing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50291959" wp14:editId="4DC874CA">
            <wp:extent cx="4801225" cy="4319477"/>
            <wp:effectExtent l="0" t="0" r="0" b="5080"/>
            <wp:docPr id="2" name="Obraz 2" descr="Województwo podkarpackie w tym Rzeszowski Obszar Funkcjonalny oraz Miejskie Obszary Funkcjonalne: Tarnobrzeg, Stalowa Wola, Nisko, Mielec, Dębica, Ropczyce, Przeworsk, Jarosław, Lubaczów, Jarosław, Przemyśl, Jasło, Krosno, Sanok, Lesko. Zaznaczono Miasta Kolbuszowa, Leżajsk, Strzyżów, Brzozów , Ustrzyki Dolne. Zaznaczono Autostradę A4 z węzłami o nośności 115 kN/oś oraz Drogę ekspresową S19 z węzłami o nośności 115 kN/oś, Drogi krajowe o nośności 115 kN/oś9, 19, 94, 77, Drogi krajowe o nośności mniejszej niż 115 kN/oś 19, 28, 773, 77, 84" title="Rysunek 4 Nośność dróg krajowych w 2020/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801225" cy="4319477"/>
                    </a:xfrm>
                    <a:prstGeom prst="rect">
                      <a:avLst/>
                    </a:prstGeom>
                  </pic:spPr>
                </pic:pic>
              </a:graphicData>
            </a:graphic>
          </wp:inline>
        </w:drawing>
      </w:r>
    </w:p>
    <w:p w14:paraId="1F2E1D29" w14:textId="07783B7F" w:rsidR="00D02047" w:rsidRPr="009B78DA" w:rsidRDefault="00D02047" w:rsidP="002F4DEC">
      <w:pPr>
        <w:spacing w:line="276" w:lineRule="auto"/>
        <w:rPr>
          <w:rFonts w:ascii="Arial" w:hAnsi="Arial" w:cs="Arial"/>
          <w:color w:val="000000" w:themeColor="text1"/>
          <w:sz w:val="22"/>
          <w:szCs w:val="22"/>
        </w:rPr>
      </w:pPr>
      <w:bookmarkStart w:id="56" w:name="_Hlk92196502"/>
      <w:r w:rsidRPr="009B78DA">
        <w:rPr>
          <w:rFonts w:ascii="Arial" w:hAnsi="Arial" w:cs="Arial"/>
          <w:color w:val="000000" w:themeColor="text1"/>
          <w:sz w:val="22"/>
          <w:szCs w:val="22"/>
        </w:rPr>
        <w:t xml:space="preserve">Źródło: </w:t>
      </w:r>
      <w:bookmarkEnd w:id="56"/>
      <w:r w:rsidR="007C58D4" w:rsidRPr="009B78DA">
        <w:rPr>
          <w:rFonts w:ascii="Arial" w:hAnsi="Arial" w:cs="Arial"/>
          <w:color w:val="000000" w:themeColor="text1"/>
          <w:sz w:val="22"/>
          <w:szCs w:val="22"/>
        </w:rPr>
        <w:t>Opracowanie własne.</w:t>
      </w:r>
    </w:p>
    <w:bookmarkEnd w:id="54"/>
    <w:p w14:paraId="26B4B2E8" w14:textId="2EF4AF1A" w:rsidR="001B61E9" w:rsidRPr="009B78DA" w:rsidRDefault="001B61E9" w:rsidP="002F4DEC">
      <w:pPr>
        <w:pStyle w:val="Akapitzlist"/>
        <w:numPr>
          <w:ilvl w:val="2"/>
          <w:numId w:val="6"/>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Drogi wojewódzkie</w:t>
      </w:r>
    </w:p>
    <w:p w14:paraId="7D4026D9" w14:textId="77777777" w:rsidR="001B61E9" w:rsidRPr="009B78DA" w:rsidRDefault="001B61E9" w:rsidP="002F4DEC">
      <w:pPr>
        <w:pStyle w:val="Akapitzlist"/>
        <w:numPr>
          <w:ilvl w:val="0"/>
          <w:numId w:val="11"/>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Łączna długość dróg wojewódzkich administrowanych przez PZDW w Rzeszowie wynosi 1669,9 km.</w:t>
      </w:r>
    </w:p>
    <w:p w14:paraId="211F585B" w14:textId="1A8114F6" w:rsidR="001B61E9" w:rsidRPr="009B78DA" w:rsidRDefault="00512D93" w:rsidP="002F4DEC">
      <w:pPr>
        <w:pStyle w:val="Akapitzlist"/>
        <w:numPr>
          <w:ilvl w:val="0"/>
          <w:numId w:val="11"/>
        </w:numPr>
        <w:spacing w:line="276" w:lineRule="auto"/>
        <w:ind w:left="714" w:hanging="357"/>
        <w:rPr>
          <w:rFonts w:ascii="Arial" w:hAnsi="Arial" w:cs="Arial"/>
          <w:color w:val="000000" w:themeColor="text1"/>
          <w:sz w:val="22"/>
          <w:szCs w:val="22"/>
        </w:rPr>
      </w:pPr>
      <w:bookmarkStart w:id="57" w:name="_Hlk144131905"/>
      <w:r w:rsidRPr="009B78DA">
        <w:rPr>
          <w:rFonts w:ascii="Arial" w:hAnsi="Arial" w:cs="Arial"/>
          <w:color w:val="000000" w:themeColor="text1"/>
          <w:sz w:val="22"/>
          <w:szCs w:val="22"/>
        </w:rPr>
        <w:t xml:space="preserve">Według aktualnego stanu technicznego dróg wojewódzkich administrowanych przez Podkarpacki Zarząd Dróg Wojewódzkich w Rzeszowie na koniec 2022 r. w stanie złym było 268 km (15% całości sieci), w stanie niezadowalającym 390 km </w:t>
      </w:r>
      <w:r w:rsidR="002F4DEC">
        <w:rPr>
          <w:rFonts w:ascii="Arial" w:hAnsi="Arial" w:cs="Arial"/>
          <w:color w:val="000000" w:themeColor="text1"/>
          <w:sz w:val="22"/>
          <w:szCs w:val="22"/>
        </w:rPr>
        <w:br/>
      </w:r>
      <w:r w:rsidRPr="009B78DA">
        <w:rPr>
          <w:rFonts w:ascii="Arial" w:hAnsi="Arial" w:cs="Arial"/>
          <w:color w:val="000000" w:themeColor="text1"/>
          <w:sz w:val="22"/>
          <w:szCs w:val="22"/>
        </w:rPr>
        <w:t>(23% całości sieci) i w stanie dobrym 1 066 km (62% całości sieci).</w:t>
      </w:r>
    </w:p>
    <w:p w14:paraId="4A8D68E9" w14:textId="67A5EB06" w:rsidR="001B61E9" w:rsidRPr="009B78DA" w:rsidRDefault="001B61E9" w:rsidP="002F4DEC">
      <w:pPr>
        <w:pStyle w:val="Akapitzlist"/>
        <w:numPr>
          <w:ilvl w:val="0"/>
          <w:numId w:val="11"/>
        </w:numPr>
        <w:spacing w:line="276" w:lineRule="auto"/>
        <w:rPr>
          <w:rFonts w:ascii="Arial" w:hAnsi="Arial" w:cs="Arial"/>
          <w:color w:val="000000" w:themeColor="text1"/>
          <w:sz w:val="22"/>
          <w:szCs w:val="22"/>
        </w:rPr>
      </w:pPr>
      <w:bookmarkStart w:id="58" w:name="_Hlk92719053"/>
      <w:bookmarkEnd w:id="57"/>
      <w:r w:rsidRPr="009B78DA">
        <w:rPr>
          <w:rFonts w:ascii="Arial" w:hAnsi="Arial" w:cs="Arial"/>
          <w:color w:val="000000" w:themeColor="text1"/>
          <w:sz w:val="22"/>
          <w:szCs w:val="22"/>
        </w:rPr>
        <w:t xml:space="preserve">Do przenoszenia obciążeń 115 kN pojedynczej osi pojazdów dostosowanych jest ok. </w:t>
      </w:r>
      <w:r w:rsidR="00E939B6" w:rsidRPr="009B78DA">
        <w:rPr>
          <w:rFonts w:ascii="Arial" w:hAnsi="Arial" w:cs="Arial"/>
          <w:color w:val="000000" w:themeColor="text1"/>
          <w:sz w:val="22"/>
          <w:szCs w:val="22"/>
        </w:rPr>
        <w:t>204</w:t>
      </w:r>
      <w:r w:rsidRPr="009B78DA">
        <w:rPr>
          <w:rFonts w:ascii="Arial" w:hAnsi="Arial" w:cs="Arial"/>
          <w:color w:val="000000" w:themeColor="text1"/>
          <w:sz w:val="22"/>
          <w:szCs w:val="22"/>
        </w:rPr>
        <w:t xml:space="preserve"> km dróg, co stanowi ok.1</w:t>
      </w:r>
      <w:r w:rsidR="00E939B6" w:rsidRPr="009B78DA">
        <w:rPr>
          <w:rFonts w:ascii="Arial" w:hAnsi="Arial" w:cs="Arial"/>
          <w:color w:val="000000" w:themeColor="text1"/>
          <w:sz w:val="22"/>
          <w:szCs w:val="22"/>
        </w:rPr>
        <w:t>2</w:t>
      </w:r>
      <w:r w:rsidRPr="009B78DA">
        <w:rPr>
          <w:rFonts w:ascii="Arial" w:hAnsi="Arial" w:cs="Arial"/>
          <w:color w:val="000000" w:themeColor="text1"/>
          <w:sz w:val="22"/>
          <w:szCs w:val="22"/>
        </w:rPr>
        <w:t>% sieci dróg wojewódzkich.</w:t>
      </w:r>
    </w:p>
    <w:p w14:paraId="37588247" w14:textId="3A545636" w:rsidR="000D69C5" w:rsidRPr="009B78DA" w:rsidRDefault="000D69C5" w:rsidP="002F4DEC">
      <w:pPr>
        <w:pStyle w:val="Legenda"/>
        <w:keepNext/>
        <w:spacing w:after="0" w:line="276" w:lineRule="auto"/>
        <w:rPr>
          <w:rFonts w:ascii="Arial" w:hAnsi="Arial" w:cs="Arial"/>
          <w:i w:val="0"/>
          <w:color w:val="000000" w:themeColor="text1"/>
          <w:sz w:val="22"/>
          <w:szCs w:val="22"/>
        </w:rPr>
      </w:pPr>
      <w:bookmarkStart w:id="59" w:name="_Toc146785634"/>
      <w:bookmarkEnd w:id="58"/>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Nośność dróg wojewódzkich </w:t>
      </w:r>
      <w:bookmarkStart w:id="60" w:name="_Hlk92196598"/>
      <w:r w:rsidRPr="009B78DA">
        <w:rPr>
          <w:rFonts w:ascii="Arial" w:hAnsi="Arial" w:cs="Arial"/>
          <w:i w:val="0"/>
          <w:color w:val="000000" w:themeColor="text1"/>
          <w:sz w:val="22"/>
          <w:szCs w:val="22"/>
        </w:rPr>
        <w:t>w 2021 r.</w:t>
      </w:r>
      <w:bookmarkEnd w:id="60"/>
      <w:bookmarkEnd w:id="59"/>
    </w:p>
    <w:p w14:paraId="17CAF4F5" w14:textId="3F3C397D" w:rsidR="001B61E9" w:rsidRPr="009B78DA" w:rsidRDefault="000446BB" w:rsidP="00C641A4">
      <w:pPr>
        <w:spacing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73000F7A" wp14:editId="43A2122F">
            <wp:extent cx="4801225" cy="4319477"/>
            <wp:effectExtent l="0" t="0" r="0" b="5080"/>
            <wp:docPr id="5" name="Obraz 5" descr="Województwo podkarpackie w tym Rzeszowski Obszar Funkcjonalny oraz Miejskie Obszary Funkcjonalne: Tarnobrzeg, Stalowa Wola, Nisko, Mielec, Dębica, Ropczyce, Przeworsk, Jarosław, Lubaczów, Jarosław, Przemyśl, Jasło, Krosno, Sanok, Lesko. Zaznaczono Miasta Kolbuszowa, Leżajsk, Strzyżów, Brzozów , Ustrzyki Dolne. Zaznaczono Autostradę A4 z węzłami, Drogę ekspresową S19 z węzłami, Drogę ekspresową S19 z węzłami w realizacji, Drogi krajowe 9, 19, 28, 73, 77, 84, 94, 97, Drogi wojewódzkie o nośności 115 kN/oś. 764, 866, 892, 988, 992. Droga wojewódzka o nośności mniejszej niż 115 kN/oś od góry 854,855,856,857,723,758,871,985,982,983,872,861, 858, 863, 877, 863, 864, 865, 867, 984, 985, 987, 881, 875, 835, 867, 870, 865, 986, 878, 877, 881, 880, 988, 990, 989, 991, 835, 884, 885, 993, 992, 887, 886, 889, 893, 895, 894, 897, 896" title="Rysunek 5 Nośność dróg wojewódzkich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01225" cy="4319477"/>
                    </a:xfrm>
                    <a:prstGeom prst="rect">
                      <a:avLst/>
                    </a:prstGeom>
                  </pic:spPr>
                </pic:pic>
              </a:graphicData>
            </a:graphic>
          </wp:inline>
        </w:drawing>
      </w:r>
    </w:p>
    <w:p w14:paraId="602413A6" w14:textId="146F77A8" w:rsidR="000F0CDE" w:rsidRPr="009B78DA" w:rsidRDefault="000F0CDE" w:rsidP="002F4DEC">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7C58D4" w:rsidRPr="009B78DA">
        <w:rPr>
          <w:rFonts w:ascii="Arial" w:hAnsi="Arial" w:cs="Arial"/>
          <w:color w:val="000000" w:themeColor="text1"/>
          <w:sz w:val="22"/>
          <w:szCs w:val="22"/>
        </w:rPr>
        <w:t>Opracowanie własne.</w:t>
      </w:r>
    </w:p>
    <w:p w14:paraId="6312AD6E" w14:textId="2A71704F" w:rsidR="000F0CDE" w:rsidRPr="009B78DA" w:rsidRDefault="000F0CDE" w:rsidP="002F4DEC">
      <w:pPr>
        <w:pStyle w:val="Akapitzlist"/>
        <w:numPr>
          <w:ilvl w:val="2"/>
          <w:numId w:val="6"/>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Drogi powiatowe i gminne</w:t>
      </w:r>
    </w:p>
    <w:p w14:paraId="5E9444E7" w14:textId="10431699" w:rsidR="000F0CDE" w:rsidRPr="009B78DA" w:rsidRDefault="000F0CDE" w:rsidP="002F4DEC">
      <w:pPr>
        <w:pStyle w:val="Akapitzlist"/>
        <w:numPr>
          <w:ilvl w:val="0"/>
          <w:numId w:val="1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Pozytywnym zjawiskiem jest </w:t>
      </w:r>
      <w:r w:rsidR="002852F5" w:rsidRPr="009B78DA">
        <w:rPr>
          <w:rFonts w:ascii="Arial" w:hAnsi="Arial" w:cs="Arial"/>
          <w:color w:val="000000" w:themeColor="text1"/>
          <w:sz w:val="22"/>
          <w:szCs w:val="22"/>
        </w:rPr>
        <w:t>rosnąca</w:t>
      </w:r>
      <w:r w:rsidR="00407604" w:rsidRPr="009B78DA">
        <w:rPr>
          <w:rFonts w:ascii="Arial" w:hAnsi="Arial" w:cs="Arial"/>
          <w:color w:val="000000" w:themeColor="text1"/>
          <w:sz w:val="22"/>
          <w:szCs w:val="22"/>
        </w:rPr>
        <w:t xml:space="preserve"> </w:t>
      </w:r>
      <w:r w:rsidR="00F45E35" w:rsidRPr="009B78DA">
        <w:rPr>
          <w:rFonts w:ascii="Arial" w:hAnsi="Arial" w:cs="Arial"/>
          <w:color w:val="000000" w:themeColor="text1"/>
          <w:sz w:val="22"/>
          <w:szCs w:val="22"/>
        </w:rPr>
        <w:t xml:space="preserve">długość dróg powiatowych </w:t>
      </w:r>
      <w:r w:rsidRPr="009B78DA">
        <w:rPr>
          <w:rFonts w:ascii="Arial" w:hAnsi="Arial" w:cs="Arial"/>
          <w:color w:val="000000" w:themeColor="text1"/>
          <w:sz w:val="22"/>
          <w:szCs w:val="22"/>
        </w:rPr>
        <w:t>i gminnych o twardej nawierzchni.</w:t>
      </w:r>
    </w:p>
    <w:p w14:paraId="792439FD" w14:textId="3FF0E76E" w:rsidR="000F0CDE" w:rsidRPr="009B78DA" w:rsidRDefault="000F0CDE" w:rsidP="002F4DEC">
      <w:pPr>
        <w:pStyle w:val="Akapitzlist"/>
        <w:numPr>
          <w:ilvl w:val="0"/>
          <w:numId w:val="1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Długość dróg powiatowych w 20</w:t>
      </w:r>
      <w:r w:rsidR="004D511D" w:rsidRPr="009B78DA">
        <w:rPr>
          <w:rFonts w:ascii="Arial" w:hAnsi="Arial" w:cs="Arial"/>
          <w:color w:val="000000" w:themeColor="text1"/>
          <w:sz w:val="22"/>
          <w:szCs w:val="22"/>
        </w:rPr>
        <w:t>21</w:t>
      </w:r>
      <w:r w:rsidRPr="009B78DA">
        <w:rPr>
          <w:rFonts w:ascii="Arial" w:hAnsi="Arial" w:cs="Arial"/>
          <w:color w:val="000000" w:themeColor="text1"/>
          <w:sz w:val="22"/>
          <w:szCs w:val="22"/>
        </w:rPr>
        <w:t xml:space="preserve"> roku wynosiła 6</w:t>
      </w:r>
      <w:r w:rsidR="004D511D" w:rsidRPr="009B78DA">
        <w:rPr>
          <w:rFonts w:ascii="Arial" w:hAnsi="Arial" w:cs="Arial"/>
          <w:color w:val="000000" w:themeColor="text1"/>
          <w:sz w:val="22"/>
          <w:szCs w:val="22"/>
        </w:rPr>
        <w:t> 536,2</w:t>
      </w:r>
      <w:r w:rsidRPr="009B78DA">
        <w:rPr>
          <w:rFonts w:ascii="Arial" w:hAnsi="Arial" w:cs="Arial"/>
          <w:color w:val="000000" w:themeColor="text1"/>
          <w:sz w:val="22"/>
          <w:szCs w:val="22"/>
        </w:rPr>
        <w:t xml:space="preserve"> km, a gęstość jest zbliżona do średniej krajowej wynoszącej 36,7 km/100 km</w:t>
      </w:r>
      <w:r w:rsidRPr="009B78DA">
        <w:rPr>
          <w:rFonts w:ascii="Arial" w:hAnsi="Arial" w:cs="Arial"/>
          <w:color w:val="000000" w:themeColor="text1"/>
          <w:sz w:val="22"/>
          <w:szCs w:val="22"/>
          <w:vertAlign w:val="superscript"/>
        </w:rPr>
        <w:t>2</w:t>
      </w:r>
      <w:r w:rsidRPr="009B78DA">
        <w:rPr>
          <w:rFonts w:ascii="Arial" w:hAnsi="Arial" w:cs="Arial"/>
          <w:color w:val="000000" w:themeColor="text1"/>
          <w:sz w:val="22"/>
          <w:szCs w:val="22"/>
        </w:rPr>
        <w:t>.</w:t>
      </w:r>
    </w:p>
    <w:p w14:paraId="68F9AB71" w14:textId="668159DA" w:rsidR="00127213" w:rsidRPr="002F4DEC" w:rsidRDefault="002852F5" w:rsidP="002F4DEC">
      <w:pPr>
        <w:pStyle w:val="Akapitzlist"/>
        <w:numPr>
          <w:ilvl w:val="0"/>
          <w:numId w:val="12"/>
        </w:numPr>
        <w:spacing w:after="120"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W </w:t>
      </w:r>
      <w:r w:rsidR="00693ECE" w:rsidRPr="009B78DA">
        <w:rPr>
          <w:rFonts w:ascii="Arial" w:hAnsi="Arial" w:cs="Arial"/>
          <w:color w:val="000000" w:themeColor="text1"/>
          <w:sz w:val="22"/>
          <w:szCs w:val="22"/>
        </w:rPr>
        <w:t>latach 2019-2021 długość dróg gminnych zwiększyła się o ponad 591 km</w:t>
      </w:r>
      <w:r w:rsidR="000F0CDE" w:rsidRPr="009B78DA">
        <w:rPr>
          <w:rFonts w:ascii="Arial" w:hAnsi="Arial" w:cs="Arial"/>
          <w:color w:val="000000" w:themeColor="text1"/>
          <w:sz w:val="22"/>
          <w:szCs w:val="22"/>
        </w:rPr>
        <w:t>.</w:t>
      </w:r>
    </w:p>
    <w:p w14:paraId="6F89B96B" w14:textId="78B6803C" w:rsidR="000F0CDE" w:rsidRPr="009B78DA" w:rsidRDefault="000F0CDE" w:rsidP="002F4DEC">
      <w:pPr>
        <w:pStyle w:val="Akapitzlist"/>
        <w:numPr>
          <w:ilvl w:val="2"/>
          <w:numId w:val="6"/>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Drogi o znaczeniu obronnym</w:t>
      </w:r>
    </w:p>
    <w:p w14:paraId="2A5F7C0B" w14:textId="61B7A63D" w:rsidR="00127213" w:rsidRPr="002F4DEC" w:rsidRDefault="000F0CDE" w:rsidP="002F4DEC">
      <w:pPr>
        <w:pStyle w:val="Akapitzlist"/>
        <w:numPr>
          <w:ilvl w:val="0"/>
          <w:numId w:val="13"/>
        </w:numPr>
        <w:spacing w:after="120"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Wykaz dróg o znaczeniu obronnym lub ich odcinków określa w drodze zarządzenia Minister właściwy do s</w:t>
      </w:r>
      <w:r w:rsidR="00F45E35" w:rsidRPr="009B78DA">
        <w:rPr>
          <w:rFonts w:ascii="Arial" w:hAnsi="Arial" w:cs="Arial"/>
          <w:color w:val="000000" w:themeColor="text1"/>
          <w:sz w:val="22"/>
          <w:szCs w:val="22"/>
        </w:rPr>
        <w:t xml:space="preserve">praw transportu w porozumieniu </w:t>
      </w:r>
      <w:r w:rsidRPr="009B78DA">
        <w:rPr>
          <w:rFonts w:ascii="Arial" w:hAnsi="Arial" w:cs="Arial"/>
          <w:color w:val="000000" w:themeColor="text1"/>
          <w:sz w:val="22"/>
          <w:szCs w:val="22"/>
        </w:rPr>
        <w:t>z Ministrem Obrony Narodowej. Zarządzenie to nie podlega ogłoszeniu do wiadomości publicznej, dlatego też brak informacji nt. k</w:t>
      </w:r>
      <w:r w:rsidR="002F4DEC">
        <w:rPr>
          <w:rFonts w:ascii="Arial" w:hAnsi="Arial" w:cs="Arial"/>
          <w:color w:val="000000" w:themeColor="text1"/>
          <w:sz w:val="22"/>
          <w:szCs w:val="22"/>
        </w:rPr>
        <w:t>ategorii i przebiegu tych dróg.</w:t>
      </w:r>
    </w:p>
    <w:p w14:paraId="3E05E197" w14:textId="6064F347" w:rsidR="000F0CDE" w:rsidRPr="009B78DA" w:rsidRDefault="000F0CDE" w:rsidP="002F4DEC">
      <w:pPr>
        <w:pStyle w:val="Akapitzlist"/>
        <w:numPr>
          <w:ilvl w:val="2"/>
          <w:numId w:val="6"/>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Sieć kolejowa</w:t>
      </w:r>
    </w:p>
    <w:p w14:paraId="02AC45A3" w14:textId="539B8197" w:rsidR="000F0CDE" w:rsidRPr="009B78DA" w:rsidRDefault="000F0CDE" w:rsidP="002F4DEC">
      <w:pPr>
        <w:pStyle w:val="Akapitzlist"/>
        <w:numPr>
          <w:ilvl w:val="0"/>
          <w:numId w:val="14"/>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Główną osią transportu kolejowego na terenie województwa podkarpackiego jest magistrala kolejowa E30 (sieć bazowa TEN-T), w którą wpisuje się linia kolejowa nr 91 relacji Kraków Główny</w:t>
      </w:r>
      <w:r w:rsidR="00F47D4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Medyka – granica państwa.</w:t>
      </w:r>
    </w:p>
    <w:p w14:paraId="25F82149" w14:textId="49C21788" w:rsidR="000F0CDE" w:rsidRPr="009B78DA" w:rsidRDefault="000F0CDE" w:rsidP="002F4DEC">
      <w:pPr>
        <w:pStyle w:val="Akapitzlist"/>
        <w:numPr>
          <w:ilvl w:val="0"/>
          <w:numId w:val="14"/>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Przez teren województwa przebiega 978 km linii kolejowych normalnotorowych </w:t>
      </w:r>
      <w:r w:rsidR="00B07B8D">
        <w:rPr>
          <w:rFonts w:ascii="Arial" w:hAnsi="Arial" w:cs="Arial"/>
          <w:color w:val="000000" w:themeColor="text1"/>
          <w:sz w:val="22"/>
          <w:szCs w:val="22"/>
        </w:rPr>
        <w:br/>
      </w:r>
      <w:r w:rsidRPr="009B78DA">
        <w:rPr>
          <w:rFonts w:ascii="Arial" w:hAnsi="Arial" w:cs="Arial"/>
          <w:color w:val="000000" w:themeColor="text1"/>
          <w:sz w:val="22"/>
          <w:szCs w:val="22"/>
        </w:rPr>
        <w:t xml:space="preserve">(1435 mm), w tym </w:t>
      </w:r>
      <w:r w:rsidR="0050047D" w:rsidRPr="009B78DA">
        <w:rPr>
          <w:rFonts w:ascii="Arial" w:hAnsi="Arial" w:cs="Arial"/>
          <w:color w:val="000000" w:themeColor="text1"/>
          <w:sz w:val="22"/>
          <w:szCs w:val="22"/>
        </w:rPr>
        <w:t>45</w:t>
      </w:r>
      <w:r w:rsidR="006C1AD6" w:rsidRPr="009B78DA">
        <w:rPr>
          <w:rFonts w:ascii="Arial" w:hAnsi="Arial" w:cs="Arial"/>
          <w:color w:val="000000" w:themeColor="text1"/>
          <w:sz w:val="22"/>
          <w:szCs w:val="22"/>
        </w:rPr>
        <w:t>7</w:t>
      </w:r>
      <w:r w:rsidRPr="009B78DA">
        <w:rPr>
          <w:rFonts w:ascii="Arial" w:hAnsi="Arial" w:cs="Arial"/>
          <w:color w:val="000000" w:themeColor="text1"/>
          <w:sz w:val="22"/>
          <w:szCs w:val="22"/>
        </w:rPr>
        <w:t xml:space="preserve"> km linii zelektryfikowanych. Ponadto przez region przebiega 137,8 km linii szerokotorowych (1520 mm), a także</w:t>
      </w:r>
      <w:r w:rsidR="00F45E35" w:rsidRPr="009B78DA">
        <w:rPr>
          <w:rFonts w:ascii="Arial" w:hAnsi="Arial" w:cs="Arial"/>
          <w:color w:val="000000" w:themeColor="text1"/>
          <w:sz w:val="22"/>
          <w:szCs w:val="22"/>
        </w:rPr>
        <w:t xml:space="preserve"> 79 km wąskotorowych (750 mm).</w:t>
      </w:r>
    </w:p>
    <w:p w14:paraId="3B21A14C" w14:textId="77777777" w:rsidR="000F0CDE" w:rsidRPr="009B78DA" w:rsidRDefault="000F0CDE" w:rsidP="002F4DEC">
      <w:pPr>
        <w:pStyle w:val="Akapitzlist"/>
        <w:numPr>
          <w:ilvl w:val="0"/>
          <w:numId w:val="14"/>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8 istniejących odcinków linii kolejowych należy do linii o znaczeniu państwowym ze względu na czynniki gospodarcze, społeczne, obronne i ekologiczne:</w:t>
      </w:r>
    </w:p>
    <w:p w14:paraId="1435BECC" w14:textId="77777777" w:rsidR="000F0CDE" w:rsidRPr="009B78DA" w:rsidRDefault="000F0CDE" w:rsidP="002F4DEC">
      <w:pPr>
        <w:pStyle w:val="Akapitzlist"/>
        <w:numPr>
          <w:ilvl w:val="0"/>
          <w:numId w:val="15"/>
        </w:numPr>
        <w:spacing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nr 25 odcinek: Łódź Kaliska – Ocice;</w:t>
      </w:r>
    </w:p>
    <w:p w14:paraId="6CE557F2" w14:textId="77777777" w:rsidR="000F0CDE" w:rsidRPr="009B78DA" w:rsidRDefault="000F0CDE" w:rsidP="002F4DEC">
      <w:pPr>
        <w:pStyle w:val="Akapitzlist"/>
        <w:numPr>
          <w:ilvl w:val="0"/>
          <w:numId w:val="15"/>
        </w:numPr>
        <w:spacing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 xml:space="preserve">nr 68 odcinek: Lublin – Przeworsk; </w:t>
      </w:r>
    </w:p>
    <w:p w14:paraId="356BD5D4" w14:textId="77777777" w:rsidR="000F0CDE" w:rsidRPr="009B78DA" w:rsidRDefault="000F0CDE" w:rsidP="002F4DEC">
      <w:pPr>
        <w:pStyle w:val="Akapitzlist"/>
        <w:numPr>
          <w:ilvl w:val="0"/>
          <w:numId w:val="15"/>
        </w:numPr>
        <w:spacing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nr 71 odcinek: Ocice – Rzeszów Główny;</w:t>
      </w:r>
    </w:p>
    <w:p w14:paraId="04F6E3AF" w14:textId="77777777" w:rsidR="000F0CDE" w:rsidRPr="009B78DA" w:rsidRDefault="000F0CDE" w:rsidP="002F4DEC">
      <w:pPr>
        <w:pStyle w:val="Akapitzlist"/>
        <w:numPr>
          <w:ilvl w:val="0"/>
          <w:numId w:val="15"/>
        </w:numPr>
        <w:spacing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nr 74 odcinek: Sobów - Stalowa Wola Rozwadów;</w:t>
      </w:r>
    </w:p>
    <w:p w14:paraId="0E8976DC" w14:textId="77777777" w:rsidR="000F0CDE" w:rsidRPr="009B78DA" w:rsidRDefault="000F0CDE" w:rsidP="002F4DEC">
      <w:pPr>
        <w:pStyle w:val="Akapitzlist"/>
        <w:numPr>
          <w:ilvl w:val="0"/>
          <w:numId w:val="15"/>
        </w:numPr>
        <w:spacing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nr 78 odcinek: Sandomierz – Grębów;</w:t>
      </w:r>
    </w:p>
    <w:p w14:paraId="4AA197EF" w14:textId="77777777" w:rsidR="000F0CDE" w:rsidRPr="009B78DA" w:rsidRDefault="000F0CDE" w:rsidP="002F4DEC">
      <w:pPr>
        <w:pStyle w:val="Akapitzlist"/>
        <w:numPr>
          <w:ilvl w:val="0"/>
          <w:numId w:val="15"/>
        </w:numPr>
        <w:spacing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nr 91 odcinek: Kraków Główny – Medyka –– granica państwa;</w:t>
      </w:r>
    </w:p>
    <w:p w14:paraId="344E86A3" w14:textId="77777777" w:rsidR="000F0CDE" w:rsidRPr="009B78DA" w:rsidRDefault="000F0CDE" w:rsidP="002F4DEC">
      <w:pPr>
        <w:pStyle w:val="Akapitzlist"/>
        <w:numPr>
          <w:ilvl w:val="0"/>
          <w:numId w:val="15"/>
        </w:numPr>
        <w:spacing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nr 106 odcinek: Rzeszów – Jasło;</w:t>
      </w:r>
    </w:p>
    <w:p w14:paraId="0153B01D" w14:textId="011C2E6A" w:rsidR="00F00A71" w:rsidRPr="009B78DA" w:rsidRDefault="000F0CDE" w:rsidP="002F4DEC">
      <w:pPr>
        <w:pStyle w:val="Akapitzlist"/>
        <w:numPr>
          <w:ilvl w:val="0"/>
          <w:numId w:val="15"/>
        </w:numPr>
        <w:spacing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nr 108 odcinek: Jasło – Sanok.</w:t>
      </w:r>
    </w:p>
    <w:p w14:paraId="24CD52E8" w14:textId="6070291E" w:rsidR="000770FD" w:rsidRPr="009B78DA" w:rsidRDefault="000770FD" w:rsidP="002F4DEC">
      <w:pPr>
        <w:pStyle w:val="Legenda"/>
        <w:keepNext/>
        <w:rPr>
          <w:color w:val="000000" w:themeColor="text1"/>
        </w:rPr>
      </w:pPr>
      <w:bookmarkStart w:id="61" w:name="_Toc146785732"/>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w:t>
      </w:r>
      <w:r w:rsidRPr="009B78DA">
        <w:rPr>
          <w:rFonts w:ascii="Arial" w:hAnsi="Arial" w:cs="Arial"/>
          <w:b/>
          <w:i w:val="0"/>
          <w:color w:val="000000" w:themeColor="text1"/>
          <w:sz w:val="22"/>
          <w:szCs w:val="22"/>
        </w:rPr>
        <w:fldChar w:fldCharType="end"/>
      </w:r>
      <w:r w:rsidRPr="009B78DA">
        <w:rPr>
          <w:color w:val="000000" w:themeColor="text1"/>
        </w:rPr>
        <w:t xml:space="preserve"> </w:t>
      </w:r>
      <w:bookmarkStart w:id="62" w:name="_Toc74563133"/>
      <w:r w:rsidRPr="009B78DA">
        <w:rPr>
          <w:rFonts w:ascii="Arial" w:hAnsi="Arial" w:cs="Arial"/>
          <w:i w:val="0"/>
          <w:color w:val="000000" w:themeColor="text1"/>
          <w:sz w:val="22"/>
          <w:szCs w:val="22"/>
        </w:rPr>
        <w:t>Długość linii kolejowych normalnotorowych w Polsce i w województwie podkarpackim w 2022 r. (km)</w:t>
      </w:r>
      <w:bookmarkEnd w:id="62"/>
      <w:bookmarkEnd w:id="61"/>
    </w:p>
    <w:tbl>
      <w:tblPr>
        <w:tblStyle w:val="Tabela-Siatka"/>
        <w:tblW w:w="5000" w:type="pct"/>
        <w:tblLook w:val="04A0" w:firstRow="1" w:lastRow="0" w:firstColumn="1" w:lastColumn="0" w:noHBand="0" w:noVBand="1"/>
        <w:tblCaption w:val="Tabela 2. Długość linii kolejowych normalnotorowych w Polsce i w województwie podkarpackim w 2019 r. (km)"/>
        <w:tblDescription w:val="Tabela zawiera Jednostka administracyjna, linie kolejowe eksploatowane, normalnotorowe ogółem, normalnotorowe zelektryfikowane, normalnotorowe dwu- i więcej torowe"/>
      </w:tblPr>
      <w:tblGrid>
        <w:gridCol w:w="1778"/>
        <w:gridCol w:w="1724"/>
        <w:gridCol w:w="1818"/>
        <w:gridCol w:w="1890"/>
        <w:gridCol w:w="1852"/>
      </w:tblGrid>
      <w:tr w:rsidR="006F4FD2" w:rsidRPr="009B78DA" w14:paraId="1D76EC25" w14:textId="77777777" w:rsidTr="002F4DEC">
        <w:trPr>
          <w:tblHeader/>
        </w:trPr>
        <w:tc>
          <w:tcPr>
            <w:tcW w:w="981" w:type="pct"/>
            <w:shd w:val="clear" w:color="auto" w:fill="DEEAF6" w:themeFill="accent1" w:themeFillTint="33"/>
            <w:vAlign w:val="center"/>
          </w:tcPr>
          <w:p w14:paraId="0220BA8F" w14:textId="77777777" w:rsidR="000F0CDE" w:rsidRPr="009B78DA" w:rsidRDefault="000F0CDE" w:rsidP="009107B1">
            <w:pPr>
              <w:rPr>
                <w:rFonts w:ascii="Arial" w:hAnsi="Arial" w:cs="Arial"/>
                <w:color w:val="000000" w:themeColor="text1"/>
                <w:sz w:val="22"/>
                <w:szCs w:val="22"/>
              </w:rPr>
            </w:pPr>
            <w:r w:rsidRPr="009B78DA">
              <w:rPr>
                <w:rFonts w:ascii="Arial" w:hAnsi="Arial" w:cs="Arial"/>
                <w:color w:val="000000" w:themeColor="text1"/>
                <w:sz w:val="22"/>
                <w:szCs w:val="22"/>
              </w:rPr>
              <w:t xml:space="preserve">Jednostka administracyjna </w:t>
            </w:r>
          </w:p>
        </w:tc>
        <w:tc>
          <w:tcPr>
            <w:tcW w:w="951" w:type="pct"/>
            <w:shd w:val="clear" w:color="auto" w:fill="DEEAF6" w:themeFill="accent1" w:themeFillTint="33"/>
            <w:vAlign w:val="center"/>
          </w:tcPr>
          <w:p w14:paraId="3CA1C449" w14:textId="77777777" w:rsidR="000F0CDE" w:rsidRPr="009B78DA" w:rsidRDefault="000F0CDE" w:rsidP="009107B1">
            <w:pPr>
              <w:rPr>
                <w:rFonts w:ascii="Arial" w:hAnsi="Arial" w:cs="Arial"/>
                <w:color w:val="000000" w:themeColor="text1"/>
                <w:sz w:val="22"/>
                <w:szCs w:val="22"/>
              </w:rPr>
            </w:pPr>
            <w:r w:rsidRPr="009B78DA">
              <w:rPr>
                <w:rFonts w:ascii="Arial" w:hAnsi="Arial" w:cs="Arial"/>
                <w:color w:val="000000" w:themeColor="text1"/>
                <w:sz w:val="22"/>
                <w:szCs w:val="22"/>
              </w:rPr>
              <w:t>linie kolejowe eksploatowane</w:t>
            </w:r>
          </w:p>
        </w:tc>
        <w:tc>
          <w:tcPr>
            <w:tcW w:w="1003" w:type="pct"/>
            <w:shd w:val="clear" w:color="auto" w:fill="DEEAF6" w:themeFill="accent1" w:themeFillTint="33"/>
            <w:vAlign w:val="center"/>
          </w:tcPr>
          <w:p w14:paraId="24F3F12D" w14:textId="77777777" w:rsidR="000F0CDE" w:rsidRPr="009B78DA" w:rsidRDefault="000F0CDE" w:rsidP="009107B1">
            <w:pPr>
              <w:rPr>
                <w:rFonts w:ascii="Arial" w:hAnsi="Arial" w:cs="Arial"/>
                <w:color w:val="000000" w:themeColor="text1"/>
                <w:sz w:val="22"/>
                <w:szCs w:val="22"/>
              </w:rPr>
            </w:pPr>
            <w:r w:rsidRPr="009B78DA">
              <w:rPr>
                <w:rFonts w:ascii="Arial" w:hAnsi="Arial" w:cs="Arial"/>
                <w:color w:val="000000" w:themeColor="text1"/>
                <w:sz w:val="22"/>
                <w:szCs w:val="22"/>
              </w:rPr>
              <w:t>normalnotorowe ogółem</w:t>
            </w:r>
          </w:p>
        </w:tc>
        <w:tc>
          <w:tcPr>
            <w:tcW w:w="1043" w:type="pct"/>
            <w:shd w:val="clear" w:color="auto" w:fill="DEEAF6" w:themeFill="accent1" w:themeFillTint="33"/>
            <w:vAlign w:val="center"/>
          </w:tcPr>
          <w:p w14:paraId="3D780EDC" w14:textId="77777777" w:rsidR="000F0CDE" w:rsidRPr="009B78DA" w:rsidRDefault="000F0CDE" w:rsidP="009107B1">
            <w:pPr>
              <w:rPr>
                <w:rFonts w:ascii="Arial" w:hAnsi="Arial" w:cs="Arial"/>
                <w:color w:val="000000" w:themeColor="text1"/>
                <w:sz w:val="22"/>
                <w:szCs w:val="22"/>
              </w:rPr>
            </w:pPr>
            <w:r w:rsidRPr="009B78DA">
              <w:rPr>
                <w:rFonts w:ascii="Arial" w:hAnsi="Arial" w:cs="Arial"/>
                <w:color w:val="000000" w:themeColor="text1"/>
                <w:sz w:val="22"/>
                <w:szCs w:val="22"/>
              </w:rPr>
              <w:t>normalnotorowe zelektryfikowane</w:t>
            </w:r>
          </w:p>
        </w:tc>
        <w:tc>
          <w:tcPr>
            <w:tcW w:w="1022" w:type="pct"/>
            <w:shd w:val="clear" w:color="auto" w:fill="DEEAF6" w:themeFill="accent1" w:themeFillTint="33"/>
            <w:vAlign w:val="center"/>
          </w:tcPr>
          <w:p w14:paraId="41DEDAA6" w14:textId="77777777" w:rsidR="000F0CDE" w:rsidRPr="009B78DA" w:rsidRDefault="000F0CDE" w:rsidP="009107B1">
            <w:pPr>
              <w:rPr>
                <w:rFonts w:ascii="Arial" w:hAnsi="Arial" w:cs="Arial"/>
                <w:color w:val="000000" w:themeColor="text1"/>
                <w:sz w:val="22"/>
                <w:szCs w:val="22"/>
              </w:rPr>
            </w:pPr>
            <w:r w:rsidRPr="009B78DA">
              <w:rPr>
                <w:rFonts w:ascii="Arial" w:hAnsi="Arial" w:cs="Arial"/>
                <w:color w:val="000000" w:themeColor="text1"/>
                <w:sz w:val="22"/>
                <w:szCs w:val="22"/>
              </w:rPr>
              <w:t>normalnotorowe dwu- i więcej torowe</w:t>
            </w:r>
          </w:p>
        </w:tc>
      </w:tr>
      <w:tr w:rsidR="00127213" w:rsidRPr="009B78DA" w14:paraId="5AD3780F" w14:textId="77777777" w:rsidTr="002F4DEC">
        <w:trPr>
          <w:trHeight w:val="559"/>
        </w:trPr>
        <w:tc>
          <w:tcPr>
            <w:tcW w:w="981" w:type="pct"/>
            <w:vAlign w:val="center"/>
          </w:tcPr>
          <w:p w14:paraId="764E191C" w14:textId="77777777" w:rsidR="00127213" w:rsidRPr="009B78DA" w:rsidRDefault="00127213" w:rsidP="00127213">
            <w:pPr>
              <w:jc w:val="both"/>
              <w:rPr>
                <w:rFonts w:ascii="Arial" w:hAnsi="Arial" w:cs="Arial"/>
                <w:color w:val="000000" w:themeColor="text1"/>
                <w:sz w:val="22"/>
                <w:szCs w:val="22"/>
              </w:rPr>
            </w:pPr>
            <w:r w:rsidRPr="009B78DA">
              <w:rPr>
                <w:rFonts w:ascii="Arial" w:hAnsi="Arial" w:cs="Arial"/>
                <w:color w:val="000000" w:themeColor="text1"/>
                <w:sz w:val="22"/>
                <w:szCs w:val="22"/>
              </w:rPr>
              <w:t>Polska</w:t>
            </w:r>
          </w:p>
        </w:tc>
        <w:tc>
          <w:tcPr>
            <w:tcW w:w="951" w:type="pct"/>
            <w:vAlign w:val="center"/>
          </w:tcPr>
          <w:p w14:paraId="2D2646ED" w14:textId="18607F05" w:rsidR="00127213" w:rsidRPr="009B78DA" w:rsidRDefault="00127213" w:rsidP="00127213">
            <w:pPr>
              <w:pStyle w:val="Tekstkomentarza"/>
              <w:jc w:val="center"/>
              <w:rPr>
                <w:rFonts w:ascii="Arial" w:hAnsi="Arial" w:cs="Arial"/>
                <w:color w:val="000000" w:themeColor="text1"/>
                <w:sz w:val="22"/>
                <w:szCs w:val="22"/>
              </w:rPr>
            </w:pPr>
            <w:r w:rsidRPr="009B78DA">
              <w:rPr>
                <w:rFonts w:ascii="Arial" w:hAnsi="Arial" w:cs="Arial"/>
                <w:color w:val="000000" w:themeColor="text1"/>
                <w:sz w:val="22"/>
                <w:szCs w:val="22"/>
              </w:rPr>
              <w:t>19 394</w:t>
            </w:r>
          </w:p>
        </w:tc>
        <w:tc>
          <w:tcPr>
            <w:tcW w:w="1003" w:type="pct"/>
            <w:vAlign w:val="center"/>
          </w:tcPr>
          <w:p w14:paraId="307BC066" w14:textId="13CD8B37" w:rsidR="00127213" w:rsidRPr="009B78DA" w:rsidRDefault="00127213" w:rsidP="00127213">
            <w:pPr>
              <w:jc w:val="center"/>
              <w:rPr>
                <w:rFonts w:ascii="Arial" w:hAnsi="Arial" w:cs="Arial"/>
                <w:color w:val="000000" w:themeColor="text1"/>
                <w:sz w:val="22"/>
                <w:szCs w:val="22"/>
              </w:rPr>
            </w:pPr>
            <w:r w:rsidRPr="009B78DA">
              <w:rPr>
                <w:rFonts w:ascii="Arial" w:hAnsi="Arial" w:cs="Arial"/>
                <w:color w:val="000000" w:themeColor="text1"/>
                <w:sz w:val="22"/>
                <w:szCs w:val="22"/>
              </w:rPr>
              <w:t>19 394</w:t>
            </w:r>
          </w:p>
        </w:tc>
        <w:tc>
          <w:tcPr>
            <w:tcW w:w="1043" w:type="pct"/>
            <w:vAlign w:val="center"/>
          </w:tcPr>
          <w:p w14:paraId="1690DBC7" w14:textId="3769F2EC" w:rsidR="00127213" w:rsidRPr="009B78DA" w:rsidRDefault="00127213" w:rsidP="00127213">
            <w:pPr>
              <w:jc w:val="center"/>
              <w:rPr>
                <w:rFonts w:ascii="Arial" w:hAnsi="Arial" w:cs="Arial"/>
                <w:color w:val="000000" w:themeColor="text1"/>
                <w:sz w:val="22"/>
                <w:szCs w:val="22"/>
              </w:rPr>
            </w:pPr>
            <w:r w:rsidRPr="009B78DA">
              <w:rPr>
                <w:rFonts w:ascii="Arial" w:hAnsi="Arial" w:cs="Arial"/>
                <w:color w:val="000000" w:themeColor="text1"/>
                <w:sz w:val="22"/>
                <w:szCs w:val="22"/>
              </w:rPr>
              <w:t>12 174</w:t>
            </w:r>
          </w:p>
        </w:tc>
        <w:tc>
          <w:tcPr>
            <w:tcW w:w="1022" w:type="pct"/>
            <w:vAlign w:val="center"/>
          </w:tcPr>
          <w:p w14:paraId="4E4C2926" w14:textId="7ED012CF" w:rsidR="00127213" w:rsidRPr="009B78DA" w:rsidRDefault="00127213" w:rsidP="00127213">
            <w:pPr>
              <w:jc w:val="center"/>
              <w:rPr>
                <w:rFonts w:ascii="Arial" w:hAnsi="Arial" w:cs="Arial"/>
                <w:color w:val="000000" w:themeColor="text1"/>
                <w:sz w:val="22"/>
                <w:szCs w:val="22"/>
              </w:rPr>
            </w:pPr>
            <w:r w:rsidRPr="009B78DA">
              <w:rPr>
                <w:rFonts w:ascii="Arial" w:hAnsi="Arial" w:cs="Arial"/>
                <w:color w:val="000000" w:themeColor="text1"/>
                <w:sz w:val="22"/>
                <w:szCs w:val="22"/>
              </w:rPr>
              <w:t>8 921</w:t>
            </w:r>
          </w:p>
        </w:tc>
      </w:tr>
      <w:tr w:rsidR="00127213" w:rsidRPr="009B78DA" w14:paraId="70BE67A6" w14:textId="77777777" w:rsidTr="002F4DEC">
        <w:tc>
          <w:tcPr>
            <w:tcW w:w="981" w:type="pct"/>
            <w:vAlign w:val="center"/>
          </w:tcPr>
          <w:p w14:paraId="7DB1CECE" w14:textId="77777777" w:rsidR="00127213" w:rsidRPr="009B78DA" w:rsidRDefault="00127213" w:rsidP="00127213">
            <w:pPr>
              <w:jc w:val="both"/>
              <w:rPr>
                <w:rFonts w:ascii="Arial" w:hAnsi="Arial" w:cs="Arial"/>
                <w:color w:val="000000" w:themeColor="text1"/>
                <w:sz w:val="22"/>
                <w:szCs w:val="22"/>
              </w:rPr>
            </w:pPr>
            <w:r w:rsidRPr="009B78DA">
              <w:rPr>
                <w:rFonts w:ascii="Arial" w:hAnsi="Arial" w:cs="Arial"/>
                <w:color w:val="000000" w:themeColor="text1"/>
                <w:sz w:val="22"/>
                <w:szCs w:val="22"/>
              </w:rPr>
              <w:t>województwo podkarpackie</w:t>
            </w:r>
          </w:p>
        </w:tc>
        <w:tc>
          <w:tcPr>
            <w:tcW w:w="951" w:type="pct"/>
            <w:vAlign w:val="center"/>
          </w:tcPr>
          <w:p w14:paraId="2957C29A" w14:textId="465E90D7" w:rsidR="00127213" w:rsidRPr="009B78DA" w:rsidRDefault="00127213" w:rsidP="00127213">
            <w:pPr>
              <w:jc w:val="center"/>
              <w:rPr>
                <w:rFonts w:ascii="Arial" w:hAnsi="Arial" w:cs="Arial"/>
                <w:color w:val="000000" w:themeColor="text1"/>
                <w:sz w:val="22"/>
                <w:szCs w:val="22"/>
              </w:rPr>
            </w:pPr>
            <w:r w:rsidRPr="009B78DA">
              <w:rPr>
                <w:rFonts w:ascii="Arial" w:hAnsi="Arial" w:cs="Arial"/>
                <w:color w:val="000000" w:themeColor="text1"/>
                <w:sz w:val="22"/>
                <w:szCs w:val="22"/>
              </w:rPr>
              <w:t>985</w:t>
            </w:r>
          </w:p>
        </w:tc>
        <w:tc>
          <w:tcPr>
            <w:tcW w:w="1003" w:type="pct"/>
            <w:vAlign w:val="center"/>
          </w:tcPr>
          <w:p w14:paraId="26D15AE6" w14:textId="0F755F30" w:rsidR="00127213" w:rsidRPr="009B78DA" w:rsidRDefault="00127213" w:rsidP="00127213">
            <w:pPr>
              <w:jc w:val="center"/>
              <w:rPr>
                <w:rFonts w:ascii="Arial" w:hAnsi="Arial" w:cs="Arial"/>
                <w:color w:val="000000" w:themeColor="text1"/>
                <w:sz w:val="22"/>
                <w:szCs w:val="22"/>
              </w:rPr>
            </w:pPr>
            <w:r w:rsidRPr="009B78DA">
              <w:rPr>
                <w:rFonts w:ascii="Arial" w:hAnsi="Arial" w:cs="Arial"/>
                <w:color w:val="000000" w:themeColor="text1"/>
                <w:sz w:val="22"/>
                <w:szCs w:val="22"/>
              </w:rPr>
              <w:t>985</w:t>
            </w:r>
          </w:p>
        </w:tc>
        <w:tc>
          <w:tcPr>
            <w:tcW w:w="1043" w:type="pct"/>
            <w:vAlign w:val="center"/>
          </w:tcPr>
          <w:p w14:paraId="4898F1EF" w14:textId="18D1F08F" w:rsidR="00127213" w:rsidRPr="009B78DA" w:rsidRDefault="00127213" w:rsidP="00127213">
            <w:pPr>
              <w:jc w:val="center"/>
              <w:rPr>
                <w:rFonts w:ascii="Arial" w:hAnsi="Arial" w:cs="Arial"/>
                <w:color w:val="000000" w:themeColor="text1"/>
                <w:sz w:val="22"/>
                <w:szCs w:val="22"/>
              </w:rPr>
            </w:pPr>
            <w:r w:rsidRPr="009B78DA">
              <w:rPr>
                <w:rFonts w:ascii="Arial" w:hAnsi="Arial" w:cs="Arial"/>
                <w:color w:val="000000" w:themeColor="text1"/>
                <w:sz w:val="22"/>
                <w:szCs w:val="22"/>
              </w:rPr>
              <w:t>457</w:t>
            </w:r>
          </w:p>
        </w:tc>
        <w:tc>
          <w:tcPr>
            <w:tcW w:w="1022" w:type="pct"/>
            <w:vAlign w:val="center"/>
          </w:tcPr>
          <w:p w14:paraId="2E86497F" w14:textId="77777777" w:rsidR="00127213" w:rsidRPr="009B78DA" w:rsidRDefault="00127213" w:rsidP="00127213">
            <w:pPr>
              <w:jc w:val="center"/>
              <w:rPr>
                <w:rFonts w:ascii="Arial" w:hAnsi="Arial" w:cs="Arial"/>
                <w:color w:val="000000" w:themeColor="text1"/>
                <w:sz w:val="22"/>
                <w:szCs w:val="22"/>
              </w:rPr>
            </w:pPr>
            <w:r w:rsidRPr="009B78DA">
              <w:rPr>
                <w:rFonts w:ascii="Arial" w:hAnsi="Arial" w:cs="Arial"/>
                <w:color w:val="000000" w:themeColor="text1"/>
                <w:sz w:val="22"/>
                <w:szCs w:val="22"/>
              </w:rPr>
              <w:t>233</w:t>
            </w:r>
          </w:p>
        </w:tc>
      </w:tr>
    </w:tbl>
    <w:p w14:paraId="539B3554" w14:textId="48665EFF" w:rsidR="000F0CDE" w:rsidRPr="009B78DA" w:rsidRDefault="000F0CDE" w:rsidP="009107B1">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opracowanie </w:t>
      </w:r>
      <w:r w:rsidR="006C1AD6" w:rsidRPr="009B78DA">
        <w:rPr>
          <w:rFonts w:ascii="Arial" w:hAnsi="Arial" w:cs="Arial"/>
          <w:color w:val="000000" w:themeColor="text1"/>
          <w:sz w:val="22"/>
          <w:szCs w:val="22"/>
        </w:rPr>
        <w:t xml:space="preserve">własne na </w:t>
      </w:r>
      <w:r w:rsidRPr="009B78DA">
        <w:rPr>
          <w:rFonts w:ascii="Arial" w:hAnsi="Arial" w:cs="Arial"/>
          <w:color w:val="000000" w:themeColor="text1"/>
          <w:sz w:val="22"/>
          <w:szCs w:val="22"/>
        </w:rPr>
        <w:t>podstawie danych GUS.</w:t>
      </w:r>
    </w:p>
    <w:p w14:paraId="750D8C3E" w14:textId="335FED4A" w:rsidR="000770FD" w:rsidRPr="009B78DA" w:rsidRDefault="000770FD" w:rsidP="009107B1">
      <w:pPr>
        <w:pStyle w:val="Legenda"/>
        <w:keepNext/>
        <w:spacing w:after="0" w:line="276" w:lineRule="auto"/>
        <w:rPr>
          <w:rFonts w:ascii="Arial" w:hAnsi="Arial" w:cs="Arial"/>
          <w:i w:val="0"/>
          <w:color w:val="000000" w:themeColor="text1"/>
          <w:sz w:val="22"/>
          <w:szCs w:val="22"/>
        </w:rPr>
      </w:pPr>
      <w:bookmarkStart w:id="63" w:name="_Toc146785635"/>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Stan elektryfikacji linii kolejowych </w:t>
      </w:r>
      <w:bookmarkStart w:id="64" w:name="_Hlk92264776"/>
      <w:r w:rsidRPr="009B78DA">
        <w:rPr>
          <w:rFonts w:ascii="Arial" w:hAnsi="Arial" w:cs="Arial"/>
          <w:i w:val="0"/>
          <w:color w:val="000000" w:themeColor="text1"/>
          <w:sz w:val="22"/>
          <w:szCs w:val="22"/>
        </w:rPr>
        <w:t>w 2021 r.</w:t>
      </w:r>
      <w:bookmarkEnd w:id="63"/>
    </w:p>
    <w:bookmarkEnd w:id="64"/>
    <w:p w14:paraId="7453DD0E" w14:textId="7C36ACF2" w:rsidR="000F0CDE" w:rsidRPr="009B78DA" w:rsidRDefault="000446BB" w:rsidP="00C641A4">
      <w:pPr>
        <w:spacing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226DD7C0" wp14:editId="5B0FEF30">
            <wp:extent cx="4802400" cy="4319619"/>
            <wp:effectExtent l="0" t="0" r="0" b="5080"/>
            <wp:docPr id="78" name="Obraz 78" descr="Województwo podkarpackie w tym Rzeszowski Obszar Funkcjonalny oraz Miejskie Obszary Funkcjonalne: Tarnobrzeg, Stalowa Wola, Nisko, Mielec, Dębica, Ropczyce, Przeworsk, Jarosław, Lubaczów, Jarosław, Przemyśl, Jasło, Krosno, Sanok, Lesko. Zaznaczono Miasta Kolbuszowa, Leżajsk, Strzyżów, Brzozów , Ustrzyki Dolne. Zaznaczono Linie kolejową zelektryfikowaną od góry 70, 25, 78,74, 68, E30, 108.  Linie kolejowe niezelektryfikowaną od góry 68, 65, 66, 25, 71, 101, 106, 108, 107, 108. Terminal intermodalny Kolbuszowa, Przemyśl" title="Rysunek 6 Stan elektryfikacji linii kolejowych w 2021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Obraz 7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02400" cy="4319619"/>
                    </a:xfrm>
                    <a:prstGeom prst="rect">
                      <a:avLst/>
                    </a:prstGeom>
                  </pic:spPr>
                </pic:pic>
              </a:graphicData>
            </a:graphic>
          </wp:inline>
        </w:drawing>
      </w:r>
    </w:p>
    <w:p w14:paraId="50544597" w14:textId="0F235CBA" w:rsidR="000F0CDE" w:rsidRPr="009B78DA" w:rsidRDefault="000F0CDE" w:rsidP="009107B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7C58D4" w:rsidRPr="009B78DA">
        <w:rPr>
          <w:rFonts w:ascii="Arial" w:hAnsi="Arial" w:cs="Arial"/>
          <w:color w:val="000000" w:themeColor="text1"/>
          <w:sz w:val="22"/>
          <w:szCs w:val="22"/>
        </w:rPr>
        <w:t>Opracowanie własne.</w:t>
      </w:r>
    </w:p>
    <w:p w14:paraId="1D975AA7" w14:textId="779CF4CE" w:rsidR="00F00A71" w:rsidRPr="009B78DA" w:rsidRDefault="00DE0268" w:rsidP="009107B1">
      <w:pPr>
        <w:pStyle w:val="Akapitzlist"/>
        <w:numPr>
          <w:ilvl w:val="0"/>
          <w:numId w:val="1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Układ linii kolejowych w północnej części wojew</w:t>
      </w:r>
      <w:r w:rsidR="001E064F" w:rsidRPr="009B78DA">
        <w:rPr>
          <w:rFonts w:ascii="Arial" w:hAnsi="Arial" w:cs="Arial"/>
          <w:color w:val="000000" w:themeColor="text1"/>
          <w:sz w:val="22"/>
          <w:szCs w:val="22"/>
        </w:rPr>
        <w:t>ództwa</w:t>
      </w:r>
      <w:r w:rsidRPr="009B78DA">
        <w:rPr>
          <w:rFonts w:ascii="Arial" w:hAnsi="Arial" w:cs="Arial"/>
          <w:color w:val="000000" w:themeColor="text1"/>
          <w:sz w:val="22"/>
          <w:szCs w:val="22"/>
        </w:rPr>
        <w:t xml:space="preserve"> stwarza możliwość rozwoju kolei łączącej </w:t>
      </w:r>
      <w:r w:rsidR="001E064F" w:rsidRPr="009B78DA">
        <w:rPr>
          <w:rFonts w:ascii="Arial" w:hAnsi="Arial" w:cs="Arial"/>
          <w:color w:val="000000" w:themeColor="text1"/>
          <w:sz w:val="22"/>
          <w:szCs w:val="22"/>
        </w:rPr>
        <w:t xml:space="preserve">obszar </w:t>
      </w:r>
      <w:r w:rsidRPr="009B78DA">
        <w:rPr>
          <w:rFonts w:ascii="Arial" w:hAnsi="Arial" w:cs="Arial"/>
          <w:color w:val="000000" w:themeColor="text1"/>
          <w:sz w:val="22"/>
          <w:szCs w:val="22"/>
        </w:rPr>
        <w:t>inicjatywy Czwórmiasta</w:t>
      </w:r>
      <w:r w:rsidR="00684F3D" w:rsidRPr="009B78DA">
        <w:rPr>
          <w:rFonts w:ascii="Arial" w:hAnsi="Arial" w:cs="Arial"/>
          <w:color w:val="000000" w:themeColor="text1"/>
          <w:sz w:val="22"/>
          <w:szCs w:val="22"/>
        </w:rPr>
        <w:t xml:space="preserve"> (</w:t>
      </w:r>
      <w:r w:rsidR="00833E51" w:rsidRPr="009B78DA">
        <w:rPr>
          <w:rFonts w:ascii="Arial" w:hAnsi="Arial" w:cs="Arial"/>
          <w:color w:val="000000" w:themeColor="text1"/>
          <w:sz w:val="22"/>
          <w:szCs w:val="22"/>
        </w:rPr>
        <w:t xml:space="preserve">ponadto </w:t>
      </w:r>
      <w:r w:rsidR="00684F3D" w:rsidRPr="009B78DA">
        <w:rPr>
          <w:rFonts w:ascii="Arial" w:hAnsi="Arial" w:cs="Arial"/>
          <w:color w:val="000000" w:themeColor="text1"/>
          <w:sz w:val="22"/>
          <w:szCs w:val="22"/>
        </w:rPr>
        <w:t xml:space="preserve">połączenie </w:t>
      </w:r>
      <w:r w:rsidR="00833E51" w:rsidRPr="009B78DA">
        <w:rPr>
          <w:rFonts w:ascii="Arial" w:hAnsi="Arial" w:cs="Arial"/>
          <w:color w:val="000000" w:themeColor="text1"/>
          <w:sz w:val="22"/>
          <w:szCs w:val="22"/>
        </w:rPr>
        <w:t>wskazanych miast</w:t>
      </w:r>
      <w:r w:rsidR="00684F3D" w:rsidRPr="009B78DA">
        <w:rPr>
          <w:rFonts w:ascii="Arial" w:hAnsi="Arial" w:cs="Arial"/>
          <w:color w:val="000000" w:themeColor="text1"/>
          <w:sz w:val="22"/>
          <w:szCs w:val="22"/>
        </w:rPr>
        <w:t xml:space="preserve"> </w:t>
      </w:r>
      <w:r w:rsidR="00833E51" w:rsidRPr="009B78DA">
        <w:rPr>
          <w:rFonts w:ascii="Arial" w:hAnsi="Arial" w:cs="Arial"/>
          <w:color w:val="000000" w:themeColor="text1"/>
          <w:sz w:val="22"/>
          <w:szCs w:val="22"/>
        </w:rPr>
        <w:t>z powiatami w północnej części województwa</w:t>
      </w:r>
      <w:r w:rsidR="00A72412" w:rsidRPr="009B78DA">
        <w:rPr>
          <w:rFonts w:ascii="Arial" w:hAnsi="Arial" w:cs="Arial"/>
          <w:color w:val="000000" w:themeColor="text1"/>
          <w:sz w:val="22"/>
          <w:szCs w:val="22"/>
        </w:rPr>
        <w:t xml:space="preserve"> w kierunku Kolbuszowej - PKA</w:t>
      </w:r>
      <w:r w:rsidR="00833E51" w:rsidRPr="009B78DA">
        <w:rPr>
          <w:rFonts w:ascii="Arial" w:hAnsi="Arial" w:cs="Arial"/>
          <w:color w:val="000000" w:themeColor="text1"/>
          <w:sz w:val="22"/>
          <w:szCs w:val="22"/>
        </w:rPr>
        <w:t>).</w:t>
      </w:r>
    </w:p>
    <w:p w14:paraId="3C9CDCA9" w14:textId="759308CC" w:rsidR="003C206F" w:rsidRPr="009B78DA" w:rsidRDefault="003C206F" w:rsidP="009107B1">
      <w:pPr>
        <w:pStyle w:val="Akapitzlist"/>
        <w:numPr>
          <w:ilvl w:val="0"/>
          <w:numId w:val="1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Ważnym elementem sieci transportu kolejowego na północy województwa jest Linia Hutnicza Szerokotorowa. Jest ona najdłuższą szerokotorową linią na terenie Polski</w:t>
      </w:r>
      <w:r w:rsidR="006448CA"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przeznaczoną do transportu towarowego.</w:t>
      </w:r>
    </w:p>
    <w:p w14:paraId="68CA1616" w14:textId="22B42F9B" w:rsidR="003C206F" w:rsidRPr="009B78DA" w:rsidRDefault="003C206F" w:rsidP="009107B1">
      <w:pPr>
        <w:pStyle w:val="Akapitzlist"/>
        <w:numPr>
          <w:ilvl w:val="0"/>
          <w:numId w:val="1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Najważniejszym </w:t>
      </w:r>
      <w:bookmarkStart w:id="65" w:name="_Hlk92551707"/>
      <w:r w:rsidRPr="009B78DA">
        <w:rPr>
          <w:rFonts w:ascii="Arial" w:hAnsi="Arial" w:cs="Arial"/>
          <w:color w:val="000000" w:themeColor="text1"/>
          <w:sz w:val="22"/>
          <w:szCs w:val="22"/>
        </w:rPr>
        <w:t>atrybutem linii LHS jest transport bez konieczności przeładunku towarów na granicy</w:t>
      </w:r>
      <w:r w:rsidR="00092E8C"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możliwość prowadzenia ciężkich składów</w:t>
      </w:r>
      <w:r w:rsidR="00092E8C" w:rsidRPr="009B78DA">
        <w:rPr>
          <w:rFonts w:ascii="Arial" w:hAnsi="Arial" w:cs="Arial"/>
          <w:color w:val="000000" w:themeColor="text1"/>
          <w:sz w:val="22"/>
          <w:szCs w:val="22"/>
        </w:rPr>
        <w:t xml:space="preserve"> oraz lokalizacji platform intermodalnych</w:t>
      </w:r>
      <w:r w:rsidR="006448CA" w:rsidRPr="009B78DA">
        <w:rPr>
          <w:rFonts w:ascii="Arial" w:hAnsi="Arial" w:cs="Arial"/>
          <w:color w:val="000000" w:themeColor="text1"/>
          <w:sz w:val="22"/>
          <w:szCs w:val="22"/>
        </w:rPr>
        <w:t>.</w:t>
      </w:r>
    </w:p>
    <w:bookmarkEnd w:id="65"/>
    <w:p w14:paraId="2BBE29E7" w14:textId="77777777" w:rsidR="003C206F" w:rsidRPr="009B78DA" w:rsidRDefault="003C206F" w:rsidP="009107B1">
      <w:pPr>
        <w:pStyle w:val="Akapitzlist"/>
        <w:numPr>
          <w:ilvl w:val="0"/>
          <w:numId w:val="1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Na terenie województwa podkarpackiego zlokalizowane są dwie linie wąskotorowe: Przeworska Kolej Dojazdowa „Pogórzanin” i Bieszczadzka Kolejka Leśna – obecnie wykorzystywane wyłącznie w celach turystycznych.</w:t>
      </w:r>
    </w:p>
    <w:p w14:paraId="4BFE9416" w14:textId="00AEE7AF" w:rsidR="000F0CDE" w:rsidRPr="009B78DA" w:rsidRDefault="000F0CDE" w:rsidP="009107B1">
      <w:pPr>
        <w:pStyle w:val="Akapitzlist"/>
        <w:numPr>
          <w:ilvl w:val="0"/>
          <w:numId w:val="1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 województwie podkarpackim występuje niski procent e</w:t>
      </w:r>
      <w:r w:rsidR="009107B1">
        <w:rPr>
          <w:rFonts w:ascii="Arial" w:hAnsi="Arial" w:cs="Arial"/>
          <w:color w:val="000000" w:themeColor="text1"/>
          <w:sz w:val="22"/>
          <w:szCs w:val="22"/>
        </w:rPr>
        <w:t>lektryfikacji linii kolejowych.</w:t>
      </w:r>
    </w:p>
    <w:p w14:paraId="0083EEDB" w14:textId="5D022817" w:rsidR="000F0CDE" w:rsidRPr="009B78DA" w:rsidRDefault="000F0CDE" w:rsidP="009107B1">
      <w:pPr>
        <w:pStyle w:val="Akapitzlist"/>
        <w:numPr>
          <w:ilvl w:val="0"/>
          <w:numId w:val="1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Tylko jeden odcinek magistrali kolejowej jest dostosowany do prędkości 120-160 km/h (granica województwa z woj. małopolskim – Rzeszów)</w:t>
      </w:r>
      <w:r w:rsidR="009F44FA" w:rsidRPr="009B78DA">
        <w:rPr>
          <w:rFonts w:ascii="Arial" w:hAnsi="Arial" w:cs="Arial"/>
          <w:color w:val="000000" w:themeColor="text1"/>
          <w:sz w:val="22"/>
          <w:szCs w:val="22"/>
        </w:rPr>
        <w:t>, natomiast odcinek linii nr 25 Dębica-Mielec oddany do użytkowania w 2021 r. ma prędkość 100 km/h.</w:t>
      </w:r>
    </w:p>
    <w:p w14:paraId="6904B72B" w14:textId="5B8AD0CF" w:rsidR="000770FD" w:rsidRPr="009B78DA" w:rsidRDefault="000770FD" w:rsidP="009107B1">
      <w:pPr>
        <w:pStyle w:val="Legenda"/>
        <w:keepNext/>
        <w:spacing w:after="0" w:line="276" w:lineRule="auto"/>
        <w:rPr>
          <w:rFonts w:ascii="Arial" w:hAnsi="Arial" w:cs="Arial"/>
          <w:i w:val="0"/>
          <w:color w:val="000000" w:themeColor="text1"/>
          <w:sz w:val="22"/>
          <w:szCs w:val="22"/>
        </w:rPr>
      </w:pPr>
      <w:bookmarkStart w:id="66" w:name="_Toc146785636"/>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7</w:t>
      </w:r>
      <w:r w:rsidRPr="009B78DA">
        <w:rPr>
          <w:rFonts w:ascii="Arial" w:hAnsi="Arial" w:cs="Arial"/>
          <w:b/>
          <w:i w:val="0"/>
          <w:color w:val="000000" w:themeColor="text1"/>
          <w:sz w:val="22"/>
          <w:szCs w:val="22"/>
        </w:rPr>
        <w:fldChar w:fldCharType="end"/>
      </w:r>
      <w:r w:rsidRPr="009B78DA">
        <w:rPr>
          <w:rFonts w:ascii="Arial" w:hAnsi="Arial" w:cs="Arial"/>
          <w:color w:val="000000" w:themeColor="text1"/>
          <w:sz w:val="22"/>
          <w:szCs w:val="22"/>
        </w:rPr>
        <w:t xml:space="preserve"> </w:t>
      </w:r>
      <w:r w:rsidRPr="009B78DA">
        <w:rPr>
          <w:rFonts w:ascii="Arial" w:hAnsi="Arial" w:cs="Arial"/>
          <w:i w:val="0"/>
          <w:color w:val="000000" w:themeColor="text1"/>
          <w:sz w:val="22"/>
          <w:szCs w:val="22"/>
        </w:rPr>
        <w:t>Maksymalne prędkości techniczne na sieci kolejowej w 2019 r.</w:t>
      </w:r>
      <w:r w:rsidRPr="009B78DA">
        <w:rPr>
          <w:rStyle w:val="Odwoanieprzypisudolnego"/>
          <w:rFonts w:ascii="Arial" w:hAnsi="Arial" w:cs="Arial"/>
          <w:i w:val="0"/>
          <w:color w:val="000000" w:themeColor="text1"/>
          <w:sz w:val="22"/>
          <w:szCs w:val="22"/>
        </w:rPr>
        <w:footnoteReference w:id="8"/>
      </w:r>
      <w:bookmarkEnd w:id="66"/>
    </w:p>
    <w:p w14:paraId="1C621CCA" w14:textId="0D786B82" w:rsidR="000F0CDE" w:rsidRPr="009B78DA" w:rsidRDefault="00345D12" w:rsidP="00C641A4">
      <w:pPr>
        <w:spacing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287A261" wp14:editId="58CFEB77">
            <wp:extent cx="3927600" cy="4320000"/>
            <wp:effectExtent l="0" t="0" r="0" b="4445"/>
            <wp:docPr id="3" name="Obraz 3" descr="Miejski Obszar Funkcjonalny Rzeszów zaznaczony linia czarną. Ponadto widać kontury  granic miasta i gmin. Na mapie zostały oznaczone linie kolejowe i ich maksymalna prędkość w 2019/2020 r. Od góry linia 74 max. prędkość 60-90, 66 max. prędkość 60-90, 68 max. prędkość 90-120, 25 max. prędkość 60-90, 71 max. prędkość 90-120, 91 max. prędkość 90-120, 69, 116, 101 max. prędkość 50-60, E90 max. prędkość 120-160, 106, 102, 108, 107 max. prędkość 40-60" title="Rysunek 7 Maksymalne prędkości techniczne na sieci kolejowej w 2019 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27600" cy="4320000"/>
                    </a:xfrm>
                    <a:prstGeom prst="rect">
                      <a:avLst/>
                    </a:prstGeom>
                  </pic:spPr>
                </pic:pic>
              </a:graphicData>
            </a:graphic>
          </wp:inline>
        </w:drawing>
      </w:r>
    </w:p>
    <w:p w14:paraId="25AEAF79" w14:textId="3B89297E" w:rsidR="00656C2C" w:rsidRPr="009107B1" w:rsidRDefault="00A91503" w:rsidP="009107B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T. Komornicki, P. Rosik, P. Duma, S. Goliszek, B. Szejgiec-Kolenda, </w:t>
      </w:r>
      <w:r w:rsidRPr="009B78DA">
        <w:rPr>
          <w:rFonts w:ascii="Arial" w:hAnsi="Arial" w:cs="Arial"/>
          <w:i/>
          <w:color w:val="000000" w:themeColor="text1"/>
          <w:sz w:val="22"/>
          <w:szCs w:val="22"/>
        </w:rPr>
        <w:t>Raport końcowy. Rozwój transportu w województwie podkarpackim w perspektywie do 2030</w:t>
      </w:r>
      <w:r w:rsidRPr="009B78DA">
        <w:rPr>
          <w:rFonts w:ascii="Arial" w:hAnsi="Arial" w:cs="Arial"/>
          <w:color w:val="000000" w:themeColor="text1"/>
          <w:sz w:val="22"/>
          <w:szCs w:val="22"/>
        </w:rPr>
        <w:t>, Instytut Geografii i Przestrzennego Zagospodarowania im. Stanisława Leszczyckiego, Polska Akademia Nauk, Warszawa 2020</w:t>
      </w:r>
      <w:r w:rsidR="00345D12" w:rsidRPr="009B78DA">
        <w:rPr>
          <w:rFonts w:ascii="Arial" w:hAnsi="Arial" w:cs="Arial"/>
          <w:color w:val="000000" w:themeColor="text1"/>
          <w:sz w:val="22"/>
          <w:szCs w:val="22"/>
        </w:rPr>
        <w:t xml:space="preserve"> </w:t>
      </w:r>
      <w:bookmarkStart w:id="67" w:name="_Hlk92195977"/>
      <w:r w:rsidR="00345D12" w:rsidRPr="009B78DA">
        <w:rPr>
          <w:rFonts w:ascii="Arial" w:hAnsi="Arial" w:cs="Arial"/>
          <w:color w:val="000000" w:themeColor="text1"/>
          <w:sz w:val="22"/>
          <w:szCs w:val="22"/>
        </w:rPr>
        <w:t>(zaktualizowano o odcinek linii nr 25 Dębica-Mielec</w:t>
      </w:r>
      <w:r w:rsidR="00345D12" w:rsidRPr="009B78DA">
        <w:rPr>
          <w:color w:val="000000" w:themeColor="text1"/>
        </w:rPr>
        <w:t xml:space="preserve"> </w:t>
      </w:r>
      <w:r w:rsidR="00345D12" w:rsidRPr="009B78DA">
        <w:rPr>
          <w:rFonts w:ascii="Arial" w:hAnsi="Arial" w:cs="Arial"/>
          <w:color w:val="000000" w:themeColor="text1"/>
          <w:sz w:val="22"/>
          <w:szCs w:val="22"/>
        </w:rPr>
        <w:t>oddany do użytkowania w 2021 r.)</w:t>
      </w:r>
      <w:bookmarkEnd w:id="67"/>
    </w:p>
    <w:p w14:paraId="7A0B1286" w14:textId="71A31B20" w:rsidR="00A91503" w:rsidRPr="009B78DA" w:rsidRDefault="00A91503" w:rsidP="009107B1">
      <w:pPr>
        <w:pStyle w:val="Akapitzlist"/>
        <w:numPr>
          <w:ilvl w:val="2"/>
          <w:numId w:val="6"/>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Sieć lotnicza</w:t>
      </w:r>
    </w:p>
    <w:p w14:paraId="15D2A747" w14:textId="5D5E9E7F" w:rsidR="00A91503" w:rsidRPr="009B78DA" w:rsidRDefault="00A91503" w:rsidP="009107B1">
      <w:pPr>
        <w:pStyle w:val="Akapitzlist"/>
        <w:numPr>
          <w:ilvl w:val="0"/>
          <w:numId w:val="1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 terenie województwa podkarpackiego znajduje się </w:t>
      </w:r>
      <w:r w:rsidR="00715F32" w:rsidRPr="009B78DA">
        <w:rPr>
          <w:rFonts w:ascii="Arial" w:hAnsi="Arial" w:cs="Arial"/>
          <w:color w:val="000000" w:themeColor="text1"/>
          <w:sz w:val="22"/>
          <w:szCs w:val="22"/>
        </w:rPr>
        <w:t>5</w:t>
      </w:r>
      <w:r w:rsidRPr="009B78DA">
        <w:rPr>
          <w:rFonts w:ascii="Arial" w:hAnsi="Arial" w:cs="Arial"/>
          <w:color w:val="000000" w:themeColor="text1"/>
          <w:sz w:val="22"/>
          <w:szCs w:val="22"/>
        </w:rPr>
        <w:t xml:space="preserve"> lotnisk i </w:t>
      </w:r>
      <w:r w:rsidR="00181D14" w:rsidRPr="009B78DA">
        <w:rPr>
          <w:rFonts w:ascii="Arial" w:hAnsi="Arial" w:cs="Arial"/>
          <w:color w:val="000000" w:themeColor="text1"/>
          <w:sz w:val="22"/>
          <w:szCs w:val="22"/>
        </w:rPr>
        <w:t>31</w:t>
      </w:r>
      <w:r w:rsidRPr="009B78DA">
        <w:rPr>
          <w:rFonts w:ascii="Arial" w:hAnsi="Arial" w:cs="Arial"/>
          <w:color w:val="000000" w:themeColor="text1"/>
          <w:sz w:val="22"/>
          <w:szCs w:val="22"/>
        </w:rPr>
        <w:t xml:space="preserve"> lądowisk, w tym: </w:t>
      </w:r>
      <w:r w:rsidR="00F46158" w:rsidRPr="009B78DA">
        <w:rPr>
          <w:rFonts w:ascii="Arial" w:hAnsi="Arial" w:cs="Arial"/>
          <w:color w:val="000000" w:themeColor="text1"/>
          <w:sz w:val="22"/>
          <w:szCs w:val="22"/>
        </w:rPr>
        <w:t>13</w:t>
      </w:r>
      <w:r w:rsidR="006E7B41" w:rsidRPr="009B78DA">
        <w:rPr>
          <w:rStyle w:val="Odwoaniedokomentarza"/>
          <w:color w:val="000000" w:themeColor="text1"/>
        </w:rPr>
        <w:t xml:space="preserve"> </w:t>
      </w:r>
      <w:r w:rsidRPr="009B78DA">
        <w:rPr>
          <w:rFonts w:ascii="Arial" w:hAnsi="Arial" w:cs="Arial"/>
          <w:color w:val="000000" w:themeColor="text1"/>
          <w:sz w:val="22"/>
          <w:szCs w:val="22"/>
        </w:rPr>
        <w:t xml:space="preserve">śmigłowcowych (przyszpitalnych), </w:t>
      </w:r>
      <w:r w:rsidR="00181D14" w:rsidRPr="009B78DA">
        <w:rPr>
          <w:rFonts w:ascii="Arial" w:hAnsi="Arial" w:cs="Arial"/>
          <w:color w:val="000000" w:themeColor="text1"/>
          <w:sz w:val="22"/>
          <w:szCs w:val="22"/>
        </w:rPr>
        <w:t>9</w:t>
      </w:r>
      <w:r w:rsidRPr="009B78DA">
        <w:rPr>
          <w:rFonts w:ascii="Arial" w:hAnsi="Arial" w:cs="Arial"/>
          <w:color w:val="000000" w:themeColor="text1"/>
          <w:sz w:val="22"/>
          <w:szCs w:val="22"/>
        </w:rPr>
        <w:t xml:space="preserve"> samolotowych i </w:t>
      </w:r>
      <w:r w:rsidR="00181D14" w:rsidRPr="009B78DA">
        <w:rPr>
          <w:rFonts w:ascii="Arial" w:hAnsi="Arial" w:cs="Arial"/>
          <w:color w:val="000000" w:themeColor="text1"/>
          <w:sz w:val="22"/>
          <w:szCs w:val="22"/>
        </w:rPr>
        <w:t>9</w:t>
      </w:r>
      <w:r w:rsidRPr="009B78DA">
        <w:rPr>
          <w:rFonts w:ascii="Arial" w:hAnsi="Arial" w:cs="Arial"/>
          <w:color w:val="000000" w:themeColor="text1"/>
          <w:sz w:val="22"/>
          <w:szCs w:val="22"/>
        </w:rPr>
        <w:t xml:space="preserve"> śmigłowcow</w:t>
      </w:r>
      <w:r w:rsidR="00181D14" w:rsidRPr="009B78DA">
        <w:rPr>
          <w:rFonts w:ascii="Arial" w:hAnsi="Arial" w:cs="Arial"/>
          <w:color w:val="000000" w:themeColor="text1"/>
          <w:sz w:val="22"/>
          <w:szCs w:val="22"/>
        </w:rPr>
        <w:t>ych</w:t>
      </w:r>
      <w:r w:rsidRPr="009B78DA">
        <w:rPr>
          <w:rFonts w:ascii="Arial" w:hAnsi="Arial" w:cs="Arial"/>
          <w:color w:val="000000" w:themeColor="text1"/>
          <w:sz w:val="22"/>
          <w:szCs w:val="22"/>
        </w:rPr>
        <w:t>.</w:t>
      </w:r>
    </w:p>
    <w:p w14:paraId="4D68075D" w14:textId="2E04E1C3" w:rsidR="00A91503" w:rsidRPr="009B78DA" w:rsidRDefault="00A91503" w:rsidP="009107B1">
      <w:pPr>
        <w:pStyle w:val="Akapitzlist"/>
        <w:numPr>
          <w:ilvl w:val="0"/>
          <w:numId w:val="1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Najważniejszym międzynarodowym portem lotniczym, jedynym o charakterze publicznym, jest lotnisko Rzeszów – Jasionka (sieć kompleksowa TEN-T). Oprócz ruchu pasażerskiego lotnisko oferuje obsługę cargo </w:t>
      </w:r>
      <w:r w:rsidR="00F4615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m.in. przygotowanie towarów do transportu lotniczego, kontrola bezpieczeństwa ładunków, składowanie towarów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i obsługa towarów specjalnych (np. materiałów niebezpiecznych).</w:t>
      </w:r>
    </w:p>
    <w:p w14:paraId="2AEF59F2" w14:textId="498F563B" w:rsidR="00A91503" w:rsidRPr="009B78DA" w:rsidRDefault="00A91503" w:rsidP="009107B1">
      <w:pPr>
        <w:pStyle w:val="Akapitzlist"/>
        <w:numPr>
          <w:ilvl w:val="0"/>
          <w:numId w:val="1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 terenie województwa podkarpackiego znajduje się jedno z </w:t>
      </w:r>
      <w:r w:rsidR="00181D14" w:rsidRPr="009B78DA">
        <w:rPr>
          <w:rFonts w:ascii="Arial" w:hAnsi="Arial" w:cs="Arial"/>
          <w:color w:val="000000" w:themeColor="text1"/>
          <w:sz w:val="22"/>
          <w:szCs w:val="22"/>
        </w:rPr>
        <w:t>ośmiu</w:t>
      </w:r>
      <w:r w:rsidRPr="009B78DA">
        <w:rPr>
          <w:rFonts w:ascii="Arial" w:hAnsi="Arial" w:cs="Arial"/>
          <w:color w:val="000000" w:themeColor="text1"/>
          <w:sz w:val="22"/>
          <w:szCs w:val="22"/>
        </w:rPr>
        <w:t xml:space="preserve"> w Polsce lotnisk publicznych o ograniczonej certyfikacji – lotnisko Mielec.</w:t>
      </w:r>
    </w:p>
    <w:p w14:paraId="3B5A669E" w14:textId="77777777" w:rsidR="00A91503" w:rsidRPr="009B78DA" w:rsidRDefault="00A91503" w:rsidP="009107B1">
      <w:pPr>
        <w:pStyle w:val="Akapitzlist"/>
        <w:numPr>
          <w:ilvl w:val="0"/>
          <w:numId w:val="1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Lotniskiem publicznym niepodlegającym certyfikacji jest lotnisko Turbia, zlokalizowane ok. 9 km od centrum Stalowej Woli.</w:t>
      </w:r>
    </w:p>
    <w:p w14:paraId="6CF38257" w14:textId="350C7FFE" w:rsidR="000770FD" w:rsidRPr="009B78DA" w:rsidRDefault="000770FD" w:rsidP="009107B1">
      <w:pPr>
        <w:pStyle w:val="Legenda"/>
        <w:keepNext/>
        <w:spacing w:after="0" w:line="276" w:lineRule="auto"/>
        <w:rPr>
          <w:rFonts w:ascii="Arial" w:hAnsi="Arial" w:cs="Arial"/>
          <w:i w:val="0"/>
          <w:color w:val="000000" w:themeColor="text1"/>
          <w:sz w:val="22"/>
          <w:szCs w:val="22"/>
        </w:rPr>
      </w:pPr>
      <w:bookmarkStart w:id="68" w:name="_Toc146785637"/>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bookmarkStart w:id="69" w:name="_Hlk91679948"/>
      <w:bookmarkStart w:id="70" w:name="_Hlk91679955"/>
      <w:r w:rsidRPr="009B78DA">
        <w:rPr>
          <w:rFonts w:ascii="Arial" w:hAnsi="Arial" w:cs="Arial"/>
          <w:i w:val="0"/>
          <w:color w:val="000000" w:themeColor="text1"/>
          <w:sz w:val="22"/>
          <w:szCs w:val="22"/>
        </w:rPr>
        <w:t>Lotniska i lądowiska (stan na czerwiec 2023 r.)</w:t>
      </w:r>
      <w:bookmarkEnd w:id="69"/>
      <w:bookmarkEnd w:id="68"/>
    </w:p>
    <w:bookmarkEnd w:id="70"/>
    <w:p w14:paraId="5101211F" w14:textId="69AB3211" w:rsidR="00A91503" w:rsidRPr="009B78DA" w:rsidRDefault="000446BB" w:rsidP="00C641A4">
      <w:pPr>
        <w:spacing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64D805CB" wp14:editId="5C58BD89">
            <wp:extent cx="4801383" cy="4319618"/>
            <wp:effectExtent l="0" t="0" r="0" b="5080"/>
            <wp:docPr id="80" name="Obraz 80" descr="Województwo podkarpackie w tym Rzeszowski Obszar Funkcjonalny oraz Miejskie Obszary Funkcjonalne: Tarnobrzeg, Stalowa Wola, Nisko, Mielec, Dębica, Ropczyce, Przeworsk, Jarosław, Lubaczów, Jarosław, Przemyśl, Jasło, Krosno, Sanok, Lesko. Zaznaczono Port lotniczy Rzeszów – Jasionka. Od góry Lotnisko i Lądowisko śmigłowcowe Stalowa wola, Mielec, ok. Lubaczowa, ok. Leżajska i Dębicy Rzeszowa, Jarosławia Przemyśla, Lądowisko śmigłowcowe. Jasło Lądowisko samolotowe, Krosno Lotnisko i Lądowisko śmigłowcowe, Brzozów Lądowisko samolotowe i śmigłowcowe, Sanok Lądowisko śmigłowcowe, Lesko Lądowisko samolotowe i śmigłowcowe, Ustrzyki Dolne Lądowisko samolotowe " title="Rysunek 8 Lotniska i lądowiska (stan na czerwiec 2023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Obraz 8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01383" cy="4319618"/>
                    </a:xfrm>
                    <a:prstGeom prst="rect">
                      <a:avLst/>
                    </a:prstGeom>
                  </pic:spPr>
                </pic:pic>
              </a:graphicData>
            </a:graphic>
          </wp:inline>
        </w:drawing>
      </w:r>
    </w:p>
    <w:p w14:paraId="026C0F49" w14:textId="1425CACC" w:rsidR="002A509A" w:rsidRPr="009B78DA" w:rsidRDefault="00A91503" w:rsidP="00D2696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7C58D4" w:rsidRPr="009B78DA">
        <w:rPr>
          <w:rFonts w:ascii="Arial" w:hAnsi="Arial" w:cs="Arial"/>
          <w:color w:val="000000" w:themeColor="text1"/>
          <w:sz w:val="22"/>
          <w:szCs w:val="22"/>
        </w:rPr>
        <w:t>Opracowanie własne.</w:t>
      </w:r>
    </w:p>
    <w:p w14:paraId="182F5B7D" w14:textId="35B488FB" w:rsidR="00A91503" w:rsidRPr="009B78DA" w:rsidRDefault="00A91503" w:rsidP="00D26960">
      <w:pPr>
        <w:pStyle w:val="Akapitzlist"/>
        <w:numPr>
          <w:ilvl w:val="2"/>
          <w:numId w:val="6"/>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Przejścia graniczne</w:t>
      </w:r>
    </w:p>
    <w:p w14:paraId="6BD596D6" w14:textId="734939B7" w:rsidR="00A91503" w:rsidRPr="009B78DA" w:rsidRDefault="00A91503" w:rsidP="00D26960">
      <w:pPr>
        <w:pStyle w:val="Akapitzlist"/>
        <w:numPr>
          <w:ilvl w:val="0"/>
          <w:numId w:val="18"/>
        </w:num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Ważnym elementem sieci transportowej województwa podkarpackiego są drogowe przejścia graniczne na granicy z Ukrainą: Budomierz – Hruszew, Korczowa – Krakowiec (sieć bazowa TEN-T), Medyka – Szeginie i Krościenko – Smolnica. Najwięcej osób przekracza granicę w Medyce oraz w Korczowej.</w:t>
      </w:r>
      <w:r w:rsidR="002A2B28" w:rsidRPr="009B78DA">
        <w:rPr>
          <w:rFonts w:ascii="Arial" w:hAnsi="Arial" w:cs="Arial"/>
          <w:color w:val="000000" w:themeColor="text1"/>
          <w:sz w:val="22"/>
          <w:szCs w:val="22"/>
        </w:rPr>
        <w:t xml:space="preserve"> W trakcie realizacji jest również budowa drogowego przejścia Malhowice – Niżankowice</w:t>
      </w:r>
      <w:r w:rsidR="00DA4D7E" w:rsidRPr="009B78DA">
        <w:rPr>
          <w:rStyle w:val="Odwoanieprzypisudolnego"/>
          <w:rFonts w:ascii="Arial" w:hAnsi="Arial" w:cs="Arial"/>
          <w:color w:val="000000" w:themeColor="text1"/>
          <w:sz w:val="22"/>
          <w:szCs w:val="22"/>
        </w:rPr>
        <w:footnoteReference w:id="9"/>
      </w:r>
      <w:r w:rsidR="002A2B28" w:rsidRPr="009B78DA">
        <w:rPr>
          <w:rFonts w:ascii="Arial" w:hAnsi="Arial" w:cs="Arial"/>
          <w:color w:val="000000" w:themeColor="text1"/>
          <w:sz w:val="22"/>
          <w:szCs w:val="22"/>
        </w:rPr>
        <w:t>.</w:t>
      </w:r>
    </w:p>
    <w:p w14:paraId="7C087411" w14:textId="6F016FD0" w:rsidR="00A91503" w:rsidRPr="009B78DA" w:rsidRDefault="00A91503" w:rsidP="00D26960">
      <w:pPr>
        <w:pStyle w:val="Akapitzlist"/>
        <w:numPr>
          <w:ilvl w:val="0"/>
          <w:numId w:val="18"/>
        </w:numPr>
        <w:spacing w:after="0" w:line="264" w:lineRule="auto"/>
        <w:rPr>
          <w:rFonts w:ascii="Arial" w:hAnsi="Arial" w:cs="Arial"/>
          <w:color w:val="000000" w:themeColor="text1"/>
          <w:sz w:val="22"/>
          <w:szCs w:val="22"/>
        </w:rPr>
      </w:pPr>
      <w:r w:rsidRPr="009B78DA">
        <w:rPr>
          <w:rFonts w:ascii="Arial" w:hAnsi="Arial" w:cs="Arial"/>
          <w:color w:val="000000" w:themeColor="text1"/>
          <w:sz w:val="22"/>
          <w:szCs w:val="22"/>
        </w:rPr>
        <w:t>Na terenie województwa podkarpackiego znajdują się 3 kolejowe przejścia graniczne: Werchrata – Rawa Ruska, Przemyśl – Mościska (sieć bazowa TEN-T) i Krościenko – Chyrów. Kolejową granicę państwa najwięcej osób przekroczyło w Przemyślu.</w:t>
      </w:r>
    </w:p>
    <w:p w14:paraId="5921E66B" w14:textId="2156BFBF" w:rsidR="00127213" w:rsidRPr="00D26960" w:rsidRDefault="00A91503" w:rsidP="00D26960">
      <w:pPr>
        <w:pStyle w:val="Akapitzlist"/>
        <w:numPr>
          <w:ilvl w:val="0"/>
          <w:numId w:val="18"/>
        </w:numPr>
        <w:spacing w:after="120" w:line="264"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Na terenie województwa podkarpackiego funkcjonują 2 lotnicze przejścia graniczne. </w:t>
      </w:r>
      <w:r w:rsidR="00107163"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W porcie lotniczym Rzeszów- Jasionka powstała Graniczna Placówka Kontrolna Straży Granicznej. </w:t>
      </w:r>
      <w:r w:rsidR="003B7B9A" w:rsidRPr="009B78DA">
        <w:rPr>
          <w:rFonts w:ascii="Arial" w:hAnsi="Arial" w:cs="Arial"/>
          <w:color w:val="000000" w:themeColor="text1"/>
          <w:sz w:val="22"/>
          <w:szCs w:val="22"/>
        </w:rPr>
        <w:t>Dokonywane są</w:t>
      </w:r>
      <w:r w:rsidRPr="009B78DA">
        <w:rPr>
          <w:rFonts w:ascii="Arial" w:hAnsi="Arial" w:cs="Arial"/>
          <w:color w:val="000000" w:themeColor="text1"/>
          <w:sz w:val="22"/>
          <w:szCs w:val="22"/>
        </w:rPr>
        <w:t xml:space="preserve"> również odpraw</w:t>
      </w:r>
      <w:r w:rsidR="003B7B9A" w:rsidRPr="009B78DA">
        <w:rPr>
          <w:rFonts w:ascii="Arial" w:hAnsi="Arial" w:cs="Arial"/>
          <w:color w:val="000000" w:themeColor="text1"/>
          <w:sz w:val="22"/>
          <w:szCs w:val="22"/>
        </w:rPr>
        <w:t>y</w:t>
      </w:r>
      <w:r w:rsidRPr="009B78DA">
        <w:rPr>
          <w:rFonts w:ascii="Arial" w:hAnsi="Arial" w:cs="Arial"/>
          <w:color w:val="000000" w:themeColor="text1"/>
          <w:sz w:val="22"/>
          <w:szCs w:val="22"/>
        </w:rPr>
        <w:t xml:space="preserve"> graniczn</w:t>
      </w:r>
      <w:r w:rsidR="003B7B9A"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na lotnisku w Mielcu.</w:t>
      </w:r>
    </w:p>
    <w:p w14:paraId="6C123C80" w14:textId="4A265C6B" w:rsidR="00A91503" w:rsidRPr="009B78DA" w:rsidRDefault="00A91503" w:rsidP="00D26960">
      <w:pPr>
        <w:pStyle w:val="Akapitzlist"/>
        <w:numPr>
          <w:ilvl w:val="2"/>
          <w:numId w:val="6"/>
        </w:numPr>
        <w:spacing w:after="0" w:line="264" w:lineRule="auto"/>
        <w:rPr>
          <w:rFonts w:ascii="Arial" w:hAnsi="Arial" w:cs="Arial"/>
          <w:b/>
          <w:color w:val="000000" w:themeColor="text1"/>
          <w:sz w:val="22"/>
          <w:szCs w:val="22"/>
        </w:rPr>
      </w:pPr>
      <w:r w:rsidRPr="009B78DA">
        <w:rPr>
          <w:rFonts w:ascii="Arial" w:hAnsi="Arial" w:cs="Arial"/>
          <w:b/>
          <w:color w:val="000000" w:themeColor="text1"/>
          <w:sz w:val="22"/>
          <w:szCs w:val="22"/>
        </w:rPr>
        <w:t>Transport multimodalny</w:t>
      </w:r>
    </w:p>
    <w:p w14:paraId="12A7D9BD" w14:textId="3533525C" w:rsidR="00A91503" w:rsidRPr="009B78DA" w:rsidRDefault="00A91503" w:rsidP="00D26960">
      <w:pPr>
        <w:pStyle w:val="Akapitzlist"/>
        <w:numPr>
          <w:ilvl w:val="0"/>
          <w:numId w:val="19"/>
        </w:numPr>
        <w:spacing w:after="0" w:line="264"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Rozwój systemu transportu multimodalnego stanowi odpowiedź na potrzeby konsumentów oraz na politykę Unii Europejskiej, która stawia wysokie wymagania </w:t>
      </w:r>
      <w:r w:rsidR="00107163" w:rsidRPr="009B78DA">
        <w:rPr>
          <w:rFonts w:ascii="Arial" w:hAnsi="Arial" w:cs="Arial"/>
          <w:color w:val="000000" w:themeColor="text1"/>
          <w:sz w:val="22"/>
          <w:szCs w:val="22"/>
        </w:rPr>
        <w:br/>
      </w:r>
      <w:r w:rsidRPr="009B78DA">
        <w:rPr>
          <w:rFonts w:ascii="Arial" w:hAnsi="Arial" w:cs="Arial"/>
          <w:color w:val="000000" w:themeColor="text1"/>
          <w:sz w:val="22"/>
          <w:szCs w:val="22"/>
        </w:rPr>
        <w:t>w związku z ochroną środowiska.</w:t>
      </w:r>
    </w:p>
    <w:p w14:paraId="4C58D60A" w14:textId="0C29D045" w:rsidR="00A91503" w:rsidRPr="009B78DA" w:rsidRDefault="00A91503" w:rsidP="00D26960">
      <w:pPr>
        <w:pStyle w:val="Akapitzlist"/>
        <w:numPr>
          <w:ilvl w:val="0"/>
          <w:numId w:val="19"/>
        </w:numPr>
        <w:spacing w:after="0" w:line="264"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 terenie województwa podkarpackiego zlokalizowane są </w:t>
      </w:r>
      <w:r w:rsidR="00D872BA" w:rsidRPr="009B78DA">
        <w:rPr>
          <w:rFonts w:ascii="Arial" w:hAnsi="Arial" w:cs="Arial"/>
          <w:color w:val="000000" w:themeColor="text1"/>
          <w:sz w:val="22"/>
          <w:szCs w:val="22"/>
        </w:rPr>
        <w:t>4</w:t>
      </w:r>
      <w:r w:rsidRPr="009B78DA">
        <w:rPr>
          <w:rFonts w:ascii="Arial" w:hAnsi="Arial" w:cs="Arial"/>
          <w:color w:val="000000" w:themeColor="text1"/>
          <w:sz w:val="22"/>
          <w:szCs w:val="22"/>
        </w:rPr>
        <w:t xml:space="preserve"> terminale intermodalne</w:t>
      </w:r>
      <w:r w:rsidR="00570029" w:rsidRPr="009B78DA">
        <w:rPr>
          <w:rStyle w:val="Odwoanieprzypisudolnego"/>
          <w:rFonts w:ascii="Arial" w:hAnsi="Arial" w:cs="Arial"/>
          <w:color w:val="000000" w:themeColor="text1"/>
          <w:sz w:val="22"/>
          <w:szCs w:val="22"/>
        </w:rPr>
        <w:footnoteReference w:id="10"/>
      </w:r>
      <w:r w:rsidRPr="009B78DA">
        <w:rPr>
          <w:rFonts w:ascii="Arial" w:hAnsi="Arial" w:cs="Arial"/>
          <w:color w:val="000000" w:themeColor="text1"/>
          <w:sz w:val="22"/>
          <w:szCs w:val="22"/>
        </w:rPr>
        <w:t>:</w:t>
      </w:r>
    </w:p>
    <w:p w14:paraId="266C185F" w14:textId="4BE54E69" w:rsidR="00044CE7" w:rsidRPr="009B78DA" w:rsidRDefault="00A91503" w:rsidP="00D26960">
      <w:pPr>
        <w:pStyle w:val="Akapitzlist"/>
        <w:numPr>
          <w:ilvl w:val="0"/>
          <w:numId w:val="20"/>
        </w:numPr>
        <w:spacing w:after="0" w:line="264"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Terminal T1 Żurawica</w:t>
      </w:r>
      <w:r w:rsidR="002A2B28" w:rsidRPr="009B78DA">
        <w:rPr>
          <w:rFonts w:ascii="Arial" w:hAnsi="Arial" w:cs="Arial"/>
          <w:color w:val="000000" w:themeColor="text1"/>
          <w:sz w:val="22"/>
          <w:szCs w:val="22"/>
        </w:rPr>
        <w:t xml:space="preserve"> </w:t>
      </w:r>
      <w:r w:rsidR="00044CE7" w:rsidRPr="009B78DA">
        <w:rPr>
          <w:rFonts w:ascii="Arial" w:hAnsi="Arial" w:cs="Arial"/>
          <w:color w:val="000000" w:themeColor="text1"/>
          <w:sz w:val="22"/>
          <w:szCs w:val="22"/>
        </w:rPr>
        <w:t>(kontenerowy kolejowy),</w:t>
      </w:r>
    </w:p>
    <w:p w14:paraId="44CA51CA" w14:textId="72118D71" w:rsidR="00A91503" w:rsidRPr="009B78DA" w:rsidRDefault="00A91503" w:rsidP="00D26960">
      <w:pPr>
        <w:pStyle w:val="Akapitzlist"/>
        <w:numPr>
          <w:ilvl w:val="0"/>
          <w:numId w:val="20"/>
        </w:numPr>
        <w:spacing w:after="0" w:line="264"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Terminal T2 Medyka (kontenerowy kolejowy),</w:t>
      </w:r>
    </w:p>
    <w:p w14:paraId="1733C492" w14:textId="36FDF2F4" w:rsidR="00B8599A" w:rsidRPr="009B78DA" w:rsidRDefault="00B8599A" w:rsidP="00D26960">
      <w:pPr>
        <w:pStyle w:val="Akapitzlist"/>
        <w:numPr>
          <w:ilvl w:val="0"/>
          <w:numId w:val="20"/>
        </w:numPr>
        <w:spacing w:after="0" w:line="264" w:lineRule="auto"/>
        <w:ind w:left="924" w:hanging="357"/>
        <w:rPr>
          <w:rFonts w:ascii="Arial" w:hAnsi="Arial" w:cs="Arial"/>
          <w:color w:val="000000" w:themeColor="text1"/>
          <w:sz w:val="22"/>
          <w:szCs w:val="22"/>
        </w:rPr>
      </w:pPr>
      <w:bookmarkStart w:id="71" w:name="_Hlk77828345"/>
      <w:r w:rsidRPr="009B78DA">
        <w:rPr>
          <w:rFonts w:ascii="Arial" w:hAnsi="Arial" w:cs="Arial"/>
          <w:color w:val="000000" w:themeColor="text1"/>
          <w:sz w:val="22"/>
          <w:szCs w:val="22"/>
        </w:rPr>
        <w:t>Terminal Przeładunkowy w Werchracie</w:t>
      </w:r>
      <w:r w:rsidR="00044CE7" w:rsidRPr="009B78DA">
        <w:rPr>
          <w:rFonts w:ascii="Arial" w:hAnsi="Arial" w:cs="Arial"/>
          <w:color w:val="000000" w:themeColor="text1"/>
          <w:sz w:val="22"/>
          <w:szCs w:val="22"/>
        </w:rPr>
        <w:t>,</w:t>
      </w:r>
    </w:p>
    <w:bookmarkEnd w:id="71"/>
    <w:p w14:paraId="20B08D7F" w14:textId="77777777" w:rsidR="00A91503" w:rsidRPr="009B78DA" w:rsidRDefault="00A91503" w:rsidP="00D26960">
      <w:pPr>
        <w:pStyle w:val="Akapitzlist"/>
        <w:numPr>
          <w:ilvl w:val="0"/>
          <w:numId w:val="20"/>
        </w:numPr>
        <w:spacing w:after="0" w:line="264"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PCC INTERMODAL – Terminal Kolbuszowa.</w:t>
      </w:r>
    </w:p>
    <w:p w14:paraId="3031162E" w14:textId="77777777" w:rsidR="00A91503" w:rsidRPr="009B78DA" w:rsidRDefault="00A91503" w:rsidP="00D26960">
      <w:pPr>
        <w:pStyle w:val="Akapitzlist"/>
        <w:numPr>
          <w:ilvl w:val="0"/>
          <w:numId w:val="21"/>
        </w:numPr>
        <w:spacing w:after="0" w:line="264" w:lineRule="auto"/>
        <w:rPr>
          <w:rFonts w:ascii="Arial" w:hAnsi="Arial" w:cs="Arial"/>
          <w:color w:val="000000" w:themeColor="text1"/>
          <w:sz w:val="22"/>
          <w:szCs w:val="22"/>
        </w:rPr>
      </w:pPr>
      <w:r w:rsidRPr="009B78DA">
        <w:rPr>
          <w:rFonts w:ascii="Arial" w:hAnsi="Arial" w:cs="Arial"/>
          <w:color w:val="000000" w:themeColor="text1"/>
          <w:sz w:val="22"/>
          <w:szCs w:val="22"/>
        </w:rPr>
        <w:t>W Woli Baranowskiej na linii kolejowej LHS znajduje się stacja przeładunkowa, która planowana jest do rozbudowy jako terminal intermodalny zintegrowany z linią n</w:t>
      </w:r>
      <w:r w:rsidR="00F45E35" w:rsidRPr="009B78DA">
        <w:rPr>
          <w:rFonts w:ascii="Arial" w:hAnsi="Arial" w:cs="Arial"/>
          <w:color w:val="000000" w:themeColor="text1"/>
          <w:sz w:val="22"/>
          <w:szCs w:val="22"/>
        </w:rPr>
        <w:t xml:space="preserve">r 25 (do Mielca i Dębicy) oraz </w:t>
      </w:r>
      <w:r w:rsidRPr="009B78DA">
        <w:rPr>
          <w:rFonts w:ascii="Arial" w:hAnsi="Arial" w:cs="Arial"/>
          <w:color w:val="000000" w:themeColor="text1"/>
          <w:sz w:val="22"/>
          <w:szCs w:val="22"/>
        </w:rPr>
        <w:t>z transportem drogowym. W przyszłości połączy on systemy szerokotorowych linii Ukrainy i Dalekiego Wschodu z siecią ko</w:t>
      </w:r>
      <w:r w:rsidR="00F45E35" w:rsidRPr="009B78DA">
        <w:rPr>
          <w:rFonts w:ascii="Arial" w:hAnsi="Arial" w:cs="Arial"/>
          <w:color w:val="000000" w:themeColor="text1"/>
          <w:sz w:val="22"/>
          <w:szCs w:val="22"/>
        </w:rPr>
        <w:t xml:space="preserve">lejową normalnotorową w Polsce </w:t>
      </w:r>
      <w:r w:rsidRPr="009B78DA">
        <w:rPr>
          <w:rFonts w:ascii="Arial" w:hAnsi="Arial" w:cs="Arial"/>
          <w:color w:val="000000" w:themeColor="text1"/>
          <w:sz w:val="22"/>
          <w:szCs w:val="22"/>
        </w:rPr>
        <w:t>i z europejskim systemem transportowym.</w:t>
      </w:r>
    </w:p>
    <w:p w14:paraId="4B4DF21D" w14:textId="1624D095" w:rsidR="002A509A" w:rsidRPr="009B78DA" w:rsidRDefault="00A91503" w:rsidP="00D26960">
      <w:pPr>
        <w:pStyle w:val="Akapitzlist"/>
        <w:numPr>
          <w:ilvl w:val="0"/>
          <w:numId w:val="21"/>
        </w:numPr>
        <w:spacing w:after="0" w:line="264" w:lineRule="auto"/>
        <w:rPr>
          <w:rFonts w:ascii="Arial" w:hAnsi="Arial" w:cs="Arial"/>
          <w:color w:val="000000" w:themeColor="text1"/>
          <w:sz w:val="22"/>
          <w:szCs w:val="22"/>
        </w:rPr>
      </w:pPr>
      <w:r w:rsidRPr="009B78DA">
        <w:rPr>
          <w:rFonts w:ascii="Arial" w:hAnsi="Arial" w:cs="Arial"/>
          <w:color w:val="000000" w:themeColor="text1"/>
          <w:sz w:val="22"/>
          <w:szCs w:val="22"/>
        </w:rPr>
        <w:t>W odniesieniu do przewozów pasażerskich, inwestycją mającą na celu integrację transportu kolejowego z autobusowym</w:t>
      </w:r>
      <w:r w:rsidR="006448CA" w:rsidRPr="009B78DA">
        <w:rPr>
          <w:rFonts w:ascii="Arial" w:hAnsi="Arial" w:cs="Arial"/>
          <w:color w:val="000000" w:themeColor="text1"/>
          <w:sz w:val="22"/>
          <w:szCs w:val="22"/>
        </w:rPr>
        <w:t>,</w:t>
      </w:r>
      <w:r w:rsidR="00EA45D0"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jest będąca w trakcie realizacji budowa Rzeszowskiego Centrum Komunikacyjnego, które połączy rożne rozdaje transportu – autobusy, samochody osobowe, taksówki i rowery.</w:t>
      </w:r>
    </w:p>
    <w:p w14:paraId="132FA5F3" w14:textId="0E79010B" w:rsidR="00127213" w:rsidRPr="00D26960" w:rsidRDefault="00EA5430" w:rsidP="00D26960">
      <w:pPr>
        <w:pStyle w:val="Akapitzlist"/>
        <w:numPr>
          <w:ilvl w:val="0"/>
          <w:numId w:val="21"/>
        </w:numPr>
        <w:spacing w:after="120" w:line="264"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Województwo Podkarpackie w ramach projektów PKA oraz Wojewódzkiego Funduszu Kolejowego realizowało i realizuje infrastrukturę umożliwiającą pozostawienie roweru w sąsiedztwie przystanków, stacji kolejowych i s</w:t>
      </w:r>
      <w:r w:rsidR="00D26960">
        <w:rPr>
          <w:rFonts w:ascii="Arial" w:hAnsi="Arial" w:cs="Arial"/>
          <w:color w:val="000000" w:themeColor="text1"/>
          <w:sz w:val="22"/>
          <w:szCs w:val="22"/>
        </w:rPr>
        <w:t xml:space="preserve">korzystanie </w:t>
      </w:r>
      <w:r w:rsidR="00D26960">
        <w:rPr>
          <w:rFonts w:ascii="Arial" w:hAnsi="Arial" w:cs="Arial"/>
          <w:color w:val="000000" w:themeColor="text1"/>
          <w:sz w:val="22"/>
          <w:szCs w:val="22"/>
        </w:rPr>
        <w:br/>
        <w:t xml:space="preserve">z połączeń koleją. </w:t>
      </w:r>
      <w:r w:rsidRPr="009B78DA">
        <w:rPr>
          <w:rFonts w:ascii="Arial" w:hAnsi="Arial" w:cs="Arial"/>
          <w:color w:val="000000" w:themeColor="text1"/>
          <w:sz w:val="22"/>
          <w:szCs w:val="22"/>
        </w:rPr>
        <w:t>W ramach PKA zaplanowano wykonanie 281 miejsc dla rowerów, 16 przystanków. W przypadku projektu „Wojewódzki Fundusz Kolejowy” w ciągu 7 lat jego funkcjonowania zrealizowano łącznie 21 inwestycji, które znacząco poprawiły dostęp pasażerów do przystanków/dworców kolejowych.</w:t>
      </w:r>
    </w:p>
    <w:p w14:paraId="5E38D429" w14:textId="2EBEA723" w:rsidR="00A91503" w:rsidRPr="009B78DA" w:rsidRDefault="00A91503" w:rsidP="00D26960">
      <w:pPr>
        <w:pStyle w:val="Akapitzlist"/>
        <w:numPr>
          <w:ilvl w:val="2"/>
          <w:numId w:val="6"/>
        </w:numPr>
        <w:spacing w:after="0" w:line="264" w:lineRule="auto"/>
        <w:rPr>
          <w:rFonts w:ascii="Arial" w:hAnsi="Arial" w:cs="Arial"/>
          <w:b/>
          <w:color w:val="000000" w:themeColor="text1"/>
          <w:sz w:val="22"/>
          <w:szCs w:val="22"/>
        </w:rPr>
      </w:pPr>
      <w:r w:rsidRPr="009B78DA">
        <w:rPr>
          <w:rFonts w:ascii="Arial" w:hAnsi="Arial" w:cs="Arial"/>
          <w:b/>
          <w:color w:val="000000" w:themeColor="text1"/>
          <w:sz w:val="22"/>
          <w:szCs w:val="22"/>
        </w:rPr>
        <w:t xml:space="preserve">Transport </w:t>
      </w:r>
      <w:r w:rsidR="00873E60" w:rsidRPr="009B78DA">
        <w:rPr>
          <w:rFonts w:ascii="Arial" w:hAnsi="Arial" w:cs="Arial"/>
          <w:b/>
          <w:color w:val="000000" w:themeColor="text1"/>
          <w:sz w:val="22"/>
          <w:szCs w:val="22"/>
        </w:rPr>
        <w:t>alternatywny</w:t>
      </w:r>
    </w:p>
    <w:p w14:paraId="45300582" w14:textId="77777777" w:rsidR="00A91503" w:rsidRPr="009B78DA" w:rsidRDefault="00A91503" w:rsidP="00D26960">
      <w:pPr>
        <w:pStyle w:val="Akapitzlist"/>
        <w:numPr>
          <w:ilvl w:val="0"/>
          <w:numId w:val="22"/>
        </w:numPr>
        <w:spacing w:after="0" w:line="264" w:lineRule="auto"/>
        <w:rPr>
          <w:rFonts w:ascii="Arial" w:hAnsi="Arial" w:cs="Arial"/>
          <w:color w:val="000000" w:themeColor="text1"/>
          <w:sz w:val="22"/>
          <w:szCs w:val="22"/>
        </w:rPr>
      </w:pPr>
      <w:r w:rsidRPr="009B78DA">
        <w:rPr>
          <w:rFonts w:ascii="Arial" w:hAnsi="Arial" w:cs="Arial"/>
          <w:color w:val="000000" w:themeColor="text1"/>
          <w:sz w:val="22"/>
          <w:szCs w:val="22"/>
        </w:rPr>
        <w:t xml:space="preserve">Jedyną drogą wodną na terenie województwa podkarpackiego jest odcinek Wisły zlokalizowany w północnej części regionu o ograniczonej przydatności do żeglugi – wykorzystywany sporadycznie do transportu metalowych elementów konstrukcyjnych z obszaru Tarnobrzeskiego Parku </w:t>
      </w:r>
      <w:r w:rsidR="00F45E35" w:rsidRPr="009B78DA">
        <w:rPr>
          <w:rFonts w:ascii="Arial" w:hAnsi="Arial" w:cs="Arial"/>
          <w:color w:val="000000" w:themeColor="text1"/>
          <w:sz w:val="22"/>
          <w:szCs w:val="22"/>
        </w:rPr>
        <w:t>Przemysłowo – Technologicznego.</w:t>
      </w:r>
    </w:p>
    <w:p w14:paraId="5E50132F" w14:textId="77777777" w:rsidR="00A91503" w:rsidRPr="009B78DA" w:rsidRDefault="00A91503" w:rsidP="00D26960">
      <w:pPr>
        <w:pStyle w:val="Akapitzlist"/>
        <w:numPr>
          <w:ilvl w:val="0"/>
          <w:numId w:val="22"/>
        </w:numPr>
        <w:spacing w:after="0" w:line="264" w:lineRule="auto"/>
        <w:rPr>
          <w:rFonts w:ascii="Arial" w:hAnsi="Arial" w:cs="Arial"/>
          <w:color w:val="000000" w:themeColor="text1"/>
          <w:sz w:val="22"/>
          <w:szCs w:val="22"/>
        </w:rPr>
      </w:pPr>
      <w:r w:rsidRPr="009B78DA">
        <w:rPr>
          <w:rFonts w:ascii="Arial" w:hAnsi="Arial" w:cs="Arial"/>
          <w:color w:val="000000" w:themeColor="text1"/>
          <w:sz w:val="22"/>
          <w:szCs w:val="22"/>
        </w:rPr>
        <w:t>Najważniejszym szlakiem rowerowym w województwie podkarpackim jest Wschodni Szlak Rowerowy Green Velo, który jest najdłuższym spójnie oznakowanym szlakiem rowerowym w Pol</w:t>
      </w:r>
      <w:r w:rsidR="00F45E35" w:rsidRPr="009B78DA">
        <w:rPr>
          <w:rFonts w:ascii="Arial" w:hAnsi="Arial" w:cs="Arial"/>
          <w:color w:val="000000" w:themeColor="text1"/>
          <w:sz w:val="22"/>
          <w:szCs w:val="22"/>
        </w:rPr>
        <w:t xml:space="preserve">sce o łącznej długości 2095 km </w:t>
      </w:r>
      <w:r w:rsidRPr="009B78DA">
        <w:rPr>
          <w:rFonts w:ascii="Arial" w:hAnsi="Arial" w:cs="Arial"/>
          <w:color w:val="000000" w:themeColor="text1"/>
          <w:sz w:val="22"/>
          <w:szCs w:val="22"/>
        </w:rPr>
        <w:t>(w tym 459 km w województwie podkarpackim).</w:t>
      </w:r>
    </w:p>
    <w:p w14:paraId="0D8F88BF" w14:textId="496411A2" w:rsidR="00127213" w:rsidRPr="00D26960" w:rsidRDefault="00A91503" w:rsidP="00D26960">
      <w:pPr>
        <w:pStyle w:val="Akapitzlist"/>
        <w:numPr>
          <w:ilvl w:val="0"/>
          <w:numId w:val="22"/>
        </w:numPr>
        <w:spacing w:after="120" w:line="264"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Trasy i ścieżki rowerowe na terenie województwa podkarpackiego poza Green Velo nie tworzą spójnej sieci i nie są połączone ze sobą, często wykonane </w:t>
      </w:r>
      <w:r w:rsidR="006448CA" w:rsidRPr="009B78DA">
        <w:rPr>
          <w:rFonts w:ascii="Arial" w:hAnsi="Arial" w:cs="Arial"/>
          <w:color w:val="000000" w:themeColor="text1"/>
          <w:sz w:val="22"/>
          <w:szCs w:val="22"/>
        </w:rPr>
        <w:t xml:space="preserve">są </w:t>
      </w:r>
      <w:r w:rsidRPr="009B78DA">
        <w:rPr>
          <w:rFonts w:ascii="Arial" w:hAnsi="Arial" w:cs="Arial"/>
          <w:color w:val="000000" w:themeColor="text1"/>
          <w:sz w:val="22"/>
          <w:szCs w:val="22"/>
        </w:rPr>
        <w:t>w bardzo różnych technologiach i nie są standaryzowane.</w:t>
      </w:r>
    </w:p>
    <w:p w14:paraId="3D3BC0C6" w14:textId="0A0E5423" w:rsidR="00895069" w:rsidRPr="009B78DA" w:rsidRDefault="00895069" w:rsidP="00D26960">
      <w:pPr>
        <w:pStyle w:val="Akapitzlist"/>
        <w:numPr>
          <w:ilvl w:val="2"/>
          <w:numId w:val="6"/>
        </w:numPr>
        <w:spacing w:after="0" w:line="264" w:lineRule="auto"/>
        <w:rPr>
          <w:rFonts w:ascii="Arial" w:hAnsi="Arial" w:cs="Arial"/>
          <w:b/>
          <w:color w:val="000000" w:themeColor="text1"/>
          <w:sz w:val="22"/>
          <w:szCs w:val="22"/>
        </w:rPr>
      </w:pPr>
      <w:r w:rsidRPr="009B78DA">
        <w:rPr>
          <w:rFonts w:ascii="Arial" w:hAnsi="Arial" w:cs="Arial"/>
          <w:b/>
          <w:color w:val="000000" w:themeColor="text1"/>
          <w:sz w:val="22"/>
          <w:szCs w:val="22"/>
        </w:rPr>
        <w:t>Elektromobilność</w:t>
      </w:r>
    </w:p>
    <w:p w14:paraId="385F4ED6" w14:textId="77777777" w:rsidR="00A91503" w:rsidRPr="009B78DA" w:rsidRDefault="00A91503" w:rsidP="00D26960">
      <w:pPr>
        <w:pStyle w:val="Akapitzlist"/>
        <w:numPr>
          <w:ilvl w:val="0"/>
          <w:numId w:val="23"/>
        </w:numPr>
        <w:spacing w:after="0" w:line="264"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Rozwój elektromobilności w województwie podkarpackim jest powiązany z rozwojem stacji ładowania, które stanowią integralną część infrastruktury utrzymania pojazdów elektrycznych oraz ze stanem elektroenergetycznej sieci przesyłowej i dystryb</w:t>
      </w:r>
      <w:r w:rsidR="00895069" w:rsidRPr="009B78DA">
        <w:rPr>
          <w:rFonts w:ascii="Arial" w:hAnsi="Arial" w:cs="Arial"/>
          <w:color w:val="000000" w:themeColor="text1"/>
          <w:sz w:val="22"/>
          <w:szCs w:val="22"/>
        </w:rPr>
        <w:t>ucyjnej na terenie województwa.</w:t>
      </w:r>
    </w:p>
    <w:p w14:paraId="4DF39F6E" w14:textId="16693BDD" w:rsidR="00B95E4A" w:rsidRPr="009B78DA" w:rsidRDefault="00300E95" w:rsidP="00D26960">
      <w:pPr>
        <w:pStyle w:val="Akapitzlist"/>
        <w:numPr>
          <w:ilvl w:val="0"/>
          <w:numId w:val="23"/>
        </w:numPr>
        <w:spacing w:after="0" w:line="264"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Zgodnie z danymi</w:t>
      </w:r>
      <w:r w:rsidR="00A91503" w:rsidRPr="009B78DA">
        <w:rPr>
          <w:rFonts w:ascii="Arial" w:hAnsi="Arial" w:cs="Arial"/>
          <w:color w:val="000000" w:themeColor="text1"/>
          <w:sz w:val="22"/>
          <w:szCs w:val="22"/>
        </w:rPr>
        <w:t xml:space="preserve"> Centralnej Ewidencji Pojazdów i Kierowców </w:t>
      </w:r>
      <w:r w:rsidRPr="009B78DA">
        <w:rPr>
          <w:rFonts w:ascii="Arial" w:hAnsi="Arial" w:cs="Arial"/>
          <w:color w:val="000000" w:themeColor="text1"/>
          <w:sz w:val="22"/>
          <w:szCs w:val="22"/>
        </w:rPr>
        <w:t xml:space="preserve">dotyczącymi </w:t>
      </w:r>
      <w:r w:rsidR="00A91503" w:rsidRPr="009B78DA">
        <w:rPr>
          <w:rFonts w:ascii="Arial" w:hAnsi="Arial" w:cs="Arial"/>
          <w:color w:val="000000" w:themeColor="text1"/>
          <w:sz w:val="22"/>
          <w:szCs w:val="22"/>
        </w:rPr>
        <w:t>liczby samochodów osobowych (elektrycznych</w:t>
      </w:r>
      <w:r w:rsidR="000B540F" w:rsidRPr="009B78DA">
        <w:rPr>
          <w:rFonts w:ascii="Arial" w:hAnsi="Arial" w:cs="Arial"/>
          <w:color w:val="000000" w:themeColor="text1"/>
          <w:sz w:val="22"/>
          <w:szCs w:val="22"/>
        </w:rPr>
        <w:t xml:space="preserve">, </w:t>
      </w:r>
      <w:r w:rsidR="00A91503" w:rsidRPr="009B78DA">
        <w:rPr>
          <w:rFonts w:ascii="Arial" w:hAnsi="Arial" w:cs="Arial"/>
          <w:color w:val="000000" w:themeColor="text1"/>
          <w:sz w:val="22"/>
          <w:szCs w:val="22"/>
        </w:rPr>
        <w:t>hybrydowych</w:t>
      </w:r>
      <w:r w:rsidRPr="009B78DA">
        <w:rPr>
          <w:rFonts w:ascii="Arial" w:hAnsi="Arial" w:cs="Arial"/>
          <w:color w:val="000000" w:themeColor="text1"/>
          <w:sz w:val="22"/>
          <w:szCs w:val="22"/>
        </w:rPr>
        <w:t xml:space="preserve"> oraz hybrydowych plug-in</w:t>
      </w:r>
      <w:r w:rsidR="00A91503" w:rsidRPr="009B78DA">
        <w:rPr>
          <w:rFonts w:ascii="Arial" w:hAnsi="Arial" w:cs="Arial"/>
          <w:color w:val="000000" w:themeColor="text1"/>
          <w:sz w:val="22"/>
          <w:szCs w:val="22"/>
        </w:rPr>
        <w:t>) w</w:t>
      </w:r>
      <w:r w:rsidRPr="009B78DA">
        <w:rPr>
          <w:rFonts w:ascii="Arial" w:hAnsi="Arial" w:cs="Arial"/>
          <w:color w:val="000000" w:themeColor="text1"/>
          <w:sz w:val="22"/>
          <w:szCs w:val="22"/>
        </w:rPr>
        <w:t>edług stanu na koniec</w:t>
      </w:r>
      <w:r w:rsidR="00A91503" w:rsidRPr="009B78DA">
        <w:rPr>
          <w:rFonts w:ascii="Arial" w:hAnsi="Arial" w:cs="Arial"/>
          <w:color w:val="000000" w:themeColor="text1"/>
          <w:sz w:val="22"/>
          <w:szCs w:val="22"/>
        </w:rPr>
        <w:t xml:space="preserve"> 20</w:t>
      </w:r>
      <w:r w:rsidRPr="009B78DA">
        <w:rPr>
          <w:rFonts w:ascii="Arial" w:hAnsi="Arial" w:cs="Arial"/>
          <w:color w:val="000000" w:themeColor="text1"/>
          <w:sz w:val="22"/>
          <w:szCs w:val="22"/>
        </w:rPr>
        <w:t>22</w:t>
      </w:r>
      <w:r w:rsidR="00A91503" w:rsidRPr="009B78DA">
        <w:rPr>
          <w:rFonts w:ascii="Arial" w:hAnsi="Arial" w:cs="Arial"/>
          <w:color w:val="000000" w:themeColor="text1"/>
          <w:sz w:val="22"/>
          <w:szCs w:val="22"/>
        </w:rPr>
        <w:t xml:space="preserve"> r. na terenie województwa </w:t>
      </w:r>
      <w:r w:rsidRPr="009B78DA">
        <w:rPr>
          <w:rFonts w:ascii="Arial" w:hAnsi="Arial" w:cs="Arial"/>
          <w:color w:val="000000" w:themeColor="text1"/>
          <w:sz w:val="22"/>
          <w:szCs w:val="22"/>
        </w:rPr>
        <w:t xml:space="preserve">podkarpackiego zarejestrowanych </w:t>
      </w:r>
      <w:r w:rsidR="00A91503" w:rsidRPr="009B78DA">
        <w:rPr>
          <w:rFonts w:ascii="Arial" w:hAnsi="Arial" w:cs="Arial"/>
          <w:color w:val="000000" w:themeColor="text1"/>
          <w:sz w:val="22"/>
          <w:szCs w:val="22"/>
        </w:rPr>
        <w:t xml:space="preserve">było </w:t>
      </w:r>
      <w:r w:rsidRPr="009B78DA">
        <w:rPr>
          <w:rFonts w:ascii="Arial" w:hAnsi="Arial" w:cs="Arial"/>
          <w:color w:val="000000" w:themeColor="text1"/>
          <w:sz w:val="22"/>
          <w:szCs w:val="22"/>
        </w:rPr>
        <w:t>14307</w:t>
      </w:r>
      <w:r w:rsidR="00A91503" w:rsidRPr="009B78DA">
        <w:rPr>
          <w:rFonts w:ascii="Arial" w:hAnsi="Arial" w:cs="Arial"/>
          <w:color w:val="000000" w:themeColor="text1"/>
          <w:sz w:val="22"/>
          <w:szCs w:val="22"/>
        </w:rPr>
        <w:t xml:space="preserve"> samochodów osobowych elektrycznych </w:t>
      </w:r>
      <w:r w:rsidR="00F45E35" w:rsidRPr="009B78DA">
        <w:rPr>
          <w:rFonts w:ascii="Arial" w:hAnsi="Arial" w:cs="Arial"/>
          <w:color w:val="000000" w:themeColor="text1"/>
          <w:sz w:val="22"/>
          <w:szCs w:val="22"/>
        </w:rPr>
        <w:br/>
      </w:r>
      <w:r w:rsidR="00A91503" w:rsidRPr="009B78DA">
        <w:rPr>
          <w:rFonts w:ascii="Arial" w:hAnsi="Arial" w:cs="Arial"/>
          <w:color w:val="000000" w:themeColor="text1"/>
          <w:sz w:val="22"/>
          <w:szCs w:val="22"/>
        </w:rPr>
        <w:t>hybrydowych</w:t>
      </w:r>
      <w:r w:rsidRPr="009B78DA">
        <w:rPr>
          <w:color w:val="000000" w:themeColor="text1"/>
        </w:rPr>
        <w:t xml:space="preserve"> </w:t>
      </w:r>
      <w:r w:rsidRPr="009B78DA">
        <w:rPr>
          <w:rFonts w:ascii="Arial" w:hAnsi="Arial" w:cs="Arial"/>
          <w:color w:val="000000" w:themeColor="text1"/>
          <w:sz w:val="22"/>
          <w:szCs w:val="22"/>
        </w:rPr>
        <w:t xml:space="preserve">oraz hybrydowych </w:t>
      </w:r>
      <w:r w:rsidRPr="009B78DA">
        <w:rPr>
          <w:rFonts w:ascii="Arial" w:hAnsi="Arial" w:cs="Arial"/>
          <w:i/>
          <w:color w:val="000000" w:themeColor="text1"/>
          <w:sz w:val="22"/>
          <w:szCs w:val="22"/>
        </w:rPr>
        <w:t>plug-in</w:t>
      </w:r>
      <w:r w:rsidR="00A91503" w:rsidRPr="009B78DA">
        <w:rPr>
          <w:rFonts w:ascii="Arial" w:hAnsi="Arial" w:cs="Arial"/>
          <w:color w:val="000000" w:themeColor="text1"/>
          <w:sz w:val="22"/>
          <w:szCs w:val="22"/>
        </w:rPr>
        <w:t xml:space="preserve"> (czyli </w:t>
      </w:r>
      <w:r w:rsidRPr="009B78DA">
        <w:rPr>
          <w:rFonts w:ascii="Arial" w:hAnsi="Arial" w:cs="Arial"/>
          <w:color w:val="000000" w:themeColor="text1"/>
          <w:sz w:val="22"/>
          <w:szCs w:val="22"/>
        </w:rPr>
        <w:t>1,36%</w:t>
      </w:r>
      <w:r w:rsidR="00A91503" w:rsidRPr="009B78DA">
        <w:rPr>
          <w:rFonts w:ascii="Arial" w:hAnsi="Arial" w:cs="Arial"/>
          <w:color w:val="000000" w:themeColor="text1"/>
          <w:sz w:val="22"/>
          <w:szCs w:val="22"/>
        </w:rPr>
        <w:t xml:space="preserve"> samochodów osobowych ogółem)</w:t>
      </w:r>
      <w:r w:rsidR="00A01E95" w:rsidRPr="009B78DA">
        <w:rPr>
          <w:rStyle w:val="Odwoanieprzypisudolnego"/>
          <w:rFonts w:ascii="Arial" w:hAnsi="Arial" w:cs="Arial"/>
          <w:color w:val="000000" w:themeColor="text1"/>
          <w:sz w:val="22"/>
          <w:szCs w:val="22"/>
        </w:rPr>
        <w:footnoteReference w:id="11"/>
      </w:r>
      <w:r w:rsidR="00D26960">
        <w:rPr>
          <w:rFonts w:ascii="Arial" w:hAnsi="Arial" w:cs="Arial"/>
          <w:color w:val="000000" w:themeColor="text1"/>
          <w:sz w:val="22"/>
          <w:szCs w:val="22"/>
        </w:rPr>
        <w:t>.</w:t>
      </w:r>
    </w:p>
    <w:p w14:paraId="3B603897" w14:textId="57AD7279" w:rsidR="00A91503" w:rsidRPr="009B78DA" w:rsidRDefault="00A91503" w:rsidP="00D26960">
      <w:pPr>
        <w:pStyle w:val="Akapitzlist"/>
        <w:numPr>
          <w:ilvl w:val="0"/>
          <w:numId w:val="23"/>
        </w:numPr>
        <w:spacing w:after="0" w:line="264"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W</w:t>
      </w:r>
      <w:r w:rsidR="00B95E4A" w:rsidRPr="009B78DA">
        <w:rPr>
          <w:rFonts w:ascii="Arial" w:hAnsi="Arial" w:cs="Arial"/>
          <w:color w:val="000000" w:themeColor="text1"/>
          <w:sz w:val="22"/>
          <w:szCs w:val="22"/>
        </w:rPr>
        <w:t xml:space="preserve">g danych </w:t>
      </w:r>
      <w:r w:rsidRPr="009B78DA">
        <w:rPr>
          <w:rFonts w:ascii="Arial" w:hAnsi="Arial" w:cs="Arial"/>
          <w:color w:val="000000" w:themeColor="text1"/>
          <w:sz w:val="22"/>
          <w:szCs w:val="22"/>
        </w:rPr>
        <w:t>statysty</w:t>
      </w:r>
      <w:r w:rsidR="00B95E4A" w:rsidRPr="009B78DA">
        <w:rPr>
          <w:rFonts w:ascii="Arial" w:hAnsi="Arial" w:cs="Arial"/>
          <w:color w:val="000000" w:themeColor="text1"/>
          <w:sz w:val="22"/>
          <w:szCs w:val="22"/>
        </w:rPr>
        <w:t>cznych</w:t>
      </w:r>
      <w:r w:rsidR="00B171C0" w:rsidRPr="009B78DA">
        <w:rPr>
          <w:rStyle w:val="Odwoanieprzypisudolnego"/>
          <w:rFonts w:ascii="Arial" w:hAnsi="Arial" w:cs="Arial"/>
          <w:color w:val="000000" w:themeColor="text1"/>
          <w:sz w:val="22"/>
          <w:szCs w:val="22"/>
        </w:rPr>
        <w:footnoteReference w:id="12"/>
      </w:r>
      <w:r w:rsidR="00B171C0" w:rsidRPr="009B78DA">
        <w:rPr>
          <w:rFonts w:ascii="Arial" w:hAnsi="Arial" w:cs="Arial"/>
          <w:color w:val="000000" w:themeColor="text1"/>
          <w:sz w:val="22"/>
          <w:szCs w:val="22"/>
        </w:rPr>
        <w:t>,</w:t>
      </w:r>
      <w:r w:rsidR="00B95E4A" w:rsidRPr="009B78DA">
        <w:rPr>
          <w:rFonts w:ascii="Arial" w:hAnsi="Arial" w:cs="Arial"/>
          <w:color w:val="000000" w:themeColor="text1"/>
          <w:sz w:val="22"/>
          <w:szCs w:val="22"/>
        </w:rPr>
        <w:t xml:space="preserve"> na koniec roku 2021 </w:t>
      </w:r>
      <w:r w:rsidRPr="009B78DA">
        <w:rPr>
          <w:rFonts w:ascii="Arial" w:hAnsi="Arial" w:cs="Arial"/>
          <w:color w:val="000000" w:themeColor="text1"/>
          <w:sz w:val="22"/>
          <w:szCs w:val="22"/>
        </w:rPr>
        <w:t xml:space="preserve">województwo podkarpackie </w:t>
      </w:r>
      <w:r w:rsidR="00DA02B4" w:rsidRPr="009B78DA">
        <w:rPr>
          <w:rFonts w:ascii="Arial" w:hAnsi="Arial" w:cs="Arial"/>
          <w:color w:val="000000" w:themeColor="text1"/>
          <w:sz w:val="22"/>
          <w:szCs w:val="22"/>
        </w:rPr>
        <w:t>zajęło</w:t>
      </w:r>
      <w:r w:rsidRPr="009B78DA">
        <w:rPr>
          <w:rFonts w:ascii="Arial" w:hAnsi="Arial" w:cs="Arial"/>
          <w:color w:val="000000" w:themeColor="text1"/>
          <w:sz w:val="22"/>
          <w:szCs w:val="22"/>
        </w:rPr>
        <w:t xml:space="preserve"> </w:t>
      </w:r>
      <w:r w:rsidR="00A85691" w:rsidRPr="009B78DA">
        <w:rPr>
          <w:rFonts w:ascii="Arial" w:hAnsi="Arial" w:cs="Arial"/>
          <w:color w:val="000000" w:themeColor="text1"/>
          <w:sz w:val="22"/>
          <w:szCs w:val="22"/>
        </w:rPr>
        <w:t xml:space="preserve">10 </w:t>
      </w:r>
      <w:r w:rsidR="00B95E4A" w:rsidRPr="009B78DA">
        <w:rPr>
          <w:rFonts w:ascii="Arial" w:hAnsi="Arial" w:cs="Arial"/>
          <w:color w:val="000000" w:themeColor="text1"/>
          <w:sz w:val="22"/>
          <w:szCs w:val="22"/>
        </w:rPr>
        <w:t>lokatę</w:t>
      </w:r>
      <w:r w:rsidRPr="009B78DA">
        <w:rPr>
          <w:rFonts w:ascii="Arial" w:hAnsi="Arial" w:cs="Arial"/>
          <w:color w:val="000000" w:themeColor="text1"/>
          <w:sz w:val="22"/>
          <w:szCs w:val="22"/>
        </w:rPr>
        <w:t xml:space="preserve"> w rankingu województw</w:t>
      </w:r>
      <w:r w:rsidR="00B95E4A" w:rsidRPr="009B78DA">
        <w:rPr>
          <w:rFonts w:ascii="Arial" w:hAnsi="Arial" w:cs="Arial"/>
          <w:color w:val="000000" w:themeColor="text1"/>
          <w:sz w:val="22"/>
          <w:szCs w:val="22"/>
        </w:rPr>
        <w:t xml:space="preserve"> pod względem </w:t>
      </w:r>
      <w:r w:rsidR="00DA02B4" w:rsidRPr="009B78DA">
        <w:rPr>
          <w:rFonts w:ascii="Arial" w:hAnsi="Arial" w:cs="Arial"/>
          <w:color w:val="000000" w:themeColor="text1"/>
          <w:sz w:val="22"/>
          <w:szCs w:val="22"/>
        </w:rPr>
        <w:t xml:space="preserve">łącznej </w:t>
      </w:r>
      <w:r w:rsidR="00B95E4A" w:rsidRPr="009B78DA">
        <w:rPr>
          <w:rFonts w:ascii="Arial" w:hAnsi="Arial" w:cs="Arial"/>
          <w:color w:val="000000" w:themeColor="text1"/>
          <w:sz w:val="22"/>
          <w:szCs w:val="22"/>
        </w:rPr>
        <w:t xml:space="preserve">ilości </w:t>
      </w:r>
      <w:r w:rsidR="00C42C47" w:rsidRPr="009B78DA">
        <w:rPr>
          <w:rFonts w:ascii="Arial" w:hAnsi="Arial" w:cs="Arial"/>
          <w:color w:val="000000" w:themeColor="text1"/>
          <w:sz w:val="22"/>
          <w:szCs w:val="22"/>
        </w:rPr>
        <w:t xml:space="preserve">osobowych </w:t>
      </w:r>
      <w:r w:rsidR="00B95E4A" w:rsidRPr="009B78DA">
        <w:rPr>
          <w:rFonts w:ascii="Arial" w:hAnsi="Arial" w:cs="Arial"/>
          <w:color w:val="000000" w:themeColor="text1"/>
          <w:sz w:val="22"/>
          <w:szCs w:val="22"/>
        </w:rPr>
        <w:t xml:space="preserve">samochodów elektrycznych, hybrydowych oraz hybrydowych </w:t>
      </w:r>
      <w:r w:rsidR="00B95E4A" w:rsidRPr="009B78DA">
        <w:rPr>
          <w:rFonts w:ascii="Arial" w:hAnsi="Arial" w:cs="Arial"/>
          <w:i/>
          <w:color w:val="000000" w:themeColor="text1"/>
          <w:sz w:val="22"/>
          <w:szCs w:val="22"/>
        </w:rPr>
        <w:t>plug-in</w:t>
      </w:r>
      <w:r w:rsidR="00DA02B4" w:rsidRPr="009B78DA">
        <w:rPr>
          <w:rFonts w:ascii="Arial" w:hAnsi="Arial" w:cs="Arial"/>
          <w:color w:val="000000" w:themeColor="text1"/>
          <w:sz w:val="22"/>
          <w:szCs w:val="22"/>
        </w:rPr>
        <w:t>.</w:t>
      </w:r>
      <w:r w:rsidR="00B95E4A" w:rsidRPr="009B78DA">
        <w:rPr>
          <w:rFonts w:ascii="Arial" w:hAnsi="Arial" w:cs="Arial"/>
          <w:color w:val="000000" w:themeColor="text1"/>
          <w:sz w:val="22"/>
          <w:szCs w:val="22"/>
        </w:rPr>
        <w:t xml:space="preserve"> </w:t>
      </w:r>
      <w:r w:rsidR="00DA02B4" w:rsidRPr="009B78DA">
        <w:rPr>
          <w:rFonts w:ascii="Arial" w:hAnsi="Arial" w:cs="Arial"/>
          <w:color w:val="000000" w:themeColor="text1"/>
          <w:sz w:val="22"/>
          <w:szCs w:val="22"/>
        </w:rPr>
        <w:t>Z</w:t>
      </w:r>
      <w:r w:rsidR="00B95E4A" w:rsidRPr="009B78DA">
        <w:rPr>
          <w:rFonts w:ascii="Arial" w:hAnsi="Arial" w:cs="Arial"/>
          <w:color w:val="000000" w:themeColor="text1"/>
          <w:sz w:val="22"/>
          <w:szCs w:val="22"/>
        </w:rPr>
        <w:t xml:space="preserve"> kolei pod względem samych samochodów elektrycznych miejsce 8, a pod względem wszystkich rodzajów samochodów </w:t>
      </w:r>
      <w:r w:rsidR="00C42C47" w:rsidRPr="009B78DA">
        <w:rPr>
          <w:rFonts w:ascii="Arial" w:hAnsi="Arial" w:cs="Arial"/>
          <w:color w:val="000000" w:themeColor="text1"/>
          <w:sz w:val="22"/>
          <w:szCs w:val="22"/>
        </w:rPr>
        <w:t xml:space="preserve">osobowych </w:t>
      </w:r>
      <w:r w:rsidR="00B95E4A" w:rsidRPr="009B78DA">
        <w:rPr>
          <w:rFonts w:ascii="Arial" w:hAnsi="Arial" w:cs="Arial"/>
          <w:color w:val="000000" w:themeColor="text1"/>
          <w:sz w:val="22"/>
          <w:szCs w:val="22"/>
        </w:rPr>
        <w:t xml:space="preserve">o napędzie hybrydowym </w:t>
      </w:r>
      <w:r w:rsidR="00B171C0" w:rsidRPr="009B78DA">
        <w:rPr>
          <w:rFonts w:ascii="Arial" w:hAnsi="Arial" w:cs="Arial"/>
          <w:color w:val="000000" w:themeColor="text1"/>
          <w:sz w:val="22"/>
          <w:szCs w:val="22"/>
        </w:rPr>
        <w:t>pozycję 10.</w:t>
      </w:r>
    </w:p>
    <w:p w14:paraId="62C23D9F" w14:textId="43B11065" w:rsidR="00127213" w:rsidRPr="00D26960" w:rsidRDefault="00A91503" w:rsidP="00D26960">
      <w:pPr>
        <w:pStyle w:val="Akapitzlist"/>
        <w:numPr>
          <w:ilvl w:val="0"/>
          <w:numId w:val="23"/>
        </w:numPr>
        <w:spacing w:after="120" w:line="264"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W województwie podkarpackim </w:t>
      </w:r>
      <w:r w:rsidR="00DA02B4" w:rsidRPr="009B78DA">
        <w:rPr>
          <w:rFonts w:ascii="Arial" w:hAnsi="Arial" w:cs="Arial"/>
          <w:color w:val="000000" w:themeColor="text1"/>
          <w:sz w:val="22"/>
          <w:szCs w:val="22"/>
        </w:rPr>
        <w:t>pod koniec</w:t>
      </w:r>
      <w:r w:rsidR="002E1E42" w:rsidRPr="009B78DA">
        <w:rPr>
          <w:rFonts w:ascii="Arial" w:hAnsi="Arial" w:cs="Arial"/>
          <w:color w:val="000000" w:themeColor="text1"/>
          <w:sz w:val="22"/>
          <w:szCs w:val="22"/>
        </w:rPr>
        <w:t xml:space="preserve"> roku </w:t>
      </w:r>
      <w:r w:rsidR="00A01E95" w:rsidRPr="009B78DA">
        <w:rPr>
          <w:rFonts w:ascii="Arial" w:hAnsi="Arial" w:cs="Arial"/>
          <w:color w:val="000000" w:themeColor="text1"/>
          <w:sz w:val="22"/>
          <w:szCs w:val="22"/>
        </w:rPr>
        <w:t xml:space="preserve">2021 </w:t>
      </w:r>
      <w:r w:rsidRPr="009B78DA">
        <w:rPr>
          <w:rFonts w:ascii="Arial" w:hAnsi="Arial" w:cs="Arial"/>
          <w:color w:val="000000" w:themeColor="text1"/>
          <w:sz w:val="22"/>
          <w:szCs w:val="22"/>
        </w:rPr>
        <w:t xml:space="preserve">zarejestrowanych </w:t>
      </w:r>
      <w:r w:rsidR="005B5426" w:rsidRPr="009B78DA">
        <w:rPr>
          <w:rFonts w:ascii="Arial" w:hAnsi="Arial" w:cs="Arial"/>
          <w:color w:val="000000" w:themeColor="text1"/>
          <w:sz w:val="22"/>
          <w:szCs w:val="22"/>
        </w:rPr>
        <w:t>było</w:t>
      </w:r>
      <w:r w:rsidR="00B07B8D">
        <w:rPr>
          <w:rFonts w:ascii="Arial" w:hAnsi="Arial" w:cs="Arial"/>
          <w:color w:val="000000" w:themeColor="text1"/>
          <w:sz w:val="22"/>
          <w:szCs w:val="22"/>
        </w:rPr>
        <w:t xml:space="preserve"> </w:t>
      </w:r>
      <w:r w:rsidR="00A01E95" w:rsidRPr="009B78DA">
        <w:rPr>
          <w:rFonts w:ascii="Arial" w:hAnsi="Arial" w:cs="Arial"/>
          <w:color w:val="000000" w:themeColor="text1"/>
          <w:sz w:val="22"/>
          <w:szCs w:val="22"/>
        </w:rPr>
        <w:t xml:space="preserve">39 </w:t>
      </w:r>
      <w:r w:rsidRPr="009B78DA">
        <w:rPr>
          <w:rFonts w:ascii="Arial" w:hAnsi="Arial" w:cs="Arial"/>
          <w:color w:val="000000" w:themeColor="text1"/>
          <w:sz w:val="22"/>
          <w:szCs w:val="22"/>
        </w:rPr>
        <w:t>autobusów elektrycznych, co stanowiło</w:t>
      </w:r>
      <w:r w:rsidR="00C42C47" w:rsidRPr="009B78DA">
        <w:rPr>
          <w:rFonts w:ascii="Arial" w:hAnsi="Arial" w:cs="Arial"/>
          <w:color w:val="000000" w:themeColor="text1"/>
          <w:sz w:val="22"/>
          <w:szCs w:val="22"/>
        </w:rPr>
        <w:t xml:space="preserve"> ok.</w:t>
      </w:r>
      <w:r w:rsidRPr="009B78DA">
        <w:rPr>
          <w:rFonts w:ascii="Arial" w:hAnsi="Arial" w:cs="Arial"/>
          <w:color w:val="000000" w:themeColor="text1"/>
          <w:sz w:val="22"/>
          <w:szCs w:val="22"/>
        </w:rPr>
        <w:t xml:space="preserve"> </w:t>
      </w:r>
      <w:r w:rsidR="00A01E95" w:rsidRPr="009B78DA">
        <w:rPr>
          <w:rFonts w:ascii="Arial" w:hAnsi="Arial" w:cs="Arial"/>
          <w:color w:val="000000" w:themeColor="text1"/>
          <w:sz w:val="22"/>
          <w:szCs w:val="22"/>
        </w:rPr>
        <w:t>6</w:t>
      </w:r>
      <w:r w:rsidRPr="009B78DA">
        <w:rPr>
          <w:rFonts w:ascii="Arial" w:hAnsi="Arial" w:cs="Arial"/>
          <w:color w:val="000000" w:themeColor="text1"/>
          <w:sz w:val="22"/>
          <w:szCs w:val="22"/>
        </w:rPr>
        <w:t>,</w:t>
      </w:r>
      <w:r w:rsidR="00A01E95" w:rsidRPr="009B78DA">
        <w:rPr>
          <w:rFonts w:ascii="Arial" w:hAnsi="Arial" w:cs="Arial"/>
          <w:color w:val="000000" w:themeColor="text1"/>
          <w:sz w:val="22"/>
          <w:szCs w:val="22"/>
        </w:rPr>
        <w:t>5</w:t>
      </w:r>
      <w:r w:rsidRPr="009B78DA">
        <w:rPr>
          <w:rFonts w:ascii="Arial" w:hAnsi="Arial" w:cs="Arial"/>
          <w:color w:val="000000" w:themeColor="text1"/>
          <w:sz w:val="22"/>
          <w:szCs w:val="22"/>
        </w:rPr>
        <w:t xml:space="preserve">‰ floty ogółem. </w:t>
      </w:r>
      <w:r w:rsidR="00A01E95" w:rsidRPr="009B78DA">
        <w:rPr>
          <w:rFonts w:ascii="Arial" w:hAnsi="Arial" w:cs="Arial"/>
          <w:color w:val="000000" w:themeColor="text1"/>
          <w:sz w:val="22"/>
          <w:szCs w:val="22"/>
        </w:rPr>
        <w:t>W</w:t>
      </w:r>
      <w:r w:rsidRPr="009B78DA">
        <w:rPr>
          <w:rFonts w:ascii="Arial" w:hAnsi="Arial" w:cs="Arial"/>
          <w:color w:val="000000" w:themeColor="text1"/>
          <w:sz w:val="22"/>
          <w:szCs w:val="22"/>
        </w:rPr>
        <w:t>ojewództwo po</w:t>
      </w:r>
      <w:r w:rsidR="00895069" w:rsidRPr="009B78DA">
        <w:rPr>
          <w:rFonts w:ascii="Arial" w:hAnsi="Arial" w:cs="Arial"/>
          <w:color w:val="000000" w:themeColor="text1"/>
          <w:sz w:val="22"/>
          <w:szCs w:val="22"/>
        </w:rPr>
        <w:t>dkarpackie j</w:t>
      </w:r>
      <w:r w:rsidR="00A01E95" w:rsidRPr="009B78DA">
        <w:rPr>
          <w:rFonts w:ascii="Arial" w:hAnsi="Arial" w:cs="Arial"/>
          <w:color w:val="000000" w:themeColor="text1"/>
          <w:sz w:val="22"/>
          <w:szCs w:val="22"/>
        </w:rPr>
        <w:t>est na</w:t>
      </w:r>
      <w:r w:rsidR="00895069" w:rsidRPr="009B78DA">
        <w:rPr>
          <w:rFonts w:ascii="Arial" w:hAnsi="Arial" w:cs="Arial"/>
          <w:color w:val="000000" w:themeColor="text1"/>
          <w:sz w:val="22"/>
          <w:szCs w:val="22"/>
        </w:rPr>
        <w:t xml:space="preserve"> </w:t>
      </w:r>
      <w:r w:rsidR="00A01E95" w:rsidRPr="009B78DA">
        <w:rPr>
          <w:rFonts w:ascii="Arial" w:hAnsi="Arial" w:cs="Arial"/>
          <w:color w:val="000000" w:themeColor="text1"/>
          <w:sz w:val="22"/>
          <w:szCs w:val="22"/>
        </w:rPr>
        <w:t xml:space="preserve">szóstym miejscu </w:t>
      </w:r>
      <w:r w:rsidR="00895069" w:rsidRPr="009B78DA">
        <w:rPr>
          <w:rFonts w:ascii="Arial" w:hAnsi="Arial" w:cs="Arial"/>
          <w:color w:val="000000" w:themeColor="text1"/>
          <w:sz w:val="22"/>
          <w:szCs w:val="22"/>
        </w:rPr>
        <w:t>w kraju</w:t>
      </w:r>
      <w:r w:rsidR="00A01E95" w:rsidRPr="009B78DA">
        <w:rPr>
          <w:rFonts w:ascii="Arial" w:hAnsi="Arial" w:cs="Arial"/>
          <w:color w:val="000000" w:themeColor="text1"/>
          <w:sz w:val="22"/>
          <w:szCs w:val="22"/>
        </w:rPr>
        <w:t xml:space="preserve"> pod względem ilości autobusów zasilanych energią elektryczną</w:t>
      </w:r>
      <w:r w:rsidR="008C014C" w:rsidRPr="009B78DA">
        <w:rPr>
          <w:rStyle w:val="Odwoanieprzypisudolnego"/>
          <w:rFonts w:ascii="Arial" w:hAnsi="Arial" w:cs="Arial"/>
          <w:color w:val="000000" w:themeColor="text1"/>
          <w:sz w:val="22"/>
          <w:szCs w:val="22"/>
        </w:rPr>
        <w:footnoteReference w:id="13"/>
      </w:r>
      <w:r w:rsidR="00A01E95" w:rsidRPr="009B78DA">
        <w:rPr>
          <w:rFonts w:ascii="Arial" w:hAnsi="Arial" w:cs="Arial"/>
          <w:color w:val="000000" w:themeColor="text1"/>
          <w:sz w:val="22"/>
          <w:szCs w:val="22"/>
        </w:rPr>
        <w:t>.</w:t>
      </w:r>
    </w:p>
    <w:p w14:paraId="10786AEB" w14:textId="481DDB11" w:rsidR="000770FD" w:rsidRPr="009B78DA" w:rsidRDefault="000770FD" w:rsidP="00D26960">
      <w:pPr>
        <w:pStyle w:val="Legenda"/>
        <w:keepNext/>
        <w:rPr>
          <w:rFonts w:ascii="Arial" w:hAnsi="Arial" w:cs="Arial"/>
          <w:i w:val="0"/>
          <w:color w:val="000000" w:themeColor="text1"/>
          <w:sz w:val="22"/>
          <w:szCs w:val="22"/>
        </w:rPr>
      </w:pPr>
      <w:bookmarkStart w:id="72" w:name="_Toc146785638"/>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9</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Punkty tankowania CNG i elektryczne punkty ładowania samochodów</w:t>
      </w:r>
      <w:bookmarkEnd w:id="72"/>
    </w:p>
    <w:p w14:paraId="66B0C974" w14:textId="63305C1C" w:rsidR="00973A5B" w:rsidRPr="009B78DA" w:rsidRDefault="009A7DCC" w:rsidP="00973A5B">
      <w:pPr>
        <w:spacing w:after="0" w:line="264" w:lineRule="auto"/>
        <w:jc w:val="both"/>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19D8949B" wp14:editId="45BB1E62">
            <wp:extent cx="6140439" cy="5524500"/>
            <wp:effectExtent l="0" t="0" r="0" b="0"/>
            <wp:docPr id="968996784" name="Obraz 9" descr="Województwo podkarpackie w tym Rzeszowski Obszar Funkcjonalny oraz Miejskie Obszary Funkcjonalne: Tarnobrzeg, Stalowa Wola, Nisko, Mielec, Dębica, Ropczyce, Przeworsk, Jarosław, Lubaczów, Jarosław, Przemyśl, Jasło, Krosno, Sanok, Lesko. Zaznaczono Miasta Kolbuszowa, Leżajsk, Strzyżów, Brzozów , Ustrzyki Dolne. Zaznaczono Autostradę A4 z węzłami, Drogę ekspresową S19 z węzłami, Drogę ekspresową S19 z węzłami w realizacji, Drogi krajowe, Drogi wojewódzkie. Punkt tankowania CNG Mielec, Rzeszów, Punkt ładowania Powiat Rzeszowski, okolice Niska , Stalowa Wola oraz na autostradzie przy granicy z Ukrainą, Krosno, Sanok, Lesko. Punkty ładowania niecertyfikowane Tarnobrzeg, Dębica, Rzeszów, Jarosław , Przemyśl, Krosno, Lesko, Ustrzyki Dolne, okolice Bieszczad" title="Rysunek 9 Punkty tankowania CNG i elektryczne punkty ładowania samochod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996784" name="Obraz 9" descr="Obraz zawierający tekst, mapa, diagram, atlas&#10;&#10;Opis wygenerowany automatyczni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50153" cy="5533240"/>
                    </a:xfrm>
                    <a:prstGeom prst="rect">
                      <a:avLst/>
                    </a:prstGeom>
                  </pic:spPr>
                </pic:pic>
              </a:graphicData>
            </a:graphic>
          </wp:inline>
        </w:drawing>
      </w:r>
    </w:p>
    <w:p w14:paraId="12475F23" w14:textId="11821F2D" w:rsidR="00973A5B" w:rsidRPr="009B78DA" w:rsidRDefault="00973A5B" w:rsidP="001F3098">
      <w:pPr>
        <w:spacing w:after="0" w:line="264"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Opracowanie własne na podstawie </w:t>
      </w:r>
      <w:hyperlink r:id="rId18" w:tooltip="Otwiera stronę" w:history="1">
        <w:r w:rsidR="00913590" w:rsidRPr="00913590">
          <w:rPr>
            <w:rStyle w:val="Hipercze"/>
            <w:rFonts w:ascii="Arial" w:hAnsi="Arial" w:cs="Arial"/>
            <w:sz w:val="22"/>
            <w:szCs w:val="22"/>
          </w:rPr>
          <w:t>www.plugshare.com/pl</w:t>
        </w:r>
      </w:hyperlink>
    </w:p>
    <w:p w14:paraId="436DC06D" w14:textId="6874E919" w:rsidR="00D25CDC" w:rsidRPr="001F3098" w:rsidRDefault="00681D14" w:rsidP="001F3098">
      <w:pPr>
        <w:pStyle w:val="Akapitzlist"/>
        <w:numPr>
          <w:ilvl w:val="0"/>
          <w:numId w:val="27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Według aplikacji Plug Share przeznaczonej dla kierowców pojazdów elektrycznych, </w:t>
      </w:r>
      <w:r w:rsidR="0010060F"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w naszym województwie zlokalizowane są 81 punkty ładowania samochodów elektrycznych oraz 3 CNG (stan na dzień 21.04.2023). 46 z nich znajduje się </w:t>
      </w:r>
      <w:r w:rsidR="0010060F" w:rsidRPr="009B78DA">
        <w:rPr>
          <w:rFonts w:ascii="Arial" w:hAnsi="Arial" w:cs="Arial"/>
          <w:color w:val="000000" w:themeColor="text1"/>
          <w:sz w:val="22"/>
          <w:szCs w:val="22"/>
        </w:rPr>
        <w:br/>
      </w:r>
      <w:r w:rsidRPr="009B78DA">
        <w:rPr>
          <w:rFonts w:ascii="Arial" w:hAnsi="Arial" w:cs="Arial"/>
          <w:color w:val="000000" w:themeColor="text1"/>
          <w:sz w:val="22"/>
          <w:szCs w:val="22"/>
        </w:rPr>
        <w:t>w rejestrze publicznym</w:t>
      </w:r>
      <w:r w:rsidR="0010060F"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prowadzonym dla wypełnienia obowiązku ustawowego</w:t>
      </w:r>
      <w:r w:rsidR="0010060F"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dotycząc</w:t>
      </w:r>
      <w:r w:rsidR="0010060F" w:rsidRPr="009B78DA">
        <w:rPr>
          <w:rFonts w:ascii="Arial" w:hAnsi="Arial" w:cs="Arial"/>
          <w:color w:val="000000" w:themeColor="text1"/>
          <w:sz w:val="22"/>
          <w:szCs w:val="22"/>
        </w:rPr>
        <w:t>ego</w:t>
      </w:r>
      <w:r w:rsidRPr="009B78DA">
        <w:rPr>
          <w:rFonts w:ascii="Arial" w:hAnsi="Arial" w:cs="Arial"/>
          <w:color w:val="000000" w:themeColor="text1"/>
          <w:sz w:val="22"/>
          <w:szCs w:val="22"/>
        </w:rPr>
        <w:t xml:space="preserve"> pojazdów elektrycznych, pojazdów napędzanych gazem ziemnym</w:t>
      </w:r>
      <w:r w:rsidR="001F3098">
        <w:rPr>
          <w:rFonts w:ascii="Arial" w:hAnsi="Arial" w:cs="Arial"/>
          <w:color w:val="000000" w:themeColor="text1"/>
          <w:sz w:val="22"/>
          <w:szCs w:val="22"/>
        </w:rPr>
        <w:t xml:space="preserve"> </w:t>
      </w:r>
      <w:r w:rsidR="001F3098">
        <w:rPr>
          <w:rFonts w:ascii="Arial" w:hAnsi="Arial" w:cs="Arial"/>
          <w:color w:val="000000" w:themeColor="text1"/>
          <w:sz w:val="22"/>
          <w:szCs w:val="22"/>
        </w:rPr>
        <w:br/>
      </w:r>
      <w:r w:rsidRPr="009B78DA">
        <w:rPr>
          <w:rFonts w:ascii="Arial" w:hAnsi="Arial" w:cs="Arial"/>
          <w:color w:val="000000" w:themeColor="text1"/>
          <w:sz w:val="22"/>
          <w:szCs w:val="22"/>
        </w:rPr>
        <w:t>i pojazdów napędzanych wodorem</w:t>
      </w:r>
      <w:r w:rsidR="006D1D66" w:rsidRPr="009B78DA">
        <w:rPr>
          <w:rStyle w:val="Odwoanieprzypisudolnego"/>
          <w:rFonts w:ascii="Arial" w:hAnsi="Arial" w:cs="Arial"/>
          <w:color w:val="000000" w:themeColor="text1"/>
          <w:sz w:val="22"/>
          <w:szCs w:val="22"/>
        </w:rPr>
        <w:footnoteReference w:id="14"/>
      </w:r>
      <w:r w:rsidR="003B45C9" w:rsidRPr="009B78DA">
        <w:rPr>
          <w:rFonts w:ascii="Arial" w:hAnsi="Arial" w:cs="Arial"/>
          <w:color w:val="000000" w:themeColor="text1"/>
          <w:sz w:val="22"/>
          <w:szCs w:val="22"/>
        </w:rPr>
        <w:t>.</w:t>
      </w:r>
    </w:p>
    <w:p w14:paraId="4D7DBD77" w14:textId="77777777" w:rsidR="00895069" w:rsidRPr="009B78DA" w:rsidRDefault="00895069" w:rsidP="001F3098">
      <w:pPr>
        <w:pStyle w:val="Nagwek3"/>
        <w:numPr>
          <w:ilvl w:val="1"/>
          <w:numId w:val="258"/>
        </w:numPr>
        <w:rPr>
          <w:rFonts w:cs="Arial"/>
          <w:color w:val="000000" w:themeColor="text1"/>
          <w:sz w:val="24"/>
        </w:rPr>
      </w:pPr>
      <w:bookmarkStart w:id="73" w:name="_Toc100335060"/>
      <w:bookmarkStart w:id="74" w:name="_Toc146785784"/>
      <w:bookmarkStart w:id="75" w:name="_Hlk76100097"/>
      <w:r w:rsidRPr="009B78DA">
        <w:rPr>
          <w:rFonts w:cs="Arial"/>
          <w:color w:val="000000" w:themeColor="text1"/>
          <w:sz w:val="24"/>
        </w:rPr>
        <w:t>System transportowy województwa podkarpackiego w układach przestrzennych</w:t>
      </w:r>
      <w:bookmarkEnd w:id="73"/>
      <w:bookmarkEnd w:id="74"/>
    </w:p>
    <w:bookmarkEnd w:id="75"/>
    <w:p w14:paraId="6BDA525F" w14:textId="77777777" w:rsidR="00895069" w:rsidRPr="009B78DA" w:rsidRDefault="00895069" w:rsidP="001F3098">
      <w:pPr>
        <w:pStyle w:val="Akapitzlist"/>
        <w:numPr>
          <w:ilvl w:val="2"/>
          <w:numId w:val="24"/>
        </w:numPr>
        <w:spacing w:line="276" w:lineRule="auto"/>
        <w:rPr>
          <w:rFonts w:ascii="Arial" w:hAnsi="Arial" w:cs="Arial"/>
          <w:b/>
          <w:color w:val="000000" w:themeColor="text1"/>
          <w:sz w:val="22"/>
          <w:szCs w:val="22"/>
        </w:rPr>
      </w:pPr>
      <w:r w:rsidRPr="009B78DA">
        <w:rPr>
          <w:rFonts w:ascii="Arial" w:hAnsi="Arial" w:cs="Arial"/>
          <w:b/>
          <w:color w:val="000000" w:themeColor="text1"/>
          <w:sz w:val="22"/>
          <w:szCs w:val="22"/>
        </w:rPr>
        <w:t>Dostępność zewnętrzna</w:t>
      </w:r>
    </w:p>
    <w:p w14:paraId="6C33222D" w14:textId="1E986FA0" w:rsidR="00882E7B" w:rsidRPr="009B78DA" w:rsidRDefault="00895069" w:rsidP="001F3098">
      <w:pPr>
        <w:pStyle w:val="Akapitzlist"/>
        <w:numPr>
          <w:ilvl w:val="0"/>
          <w:numId w:val="25"/>
        </w:numPr>
        <w:spacing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Województwo podkarpackie charakteryzuje się stosunkowo niską dostępnością zewnętrzną głównie ze względu na peryferyjne położenie w odniesieniu do centralnej części kraju, bieguna wysokiego potencjału Krakowa, GOP-u, przylegającą granicę UE oraz duże zróżnicowanie wysokościowe terenu.</w:t>
      </w:r>
      <w:r w:rsidR="00384826" w:rsidRPr="009B78DA">
        <w:rPr>
          <w:rFonts w:ascii="Arial" w:hAnsi="Arial" w:cs="Arial"/>
          <w:color w:val="000000" w:themeColor="text1"/>
          <w:sz w:val="22"/>
          <w:szCs w:val="22"/>
        </w:rPr>
        <w:t xml:space="preserve"> </w:t>
      </w:r>
      <w:bookmarkStart w:id="76" w:name="_Hlk92553810"/>
      <w:r w:rsidR="00384826" w:rsidRPr="009B78DA">
        <w:rPr>
          <w:rFonts w:ascii="Arial" w:hAnsi="Arial" w:cs="Arial"/>
          <w:color w:val="000000" w:themeColor="text1"/>
          <w:sz w:val="22"/>
          <w:szCs w:val="22"/>
        </w:rPr>
        <w:t>Dostępność zewnętrzna znacznie się poprawiła w układzie horyzontalnym.</w:t>
      </w:r>
      <w:bookmarkEnd w:id="76"/>
    </w:p>
    <w:p w14:paraId="1BBEC90D" w14:textId="7C6D2C33" w:rsidR="000770FD" w:rsidRPr="009B78DA" w:rsidRDefault="000770FD" w:rsidP="001F3098">
      <w:pPr>
        <w:spacing w:line="276" w:lineRule="auto"/>
        <w:rPr>
          <w:rFonts w:ascii="Arial" w:hAnsi="Arial" w:cs="Arial"/>
          <w:b/>
          <w:iCs/>
          <w:color w:val="000000" w:themeColor="text1"/>
          <w:sz w:val="22"/>
          <w:szCs w:val="22"/>
        </w:rPr>
      </w:pPr>
      <w:bookmarkStart w:id="77" w:name="_Toc146785639"/>
      <w:r w:rsidRPr="009B78DA">
        <w:rPr>
          <w:rFonts w:ascii="Arial" w:hAnsi="Arial" w:cs="Arial"/>
          <w:b/>
          <w:color w:val="000000" w:themeColor="text1"/>
          <w:sz w:val="22"/>
          <w:szCs w:val="22"/>
        </w:rPr>
        <w:t xml:space="preserve">Rysunek </w:t>
      </w:r>
      <w:r w:rsidRPr="009B78DA">
        <w:rPr>
          <w:rFonts w:ascii="Arial" w:hAnsi="Arial" w:cs="Arial"/>
          <w:b/>
          <w:color w:val="000000" w:themeColor="text1"/>
          <w:sz w:val="22"/>
          <w:szCs w:val="22"/>
        </w:rPr>
        <w:fldChar w:fldCharType="begin"/>
      </w:r>
      <w:r w:rsidRPr="009B78DA">
        <w:rPr>
          <w:rFonts w:ascii="Arial" w:hAnsi="Arial" w:cs="Arial"/>
          <w:b/>
          <w:color w:val="000000" w:themeColor="text1"/>
          <w:sz w:val="22"/>
          <w:szCs w:val="22"/>
        </w:rPr>
        <w:instrText xml:space="preserve"> SEQ Rysunek_ \* ARABIC </w:instrText>
      </w:r>
      <w:r w:rsidRPr="009B78DA">
        <w:rPr>
          <w:rFonts w:ascii="Arial" w:hAnsi="Arial" w:cs="Arial"/>
          <w:b/>
          <w:color w:val="000000" w:themeColor="text1"/>
          <w:sz w:val="22"/>
          <w:szCs w:val="22"/>
        </w:rPr>
        <w:fldChar w:fldCharType="separate"/>
      </w:r>
      <w:r w:rsidR="007403DE">
        <w:rPr>
          <w:rFonts w:ascii="Arial" w:hAnsi="Arial" w:cs="Arial"/>
          <w:b/>
          <w:noProof/>
          <w:color w:val="000000" w:themeColor="text1"/>
          <w:sz w:val="22"/>
          <w:szCs w:val="22"/>
        </w:rPr>
        <w:t>10</w:t>
      </w:r>
      <w:r w:rsidRPr="009B78DA">
        <w:rPr>
          <w:rFonts w:ascii="Arial" w:hAnsi="Arial" w:cs="Arial"/>
          <w:b/>
          <w:color w:val="000000" w:themeColor="text1"/>
          <w:sz w:val="22"/>
          <w:szCs w:val="22"/>
        </w:rPr>
        <w:fldChar w:fldCharType="end"/>
      </w:r>
      <w:r w:rsidRPr="009B78DA">
        <w:rPr>
          <w:rFonts w:ascii="Arial" w:hAnsi="Arial" w:cs="Arial"/>
          <w:color w:val="000000" w:themeColor="text1"/>
          <w:sz w:val="22"/>
          <w:szCs w:val="22"/>
        </w:rPr>
        <w:t xml:space="preserve"> </w:t>
      </w:r>
      <w:r w:rsidRPr="009B78DA">
        <w:rPr>
          <w:rFonts w:ascii="Arial" w:hAnsi="Arial" w:cs="Arial"/>
          <w:iCs/>
          <w:color w:val="000000" w:themeColor="text1"/>
          <w:sz w:val="22"/>
          <w:szCs w:val="22"/>
        </w:rPr>
        <w:t>Stan drogowej dostępności krajowej (WDDT osobowy) w województwie podkarpackim w 2023 r.</w:t>
      </w:r>
      <w:bookmarkEnd w:id="77"/>
    </w:p>
    <w:p w14:paraId="7137B12D" w14:textId="26759684" w:rsidR="00882E7B" w:rsidRPr="009B78DA" w:rsidRDefault="00882E7B" w:rsidP="00882E7B">
      <w:pPr>
        <w:spacing w:line="276" w:lineRule="auto"/>
        <w:jc w:val="both"/>
        <w:rPr>
          <w:rFonts w:ascii="Arial" w:hAnsi="Arial" w:cs="Arial"/>
          <w:color w:val="000000" w:themeColor="text1"/>
          <w:sz w:val="22"/>
          <w:szCs w:val="22"/>
        </w:rPr>
      </w:pPr>
      <w:r w:rsidRPr="009B78DA">
        <w:rPr>
          <w:noProof/>
          <w:color w:val="000000" w:themeColor="text1"/>
        </w:rPr>
        <w:drawing>
          <wp:inline distT="0" distB="0" distL="0" distR="0" wp14:anchorId="63D07194" wp14:editId="16EBF092">
            <wp:extent cx="5760720" cy="3414811"/>
            <wp:effectExtent l="0" t="0" r="0" b="0"/>
            <wp:docPr id="12" name="Obraz 12" descr="Województwo podkarpackie w tym Rzeszowski Obszar Funkcjonalny. Wskaźnik WDDT poniżej 10 obszar Bieszczad, od 10 do 20 okolice powiatów: jasielskiego, brzozowskiego, leskiego, przemyskiego, lubaczowskiego. Od 20 do 30 okolice powiatów: jasielskiego, strzyżowskiego, brzozowskiego, rzeszowskiego, łańcuckiego, przeworskiego, jarosławskiego, leżajskiego, stalowolskiego, tarnobrzeskiego. Od 30 do 40 okolice powiatów: dębickiego, mieleckiego, kolbuszowskiego, ropczycko-sędziszowskiego, rzeszowskiego, niżańskiego, łańcuckiego. Od 50 do 60 okolice powiatów: rzeszowskiego, na granicy powiatu dębickiego i ropczycko-sędziszowskiego." title="Rysunek 10 Stan drogowej dostępności krajowej (WDDT osobowy) w województwie podkarpackim w 2023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3414811"/>
                    </a:xfrm>
                    <a:prstGeom prst="rect">
                      <a:avLst/>
                    </a:prstGeom>
                    <a:noFill/>
                    <a:ln>
                      <a:noFill/>
                    </a:ln>
                  </pic:spPr>
                </pic:pic>
              </a:graphicData>
            </a:graphic>
          </wp:inline>
        </w:drawing>
      </w:r>
    </w:p>
    <w:p w14:paraId="357309B3" w14:textId="4EE14F47" w:rsidR="00882E7B" w:rsidRPr="009B78DA" w:rsidRDefault="00882E7B" w:rsidP="0091359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T. Komornicki, P. Rosik, P. Duma, S. Goliszek, B. Szejgiec-Kolenda, Raport końcowy. </w:t>
      </w:r>
      <w:r w:rsidRPr="009B78DA">
        <w:rPr>
          <w:rFonts w:ascii="Arial" w:hAnsi="Arial" w:cs="Arial"/>
          <w:i/>
          <w:color w:val="000000" w:themeColor="text1"/>
          <w:sz w:val="22"/>
          <w:szCs w:val="22"/>
        </w:rPr>
        <w:t>Rozwój transportu w województwie podkarpackim w perspektywie do 2030</w:t>
      </w:r>
      <w:r w:rsidRPr="009B78DA">
        <w:rPr>
          <w:rFonts w:ascii="Arial" w:hAnsi="Arial" w:cs="Arial"/>
          <w:color w:val="000000" w:themeColor="text1"/>
          <w:sz w:val="22"/>
          <w:szCs w:val="22"/>
        </w:rPr>
        <w:t>, Instytut Geografii i Przestrzennego Zagospodarowania im. Stanisława Leszczyckiego, Polska Akademia Nauk, Warszawa 2020.</w:t>
      </w:r>
    </w:p>
    <w:p w14:paraId="09CF8D78" w14:textId="77777777" w:rsidR="00895069" w:rsidRPr="009B78DA" w:rsidRDefault="00895069" w:rsidP="00913590">
      <w:pPr>
        <w:pStyle w:val="Akapitzlist"/>
        <w:numPr>
          <w:ilvl w:val="0"/>
          <w:numId w:val="25"/>
        </w:numPr>
        <w:spacing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Istotnym potencjałem rozwojowym umożliwiającym poprawę dostępności zewnętrznej regionu jest integralność z bazową i kompleksową transeuropejską siecią transportową (TEN-T).</w:t>
      </w:r>
    </w:p>
    <w:p w14:paraId="7A72F448" w14:textId="14302518" w:rsidR="00895069" w:rsidRPr="009B78DA" w:rsidRDefault="00895069" w:rsidP="00913590">
      <w:pPr>
        <w:pStyle w:val="Akapitzlist"/>
        <w:numPr>
          <w:ilvl w:val="0"/>
          <w:numId w:val="25"/>
        </w:numPr>
        <w:spacing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Największą dostępność zewnętrzną posiadają obszary położone wzdłuż przebiegu autostrady A4 na kierunku wschód-zachód.</w:t>
      </w:r>
    </w:p>
    <w:p w14:paraId="1B4EF7AD" w14:textId="517F97F4" w:rsidR="000770FD" w:rsidRPr="009B78DA" w:rsidRDefault="000770FD" w:rsidP="00913590">
      <w:pPr>
        <w:pStyle w:val="Legenda"/>
        <w:keepNext/>
        <w:spacing w:line="276" w:lineRule="auto"/>
        <w:rPr>
          <w:rFonts w:ascii="Arial" w:hAnsi="Arial" w:cs="Arial"/>
          <w:b/>
          <w:i w:val="0"/>
          <w:color w:val="000000" w:themeColor="text1"/>
          <w:sz w:val="22"/>
          <w:szCs w:val="22"/>
        </w:rPr>
      </w:pPr>
      <w:bookmarkStart w:id="78" w:name="_Toc146785640"/>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Zmiany krajowej, drogowej dostępności (WDDT) osobowej w województwie podkarpackim w wyniku inwestycji drogowych w latach 2013-2023</w:t>
      </w:r>
      <w:bookmarkEnd w:id="78"/>
    </w:p>
    <w:p w14:paraId="334B2747" w14:textId="7D2D89BF" w:rsidR="00770C57" w:rsidRPr="009B78DA" w:rsidRDefault="00770C57" w:rsidP="00770C57">
      <w:pPr>
        <w:spacing w:line="276" w:lineRule="auto"/>
        <w:jc w:val="both"/>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570A650A" wp14:editId="2BB04936">
            <wp:extent cx="5200650" cy="3127375"/>
            <wp:effectExtent l="0" t="0" r="0" b="0"/>
            <wp:docPr id="53" name="Obraz 53" descr="W latach 2013-2017 wskaźnik WDDT w południowej części województwa podkarpackiego wynosił od 0 do 20. W wschodniej części województwa od 10 do 30, w środkowej części od 15 do 50, w zachodniej od 0 do 30, w północnej części od 0 do 20. W latach 2017-2023 wskaźnik WDDT w południowej części województwa podkarpackiego wynosił od 15 do 50. W wschodniej części województwa od 10 do 30, w środkowej części od 15 do 30, w zachodniej od 5 do 15, w północnej części od 20 do 50." title="Rysunek 11 Zmiany krajowej, drogowej dostępności (WDDT) osobowej w województwie podkarpackim w wyniku inwestycji drogowych w latach 2013-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00650" cy="3127375"/>
                    </a:xfrm>
                    <a:prstGeom prst="rect">
                      <a:avLst/>
                    </a:prstGeom>
                    <a:noFill/>
                  </pic:spPr>
                </pic:pic>
              </a:graphicData>
            </a:graphic>
          </wp:inline>
        </w:drawing>
      </w:r>
    </w:p>
    <w:p w14:paraId="2DDAEDFF" w14:textId="0285417B" w:rsidR="00770C57" w:rsidRPr="009B78DA" w:rsidRDefault="00770C57" w:rsidP="0091359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T. Komornicki, P. Rosik, P. Duma, S. Goliszek, B. Szejgiec-Kolenda, Raport końcowy. </w:t>
      </w:r>
      <w:r w:rsidRPr="009B78DA">
        <w:rPr>
          <w:rFonts w:ascii="Arial" w:hAnsi="Arial" w:cs="Arial"/>
          <w:i/>
          <w:color w:val="000000" w:themeColor="text1"/>
          <w:sz w:val="22"/>
          <w:szCs w:val="22"/>
        </w:rPr>
        <w:t>Rozwój transportu w województwie podkarpackim w perspektywie do 2030</w:t>
      </w:r>
      <w:r w:rsidRPr="009B78DA">
        <w:rPr>
          <w:rFonts w:ascii="Arial" w:hAnsi="Arial" w:cs="Arial"/>
          <w:color w:val="000000" w:themeColor="text1"/>
          <w:sz w:val="22"/>
          <w:szCs w:val="22"/>
        </w:rPr>
        <w:t>, Instytut Geografii i Przestrzennego Zagospodarowania im. Stanisława Leszczyckiego, Polska Akademia Nauk, Warszawa 2020.</w:t>
      </w:r>
    </w:p>
    <w:p w14:paraId="27125722" w14:textId="77777777" w:rsidR="00895069" w:rsidRPr="009B78DA" w:rsidRDefault="00895069" w:rsidP="00913590">
      <w:pPr>
        <w:pStyle w:val="Akapitzlist"/>
        <w:numPr>
          <w:ilvl w:val="0"/>
          <w:numId w:val="25"/>
        </w:numPr>
        <w:spacing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Znacznie lepszą dostępnością zewnętrzną w stosunku do pozostałych obszarów posiada północno-zachodnia część województwa, gdzie znajdują się obszary funkcjonalne Mielec czy Tarnobrzeg.</w:t>
      </w:r>
    </w:p>
    <w:p w14:paraId="05A57943" w14:textId="77777777" w:rsidR="00895069" w:rsidRPr="009B78DA" w:rsidRDefault="00895069" w:rsidP="00913590">
      <w:pPr>
        <w:pStyle w:val="Akapitzlist"/>
        <w:numPr>
          <w:ilvl w:val="0"/>
          <w:numId w:val="25"/>
        </w:numPr>
        <w:spacing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Najniższa dostępność występuje na wschodzie województwa wzdłuż granicy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z Ukrainą, w Bieszczadach i na obszarach pogórzy Dynowskiego i Przemyskiego</w:t>
      </w:r>
      <w:r w:rsidR="00DB70D8" w:rsidRPr="009B78DA">
        <w:rPr>
          <w:rFonts w:ascii="Arial" w:hAnsi="Arial" w:cs="Arial"/>
          <w:color w:val="000000" w:themeColor="text1"/>
          <w:sz w:val="22"/>
          <w:szCs w:val="22"/>
        </w:rPr>
        <w:t xml:space="preserve"> (gdzie znajdują się obszary o wysokim potencjale turystycznym)</w:t>
      </w:r>
      <w:r w:rsidRPr="009B78DA">
        <w:rPr>
          <w:rFonts w:ascii="Arial" w:hAnsi="Arial" w:cs="Arial"/>
          <w:color w:val="000000" w:themeColor="text1"/>
          <w:sz w:val="22"/>
          <w:szCs w:val="22"/>
        </w:rPr>
        <w:t>.</w:t>
      </w:r>
    </w:p>
    <w:p w14:paraId="3829C4E0" w14:textId="73E5E52E" w:rsidR="00895069" w:rsidRPr="009B78DA" w:rsidRDefault="00895069" w:rsidP="00913590">
      <w:pPr>
        <w:pStyle w:val="Akapitzlist"/>
        <w:numPr>
          <w:ilvl w:val="0"/>
          <w:numId w:val="25"/>
        </w:numPr>
        <w:spacing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Inwestycją o największym znaczeniu dla poprawy dostępności zewnętrznej województwa jest budowa drogi ekspresowej S19, a zwłaszcza dla obszarów na osi północ-południe wzdłuż całego korytarza. Inwestycja ta jest szczególnie istotna pod kątem połączenia województwa z Lubl</w:t>
      </w:r>
      <w:r w:rsidR="00913590">
        <w:rPr>
          <w:rFonts w:ascii="Arial" w:hAnsi="Arial" w:cs="Arial"/>
          <w:color w:val="000000" w:themeColor="text1"/>
          <w:sz w:val="22"/>
          <w:szCs w:val="22"/>
        </w:rPr>
        <w:t>inem, Warszawą czy ze Słowacją.</w:t>
      </w:r>
    </w:p>
    <w:p w14:paraId="35728E6E" w14:textId="387ADE3A" w:rsidR="00B464EE" w:rsidRPr="009B78DA" w:rsidRDefault="001C26D9" w:rsidP="00913590">
      <w:pPr>
        <w:pStyle w:val="Akapitzlist"/>
        <w:numPr>
          <w:ilvl w:val="0"/>
          <w:numId w:val="25"/>
        </w:numPr>
        <w:spacing w:line="276" w:lineRule="auto"/>
        <w:ind w:left="714" w:hanging="357"/>
        <w:rPr>
          <w:rFonts w:ascii="Arial" w:hAnsi="Arial" w:cs="Arial"/>
          <w:color w:val="000000" w:themeColor="text1"/>
          <w:sz w:val="22"/>
          <w:szCs w:val="22"/>
        </w:rPr>
      </w:pPr>
      <w:bookmarkStart w:id="79" w:name="_Hlk76100167"/>
      <w:r w:rsidRPr="009B78DA">
        <w:rPr>
          <w:rFonts w:ascii="Arial" w:hAnsi="Arial" w:cs="Arial"/>
          <w:color w:val="000000" w:themeColor="text1"/>
          <w:sz w:val="22"/>
          <w:szCs w:val="22"/>
        </w:rPr>
        <w:t>Pozytywnie na dostępność zewnętrzną zwłaszcza południowo-zachodnich powiatów wpły</w:t>
      </w:r>
      <w:r w:rsidR="002D5D65" w:rsidRPr="009B78DA">
        <w:rPr>
          <w:rFonts w:ascii="Arial" w:hAnsi="Arial" w:cs="Arial"/>
          <w:color w:val="000000" w:themeColor="text1"/>
          <w:sz w:val="22"/>
          <w:szCs w:val="22"/>
        </w:rPr>
        <w:t>nąć może</w:t>
      </w:r>
      <w:r w:rsidRPr="009B78DA">
        <w:rPr>
          <w:rFonts w:ascii="Arial" w:hAnsi="Arial" w:cs="Arial"/>
          <w:color w:val="000000" w:themeColor="text1"/>
          <w:sz w:val="22"/>
          <w:szCs w:val="22"/>
        </w:rPr>
        <w:t xml:space="preserve"> realizacja inwestycji o parametrach </w:t>
      </w:r>
      <w:r w:rsidR="002A2B28" w:rsidRPr="009B78DA">
        <w:rPr>
          <w:rFonts w:ascii="Arial" w:hAnsi="Arial" w:cs="Arial"/>
          <w:color w:val="000000" w:themeColor="text1"/>
          <w:sz w:val="22"/>
          <w:szCs w:val="22"/>
        </w:rPr>
        <w:t xml:space="preserve">dróg </w:t>
      </w:r>
      <w:r w:rsidRPr="009B78DA">
        <w:rPr>
          <w:rFonts w:ascii="Arial" w:hAnsi="Arial" w:cs="Arial"/>
          <w:color w:val="000000" w:themeColor="text1"/>
          <w:sz w:val="22"/>
          <w:szCs w:val="22"/>
        </w:rPr>
        <w:t xml:space="preserve">ekspresowych w ciągu zbliżonym do </w:t>
      </w:r>
      <w:r w:rsidR="002A2B28" w:rsidRPr="009B78DA">
        <w:rPr>
          <w:rFonts w:ascii="Arial" w:hAnsi="Arial" w:cs="Arial"/>
          <w:color w:val="000000" w:themeColor="text1"/>
          <w:sz w:val="22"/>
          <w:szCs w:val="22"/>
        </w:rPr>
        <w:t>DK</w:t>
      </w:r>
      <w:r w:rsidRPr="009B78DA">
        <w:rPr>
          <w:rFonts w:ascii="Arial" w:hAnsi="Arial" w:cs="Arial"/>
          <w:color w:val="000000" w:themeColor="text1"/>
          <w:sz w:val="22"/>
          <w:szCs w:val="22"/>
        </w:rPr>
        <w:t xml:space="preserve">73 i </w:t>
      </w:r>
      <w:r w:rsidR="002A2B28" w:rsidRPr="009B78DA">
        <w:rPr>
          <w:rFonts w:ascii="Arial" w:hAnsi="Arial" w:cs="Arial"/>
          <w:color w:val="000000" w:themeColor="text1"/>
          <w:sz w:val="22"/>
          <w:szCs w:val="22"/>
        </w:rPr>
        <w:t>DK</w:t>
      </w:r>
      <w:r w:rsidRPr="009B78DA">
        <w:rPr>
          <w:rFonts w:ascii="Arial" w:hAnsi="Arial" w:cs="Arial"/>
          <w:color w:val="000000" w:themeColor="text1"/>
          <w:sz w:val="22"/>
          <w:szCs w:val="22"/>
        </w:rPr>
        <w:t xml:space="preserve">28 pomiędzy </w:t>
      </w:r>
      <w:r w:rsidR="00D41BA1" w:rsidRPr="009B78DA">
        <w:rPr>
          <w:rFonts w:ascii="Arial" w:hAnsi="Arial" w:cs="Arial"/>
          <w:color w:val="000000" w:themeColor="text1"/>
          <w:sz w:val="22"/>
          <w:szCs w:val="22"/>
        </w:rPr>
        <w:t xml:space="preserve">postulowanym </w:t>
      </w:r>
      <w:r w:rsidRPr="009B78DA">
        <w:rPr>
          <w:rFonts w:ascii="Arial" w:hAnsi="Arial" w:cs="Arial"/>
          <w:color w:val="000000" w:themeColor="text1"/>
          <w:sz w:val="22"/>
          <w:szCs w:val="22"/>
        </w:rPr>
        <w:t xml:space="preserve">węzłem na autostradzie A4 Pilzno a Sanokiem. Odcinek ten będzie uzupełnieniem układu drogowego, stanowiącym połączenie z obszarem Europy </w:t>
      </w:r>
      <w:r w:rsidR="00EF272D" w:rsidRPr="009B78DA">
        <w:rPr>
          <w:rFonts w:ascii="Arial" w:hAnsi="Arial" w:cs="Arial"/>
          <w:color w:val="000000" w:themeColor="text1"/>
          <w:sz w:val="22"/>
          <w:szCs w:val="22"/>
        </w:rPr>
        <w:t>Zachodniej</w:t>
      </w:r>
      <w:r w:rsidR="008E63EF">
        <w:rPr>
          <w:rFonts w:ascii="Arial" w:hAnsi="Arial" w:cs="Arial"/>
          <w:color w:val="000000" w:themeColor="text1"/>
          <w:sz w:val="22"/>
          <w:szCs w:val="22"/>
        </w:rPr>
        <w:t>.</w:t>
      </w:r>
    </w:p>
    <w:p w14:paraId="36DD7EDC" w14:textId="77777777" w:rsidR="00D25CDC" w:rsidRPr="009B78DA" w:rsidRDefault="00EF272D" w:rsidP="00913590">
      <w:pPr>
        <w:pStyle w:val="Akapitzlist"/>
        <w:numPr>
          <w:ilvl w:val="0"/>
          <w:numId w:val="26"/>
        </w:numPr>
        <w:spacing w:line="276" w:lineRule="auto"/>
        <w:ind w:left="714" w:hanging="357"/>
        <w:rPr>
          <w:rFonts w:ascii="Arial" w:hAnsi="Arial" w:cs="Arial"/>
          <w:color w:val="000000" w:themeColor="text1"/>
          <w:sz w:val="22"/>
          <w:szCs w:val="22"/>
        </w:rPr>
      </w:pPr>
      <w:bookmarkStart w:id="80" w:name="_Hlk92554076"/>
      <w:bookmarkEnd w:id="79"/>
      <w:r w:rsidRPr="009B78DA">
        <w:rPr>
          <w:rFonts w:ascii="Arial" w:hAnsi="Arial" w:cs="Arial"/>
          <w:color w:val="000000" w:themeColor="text1"/>
          <w:sz w:val="22"/>
          <w:szCs w:val="22"/>
        </w:rPr>
        <w:t xml:space="preserve">Realizacja drogi S74 wpłynie na poprawę dostępności powiatów północnych województwa, </w:t>
      </w:r>
      <w:r w:rsidR="00D41BA1" w:rsidRPr="009B78DA">
        <w:rPr>
          <w:rFonts w:ascii="Arial" w:hAnsi="Arial" w:cs="Arial"/>
          <w:color w:val="000000" w:themeColor="text1"/>
          <w:sz w:val="22"/>
          <w:szCs w:val="22"/>
        </w:rPr>
        <w:t>będzie ona miała również duże znaczenie dla dostępności do centralnej Polski</w:t>
      </w:r>
      <w:r w:rsidR="00087654" w:rsidRPr="009B78DA">
        <w:rPr>
          <w:rFonts w:ascii="Arial" w:hAnsi="Arial" w:cs="Arial"/>
          <w:color w:val="000000" w:themeColor="text1"/>
          <w:sz w:val="22"/>
          <w:szCs w:val="22"/>
        </w:rPr>
        <w:t xml:space="preserve"> i</w:t>
      </w:r>
      <w:r w:rsidR="00D41BA1" w:rsidRPr="009B78DA">
        <w:rPr>
          <w:rFonts w:ascii="Arial" w:hAnsi="Arial" w:cs="Arial"/>
          <w:color w:val="000000" w:themeColor="text1"/>
          <w:sz w:val="22"/>
          <w:szCs w:val="22"/>
        </w:rPr>
        <w:t xml:space="preserve"> CPK.</w:t>
      </w:r>
    </w:p>
    <w:p w14:paraId="413E5FBE" w14:textId="77777777" w:rsidR="00D25CDC" w:rsidRPr="009B78DA" w:rsidRDefault="00D25CDC" w:rsidP="00913590">
      <w:pPr>
        <w:pStyle w:val="Akapitzlist"/>
        <w:numPr>
          <w:ilvl w:val="0"/>
          <w:numId w:val="26"/>
        </w:numPr>
        <w:spacing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Dostępność zewnętrzna kolejowa w porównaniu z innymi województwami jest stosunkowo niska. </w:t>
      </w:r>
    </w:p>
    <w:p w14:paraId="1306D412" w14:textId="15ED3CD2" w:rsidR="00D25CDC" w:rsidRPr="009B78DA" w:rsidRDefault="00D25CDC" w:rsidP="00913590">
      <w:pPr>
        <w:pStyle w:val="Akapitzlist"/>
        <w:numPr>
          <w:ilvl w:val="0"/>
          <w:numId w:val="26"/>
        </w:numPr>
        <w:spacing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Niska dostępność kolejowa regionu wynika z układu geograficznego, uwarunkowań historycznych przebiegu ciągów komunikacyjnych oraz ograniczonych działań rewitalizacyjnych na poszczególnych odcinkach.</w:t>
      </w:r>
    </w:p>
    <w:p w14:paraId="78D0BD4C" w14:textId="52000225" w:rsidR="000770FD" w:rsidRPr="009B78DA" w:rsidRDefault="000770FD" w:rsidP="00913590">
      <w:pPr>
        <w:spacing w:line="276" w:lineRule="auto"/>
        <w:rPr>
          <w:rFonts w:ascii="Arial" w:hAnsi="Arial" w:cs="Arial"/>
          <w:iCs/>
          <w:color w:val="000000" w:themeColor="text1"/>
          <w:sz w:val="22"/>
          <w:szCs w:val="22"/>
        </w:rPr>
      </w:pPr>
      <w:bookmarkStart w:id="81" w:name="_Toc146785641"/>
      <w:r w:rsidRPr="009B78DA">
        <w:rPr>
          <w:rFonts w:ascii="Arial" w:hAnsi="Arial" w:cs="Arial"/>
          <w:b/>
          <w:color w:val="000000" w:themeColor="text1"/>
          <w:sz w:val="22"/>
          <w:szCs w:val="22"/>
        </w:rPr>
        <w:t xml:space="preserve">Rysunek </w:t>
      </w:r>
      <w:r w:rsidRPr="009B78DA">
        <w:rPr>
          <w:rFonts w:ascii="Arial" w:hAnsi="Arial" w:cs="Arial"/>
          <w:b/>
          <w:color w:val="000000" w:themeColor="text1"/>
          <w:sz w:val="22"/>
          <w:szCs w:val="22"/>
        </w:rPr>
        <w:fldChar w:fldCharType="begin"/>
      </w:r>
      <w:r w:rsidRPr="009B78DA">
        <w:rPr>
          <w:rFonts w:ascii="Arial" w:hAnsi="Arial" w:cs="Arial"/>
          <w:b/>
          <w:color w:val="000000" w:themeColor="text1"/>
          <w:sz w:val="22"/>
          <w:szCs w:val="22"/>
        </w:rPr>
        <w:instrText xml:space="preserve"> SEQ Rysunek_ \* ARABIC </w:instrText>
      </w:r>
      <w:r w:rsidRPr="009B78DA">
        <w:rPr>
          <w:rFonts w:ascii="Arial" w:hAnsi="Arial" w:cs="Arial"/>
          <w:b/>
          <w:color w:val="000000" w:themeColor="text1"/>
          <w:sz w:val="22"/>
          <w:szCs w:val="22"/>
        </w:rPr>
        <w:fldChar w:fldCharType="separate"/>
      </w:r>
      <w:r w:rsidR="007403DE">
        <w:rPr>
          <w:rFonts w:ascii="Arial" w:hAnsi="Arial" w:cs="Arial"/>
          <w:b/>
          <w:noProof/>
          <w:color w:val="000000" w:themeColor="text1"/>
          <w:sz w:val="22"/>
          <w:szCs w:val="22"/>
        </w:rPr>
        <w:t>12</w:t>
      </w:r>
      <w:r w:rsidRPr="009B78DA">
        <w:rPr>
          <w:rFonts w:ascii="Arial" w:hAnsi="Arial" w:cs="Arial"/>
          <w:b/>
          <w:color w:val="000000" w:themeColor="text1"/>
          <w:sz w:val="22"/>
          <w:szCs w:val="22"/>
        </w:rPr>
        <w:fldChar w:fldCharType="end"/>
      </w:r>
      <w:r w:rsidRPr="009B78DA">
        <w:rPr>
          <w:rFonts w:ascii="Arial" w:hAnsi="Arial" w:cs="Arial"/>
          <w:color w:val="000000" w:themeColor="text1"/>
          <w:sz w:val="22"/>
          <w:szCs w:val="22"/>
        </w:rPr>
        <w:t xml:space="preserve"> </w:t>
      </w:r>
      <w:r w:rsidRPr="009B78DA">
        <w:rPr>
          <w:rFonts w:ascii="Arial" w:hAnsi="Arial" w:cs="Arial"/>
          <w:iCs/>
          <w:color w:val="000000" w:themeColor="text1"/>
          <w:sz w:val="22"/>
          <w:szCs w:val="22"/>
        </w:rPr>
        <w:t>Stan kolejowej dostępności krajowej (WKDT pasażerski) w województwie podkarpackim w 2023 r.</w:t>
      </w:r>
      <w:bookmarkEnd w:id="81"/>
    </w:p>
    <w:p w14:paraId="031F8A32" w14:textId="4478E76B" w:rsidR="00882E7B" w:rsidRPr="009B78DA" w:rsidRDefault="00882E7B" w:rsidP="003B4F15">
      <w:pPr>
        <w:spacing w:line="276" w:lineRule="auto"/>
        <w:jc w:val="both"/>
        <w:rPr>
          <w:rFonts w:ascii="Arial" w:hAnsi="Arial" w:cs="Arial"/>
          <w:color w:val="000000" w:themeColor="text1"/>
          <w:sz w:val="22"/>
          <w:szCs w:val="22"/>
        </w:rPr>
      </w:pPr>
      <w:r w:rsidRPr="009B78DA">
        <w:rPr>
          <w:noProof/>
          <w:color w:val="000000" w:themeColor="text1"/>
        </w:rPr>
        <w:drawing>
          <wp:inline distT="0" distB="0" distL="0" distR="0" wp14:anchorId="7A3ACB0C" wp14:editId="7E266C7B">
            <wp:extent cx="5229225" cy="2850743"/>
            <wp:effectExtent l="0" t="0" r="0" b="6985"/>
            <wp:docPr id="1" name="Obraz 1" descr="Województwo podkarpackie w tym Rzeszowski Obszar Funkcjonalny. Wskaźnik WKDT poniżej 10 obszar Bieszczad, ok powiatu brzozowskiego i lubaczowskiego. Od 10 do 20 okolice powiatów: jasielskiego, krośnieńskiego, brzozowskiego, przemyskiego, lubaczowskiego. Od 20 do 30 okolice powiatów: strzyżowskiego, brzozowskiego, przemyskiego, niżańskiego. Od 30 do 40 okolice powiatów: rzeszowskiego, łańcuckiego, przeworskiego, stalowolskiego, tarnobrzeskiego, dębickiego, ropczycko-sędziszowskiego. Od 40 do 50 okolice powiatów: rzeszowskiego, dębickiego, ropczycko-sędziszowskiego, stalowolskiego. Od 50 do 60 okolice w powiece dębickim i ropczycko-sędziszowskim " title="Rysunek 12 Stan kolejowej dostępności krajowej (WKDT pasażerski) w województwie podkarpackim w 2023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48111" cy="2861039"/>
                    </a:xfrm>
                    <a:prstGeom prst="rect">
                      <a:avLst/>
                    </a:prstGeom>
                    <a:noFill/>
                    <a:ln>
                      <a:noFill/>
                    </a:ln>
                  </pic:spPr>
                </pic:pic>
              </a:graphicData>
            </a:graphic>
          </wp:inline>
        </w:drawing>
      </w:r>
    </w:p>
    <w:p w14:paraId="4480B570" w14:textId="12C84B76" w:rsidR="009D7E94" w:rsidRDefault="00882E7B" w:rsidP="009D7E94">
      <w:pPr>
        <w:spacing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T. Komornicki, P. Rosik, P. Duma, S. Goliszek, B. Szejgiec-Kolenda, Raport końcowy. </w:t>
      </w:r>
      <w:r w:rsidRPr="009B78DA">
        <w:rPr>
          <w:rFonts w:ascii="Arial" w:hAnsi="Arial" w:cs="Arial"/>
          <w:i/>
          <w:color w:val="000000" w:themeColor="text1"/>
          <w:sz w:val="22"/>
          <w:szCs w:val="22"/>
        </w:rPr>
        <w:t>Rozwój transportu w województwie podkarpackim w perspektywie do 2030</w:t>
      </w:r>
      <w:r w:rsidRPr="009B78DA">
        <w:rPr>
          <w:rFonts w:ascii="Arial" w:hAnsi="Arial" w:cs="Arial"/>
          <w:color w:val="000000" w:themeColor="text1"/>
          <w:sz w:val="22"/>
          <w:szCs w:val="22"/>
        </w:rPr>
        <w:t>, Instytut Geografii i Przestrzennego Zagospodarowania im. Stanisława Leszczyckiego, Polska Akademia Nauk, Warszawa 2020.</w:t>
      </w:r>
    </w:p>
    <w:p w14:paraId="7EFC109E" w14:textId="7F32A36A" w:rsidR="000770FD" w:rsidRPr="009B78DA" w:rsidRDefault="000770FD" w:rsidP="00913590">
      <w:pPr>
        <w:pStyle w:val="Legenda"/>
        <w:keepNext/>
        <w:rPr>
          <w:rFonts w:ascii="Arial" w:hAnsi="Arial" w:cs="Arial"/>
          <w:i w:val="0"/>
          <w:color w:val="000000" w:themeColor="text1"/>
          <w:sz w:val="22"/>
          <w:szCs w:val="22"/>
        </w:rPr>
      </w:pPr>
      <w:bookmarkStart w:id="82" w:name="_Toc146785642"/>
      <w:bookmarkEnd w:id="80"/>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bookmarkStart w:id="83" w:name="_Hlk146106453"/>
      <w:r w:rsidRPr="009B78DA">
        <w:rPr>
          <w:rFonts w:ascii="Arial" w:hAnsi="Arial" w:cs="Arial"/>
          <w:i w:val="0"/>
          <w:color w:val="000000" w:themeColor="text1"/>
          <w:sz w:val="22"/>
          <w:szCs w:val="22"/>
        </w:rPr>
        <w:t>Zmiany kolejowej dostępności krajowej (WKDT pasażerski) w województwie podkarpackim w latach 2013-2023</w:t>
      </w:r>
      <w:bookmarkEnd w:id="82"/>
    </w:p>
    <w:bookmarkEnd w:id="83"/>
    <w:p w14:paraId="42795F28" w14:textId="54A953F5" w:rsidR="00770C57" w:rsidRPr="009B78DA" w:rsidRDefault="00770C57" w:rsidP="00770C57">
      <w:pPr>
        <w:spacing w:line="276" w:lineRule="auto"/>
        <w:jc w:val="both"/>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528A65D" wp14:editId="051CF6E2">
            <wp:extent cx="4371975" cy="2624199"/>
            <wp:effectExtent l="0" t="0" r="0" b="5080"/>
            <wp:docPr id="100" name="Obraz 100" descr="W latach 2013-2017 wskaźnik WKDT w południowo-wschodniej części województwa podkarpackiego wynosił 50, w części południowo-zachodniej 30, w wschodniej części 30, w środkowej od 30 do 50, w zachodniej 50, w północno-wschodniej od 10 do 30, w północnej od 20 do 30, w północno-zachodniej od 20 do 30. W latach 2017-2023 wskaźnik WKDT w południowo-wschodniej części województwa podkarpackiego wynosił od 50 do 75, w części południowo-zachodniej od 20 do 50, w wschodniej części od 10 do 30, w środkowej od 20 do 30, w zachodniej 30, w północno-wschodniej od 10 do 20, w północnej od 5 do 50, w północno-zachodniej od 30 do 50. " title="Rysunek 13 Zmiany kolejowej dostępności krajowej (WKDT pasażerski) w województwie podkarpackim w latach 2013-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30751" cy="2659478"/>
                    </a:xfrm>
                    <a:prstGeom prst="rect">
                      <a:avLst/>
                    </a:prstGeom>
                    <a:noFill/>
                  </pic:spPr>
                </pic:pic>
              </a:graphicData>
            </a:graphic>
          </wp:inline>
        </w:drawing>
      </w:r>
    </w:p>
    <w:p w14:paraId="759944A9" w14:textId="13C876F3" w:rsidR="00770C57" w:rsidRPr="009B78DA" w:rsidRDefault="00770C57" w:rsidP="009D7E94">
      <w:pPr>
        <w:spacing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T. Komornicki, P. Rosik, P. Duma, S. Goliszek, B. Szejgiec-Kolenda, Raport końcowy. </w:t>
      </w:r>
      <w:r w:rsidRPr="009B78DA">
        <w:rPr>
          <w:rFonts w:ascii="Arial" w:hAnsi="Arial" w:cs="Arial"/>
          <w:i/>
          <w:color w:val="000000" w:themeColor="text1"/>
          <w:sz w:val="22"/>
          <w:szCs w:val="22"/>
        </w:rPr>
        <w:t>Rozwój transportu w województwie podkarpackim w perspektywie do 2030</w:t>
      </w:r>
      <w:r w:rsidRPr="009B78DA">
        <w:rPr>
          <w:rFonts w:ascii="Arial" w:hAnsi="Arial" w:cs="Arial"/>
          <w:color w:val="000000" w:themeColor="text1"/>
          <w:sz w:val="22"/>
          <w:szCs w:val="22"/>
        </w:rPr>
        <w:t>, Instytut Geografii i Przestrzennego Zagospodarowania im. Stanisława Leszczyckiego, Polska Akademia Nauk, Warszawa 2020.</w:t>
      </w:r>
    </w:p>
    <w:p w14:paraId="5841E724" w14:textId="77777777" w:rsidR="00EF272D" w:rsidRPr="009B78DA" w:rsidRDefault="00EF272D" w:rsidP="009D7E94">
      <w:pPr>
        <w:pStyle w:val="Akapitzlist"/>
        <w:numPr>
          <w:ilvl w:val="0"/>
          <w:numId w:val="26"/>
        </w:numPr>
        <w:spacing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Największą dostępnością zewnętrzną charakteryzują się obszary położone wzdłuż linii kolejowej nr 91 (E30) o znaczeniu międzynarodowym będącej elementem kolejowej sieci bazowej TEN-T na osi wschód-zachód oraz te, które są zlokalizowane na północnym-zachodzie województwa.</w:t>
      </w:r>
    </w:p>
    <w:p w14:paraId="734D3B4C" w14:textId="1C388688" w:rsidR="00EF272D" w:rsidRPr="009B78DA" w:rsidRDefault="00EF272D" w:rsidP="009D7E94">
      <w:pPr>
        <w:pStyle w:val="Akapitzlist"/>
        <w:numPr>
          <w:ilvl w:val="0"/>
          <w:numId w:val="26"/>
        </w:numPr>
        <w:spacing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Duże znaczenie dla poprawy zewnętrznej dostępności kolejowej regionu będzie miało wykonanie prac inwestycyjnych na odcinkach linii kolejowych Rzeszów-Tarnobrzeg, Rzeszów-Jasło i Jasło-Zagórz. Dzięki tym działaniom zwiększy się poziom dostępności terenów północno-zachodnich województwa zwłaszcza w połączeniu </w:t>
      </w:r>
      <w:r w:rsidR="009D7E94">
        <w:rPr>
          <w:rFonts w:ascii="Arial" w:hAnsi="Arial" w:cs="Arial"/>
          <w:color w:val="000000" w:themeColor="text1"/>
          <w:sz w:val="22"/>
          <w:szCs w:val="22"/>
        </w:rPr>
        <w:br/>
      </w:r>
      <w:r w:rsidRPr="009B78DA">
        <w:rPr>
          <w:rFonts w:ascii="Arial" w:hAnsi="Arial" w:cs="Arial"/>
          <w:color w:val="000000" w:themeColor="text1"/>
          <w:sz w:val="22"/>
          <w:szCs w:val="22"/>
        </w:rPr>
        <w:t>z Warszawą, a także tere</w:t>
      </w:r>
      <w:r w:rsidR="003F4ECB" w:rsidRPr="009B78DA">
        <w:rPr>
          <w:rFonts w:ascii="Arial" w:hAnsi="Arial" w:cs="Arial"/>
          <w:color w:val="000000" w:themeColor="text1"/>
          <w:sz w:val="22"/>
          <w:szCs w:val="22"/>
        </w:rPr>
        <w:t>nów południowej części regionu.</w:t>
      </w:r>
    </w:p>
    <w:p w14:paraId="6763F5CF" w14:textId="77777777" w:rsidR="003F4ECB" w:rsidRPr="009B78DA" w:rsidRDefault="003F4ECB" w:rsidP="009D7E94">
      <w:pPr>
        <w:pStyle w:val="Akapitzlist"/>
        <w:numPr>
          <w:ilvl w:val="0"/>
          <w:numId w:val="27"/>
        </w:numPr>
        <w:spacing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Najbardziej znaczącą rolę w transporcie lotniczym województwa odgrywa Port Lotniczy Rzeszów – Jasionka, któ</w:t>
      </w:r>
      <w:r w:rsidR="00F45E35" w:rsidRPr="009B78DA">
        <w:rPr>
          <w:rFonts w:ascii="Arial" w:hAnsi="Arial" w:cs="Arial"/>
          <w:color w:val="000000" w:themeColor="text1"/>
          <w:sz w:val="22"/>
          <w:szCs w:val="22"/>
        </w:rPr>
        <w:t xml:space="preserve">ry jest zintegrowany z krajową </w:t>
      </w:r>
      <w:r w:rsidRPr="009B78DA">
        <w:rPr>
          <w:rFonts w:ascii="Arial" w:hAnsi="Arial" w:cs="Arial"/>
          <w:color w:val="000000" w:themeColor="text1"/>
          <w:sz w:val="22"/>
          <w:szCs w:val="22"/>
        </w:rPr>
        <w:t>i międzynarodową siecią lotniczą.</w:t>
      </w:r>
    </w:p>
    <w:p w14:paraId="026C81A5" w14:textId="3F8DE0B4" w:rsidR="0010060F" w:rsidRPr="009D7E94" w:rsidRDefault="003F4ECB" w:rsidP="009D7E94">
      <w:pPr>
        <w:pStyle w:val="Akapitzlist"/>
        <w:numPr>
          <w:ilvl w:val="0"/>
          <w:numId w:val="27"/>
        </w:numPr>
        <w:spacing w:after="120"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Dużą część przewozów pasażerskich na lotnisku w Jasionce stanowią połączenia krajowe (Warszawa, Gdańsk, Szczecin), a mniejszą – międzynarodowe </w:t>
      </w:r>
      <w:r w:rsidR="009D7E94">
        <w:rPr>
          <w:rFonts w:ascii="Arial" w:hAnsi="Arial" w:cs="Arial"/>
          <w:color w:val="000000" w:themeColor="text1"/>
          <w:sz w:val="22"/>
          <w:szCs w:val="22"/>
        </w:rPr>
        <w:br/>
      </w:r>
      <w:r w:rsidRPr="009B78DA">
        <w:rPr>
          <w:rFonts w:ascii="Arial" w:hAnsi="Arial" w:cs="Arial"/>
          <w:color w:val="000000" w:themeColor="text1"/>
          <w:sz w:val="22"/>
          <w:szCs w:val="22"/>
        </w:rPr>
        <w:t>(12 kierunków w sześciu krajach, większość lotów odbywa się do Wielkiej Brytanii). Ponadto w okresie letnim funkcjonują też połączenia czarterowe.</w:t>
      </w:r>
      <w:r w:rsidR="00B12267" w:rsidRPr="009B78DA">
        <w:rPr>
          <w:rFonts w:ascii="Arial" w:hAnsi="Arial" w:cs="Arial"/>
          <w:color w:val="000000" w:themeColor="text1"/>
          <w:sz w:val="22"/>
          <w:szCs w:val="22"/>
        </w:rPr>
        <w:t xml:space="preserve"> </w:t>
      </w:r>
      <w:bookmarkStart w:id="84" w:name="_Hlk77831955"/>
      <w:r w:rsidR="00B12267" w:rsidRPr="009B78DA">
        <w:rPr>
          <w:rFonts w:ascii="Arial" w:hAnsi="Arial" w:cs="Arial"/>
          <w:color w:val="000000" w:themeColor="text1"/>
          <w:sz w:val="22"/>
          <w:szCs w:val="22"/>
        </w:rPr>
        <w:t>Bardzo ważne jest również połączenie z USA</w:t>
      </w:r>
      <w:bookmarkEnd w:id="84"/>
      <w:r w:rsidR="00EE2423" w:rsidRPr="009B78DA">
        <w:rPr>
          <w:rFonts w:ascii="Arial" w:hAnsi="Arial" w:cs="Arial"/>
          <w:color w:val="000000" w:themeColor="text1"/>
          <w:sz w:val="22"/>
          <w:szCs w:val="22"/>
        </w:rPr>
        <w:t xml:space="preserve">, </w:t>
      </w:r>
      <w:bookmarkStart w:id="85" w:name="_Hlk92697429"/>
      <w:r w:rsidR="00EE2423" w:rsidRPr="009B78DA">
        <w:rPr>
          <w:rFonts w:ascii="Arial" w:hAnsi="Arial" w:cs="Arial"/>
          <w:color w:val="000000" w:themeColor="text1"/>
          <w:sz w:val="22"/>
          <w:szCs w:val="22"/>
        </w:rPr>
        <w:t>ponadto w okresie wakacyjnym funkcjonują połączenia czarterowe.</w:t>
      </w:r>
      <w:bookmarkEnd w:id="85"/>
    </w:p>
    <w:p w14:paraId="46E3F2B6" w14:textId="77777777" w:rsidR="003F4ECB" w:rsidRPr="009B78DA" w:rsidRDefault="003F4ECB" w:rsidP="009D7E94">
      <w:pPr>
        <w:pStyle w:val="Akapitzlist"/>
        <w:numPr>
          <w:ilvl w:val="3"/>
          <w:numId w:val="24"/>
        </w:numPr>
        <w:spacing w:line="276" w:lineRule="auto"/>
        <w:ind w:left="1077" w:hanging="1077"/>
        <w:rPr>
          <w:rFonts w:ascii="Arial" w:hAnsi="Arial" w:cs="Arial"/>
          <w:b/>
          <w:color w:val="000000" w:themeColor="text1"/>
          <w:sz w:val="22"/>
          <w:szCs w:val="22"/>
        </w:rPr>
      </w:pPr>
      <w:r w:rsidRPr="009B78DA">
        <w:rPr>
          <w:rFonts w:ascii="Arial" w:hAnsi="Arial" w:cs="Arial"/>
          <w:b/>
          <w:color w:val="000000" w:themeColor="text1"/>
          <w:sz w:val="22"/>
          <w:szCs w:val="22"/>
        </w:rPr>
        <w:t>Dostępność zewnętrzna Rzeszowskiego Obszaru Funkcjonalnego</w:t>
      </w:r>
    </w:p>
    <w:p w14:paraId="7788963B" w14:textId="40F2364D" w:rsidR="00770C57" w:rsidRPr="009B78DA" w:rsidRDefault="003F4ECB" w:rsidP="009D7E94">
      <w:pPr>
        <w:pStyle w:val="Akapitzlist"/>
        <w:numPr>
          <w:ilvl w:val="0"/>
          <w:numId w:val="2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ROF posiada najlepsze połączenia drogowe z miastami usytuowanymi przy autostradzie A4 na osi wschód-zachód. Sytuacja uległa poprawie po oddaniu do użytku ostatniego odcinka Rzeszów Wschód – Jarosław Zachód w 2016 r., zwłaszcza </w:t>
      </w:r>
      <w:r w:rsidR="00C641A4" w:rsidRPr="009B78DA">
        <w:rPr>
          <w:rFonts w:ascii="Arial" w:hAnsi="Arial" w:cs="Arial"/>
          <w:color w:val="000000" w:themeColor="text1"/>
          <w:sz w:val="22"/>
          <w:szCs w:val="22"/>
        </w:rPr>
        <w:br/>
      </w:r>
      <w:r w:rsidRPr="009B78DA">
        <w:rPr>
          <w:rFonts w:ascii="Arial" w:hAnsi="Arial" w:cs="Arial"/>
          <w:color w:val="000000" w:themeColor="text1"/>
          <w:sz w:val="22"/>
          <w:szCs w:val="22"/>
        </w:rPr>
        <w:t>w kontekście powiązań z Ukrainą.</w:t>
      </w:r>
    </w:p>
    <w:p w14:paraId="6927B278" w14:textId="798B7EB3" w:rsidR="00770C57" w:rsidRPr="009B78DA" w:rsidRDefault="00770C57" w:rsidP="009D7E94">
      <w:pPr>
        <w:pStyle w:val="Akapitzlist"/>
        <w:numPr>
          <w:ilvl w:val="0"/>
          <w:numId w:val="2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Obecnie na odcinku łączącym Rzeszów z Warszawą istnieje rodzaj „wąskiego gardła” sieci transportowej. DK9 charakteryzuje się znacznym natężeniem ruchu, brakuje również bezpośredniego połączenia kolejowego.</w:t>
      </w:r>
    </w:p>
    <w:p w14:paraId="32F689D9" w14:textId="271A0ACE" w:rsidR="00770C57" w:rsidRPr="009B78DA" w:rsidRDefault="00770C57" w:rsidP="009D7E94">
      <w:pPr>
        <w:pStyle w:val="Akapitzlist"/>
        <w:numPr>
          <w:ilvl w:val="0"/>
          <w:numId w:val="2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Dostępność ROF ulegnie znaczącej poprawie po wybudowaniu wszystkich brakujących odcinków drogi ekspresowej S19 – zwłaszcza w powiązaniu </w:t>
      </w:r>
      <w:r w:rsidR="009D7E94">
        <w:rPr>
          <w:rFonts w:ascii="Arial" w:hAnsi="Arial" w:cs="Arial"/>
          <w:color w:val="000000" w:themeColor="text1"/>
          <w:sz w:val="22"/>
          <w:szCs w:val="22"/>
        </w:rPr>
        <w:br/>
      </w:r>
      <w:r w:rsidRPr="009B78DA">
        <w:rPr>
          <w:rFonts w:ascii="Arial" w:hAnsi="Arial" w:cs="Arial"/>
          <w:color w:val="000000" w:themeColor="text1"/>
          <w:sz w:val="22"/>
          <w:szCs w:val="22"/>
        </w:rPr>
        <w:t>z Warszawą, a także miastami położonymi w sąsiedztwie korytarza drogowego. Po zrealizowaniu inwestycji czas przejazdu z ROF-u do Lublina czy Warszawy ulegnie znaczącemu skróceniu.</w:t>
      </w:r>
    </w:p>
    <w:p w14:paraId="74800CD3" w14:textId="0868445B" w:rsidR="00770C57" w:rsidRPr="008E63EF" w:rsidRDefault="00770C57" w:rsidP="009D7E94">
      <w:pPr>
        <w:pStyle w:val="Akapitzlist"/>
        <w:numPr>
          <w:ilvl w:val="0"/>
          <w:numId w:val="2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Najszybszy dojazd transportem kolejowym do Rzeszowa występuje na osi wschód-zachód (linia kolejowa E30), przede wszystkim w wyniku modernizacji na odcinku Kraków-Rzeszów. Od 2015 roku czas przejazdu na tym odcinku skrócił się o połowę. W związku z tą inwestycją znaczącemu skróceniu uległ czas przejazdu do Kielc, </w:t>
      </w:r>
      <w:r w:rsidR="008E63EF">
        <w:rPr>
          <w:rFonts w:ascii="Arial" w:hAnsi="Arial" w:cs="Arial"/>
          <w:color w:val="000000" w:themeColor="text1"/>
          <w:sz w:val="22"/>
          <w:szCs w:val="22"/>
        </w:rPr>
        <w:br/>
      </w:r>
      <w:r w:rsidRPr="008E63EF">
        <w:rPr>
          <w:rFonts w:ascii="Arial" w:hAnsi="Arial" w:cs="Arial"/>
          <w:color w:val="000000" w:themeColor="text1"/>
          <w:sz w:val="22"/>
          <w:szCs w:val="22"/>
        </w:rPr>
        <w:t>a także do Warszawy.</w:t>
      </w:r>
    </w:p>
    <w:p w14:paraId="0F8CF1B0" w14:textId="557C51BD" w:rsidR="00770C57" w:rsidRPr="008E63EF" w:rsidRDefault="00770C57" w:rsidP="009D7E94">
      <w:pPr>
        <w:pStyle w:val="Akapitzlist"/>
        <w:numPr>
          <w:ilvl w:val="0"/>
          <w:numId w:val="2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Największą pozytywną zmianę w różnicach czasu między podróżą samochodem</w:t>
      </w:r>
      <w:r w:rsidR="008E63EF">
        <w:rPr>
          <w:rFonts w:ascii="Arial" w:hAnsi="Arial" w:cs="Arial"/>
          <w:color w:val="000000" w:themeColor="text1"/>
          <w:sz w:val="22"/>
          <w:szCs w:val="22"/>
        </w:rPr>
        <w:t xml:space="preserve"> </w:t>
      </w:r>
      <w:r w:rsidR="008E63EF">
        <w:rPr>
          <w:rFonts w:ascii="Arial" w:hAnsi="Arial" w:cs="Arial"/>
          <w:color w:val="000000" w:themeColor="text1"/>
          <w:sz w:val="22"/>
          <w:szCs w:val="22"/>
        </w:rPr>
        <w:br/>
      </w:r>
      <w:r w:rsidRPr="008E63EF">
        <w:rPr>
          <w:rFonts w:ascii="Arial" w:hAnsi="Arial" w:cs="Arial"/>
          <w:color w:val="000000" w:themeColor="text1"/>
          <w:sz w:val="22"/>
          <w:szCs w:val="22"/>
        </w:rPr>
        <w:t>a koleją widać w przypadku relacji z Rzeszowa do Krakowa. Bardziej konkurencyjna wydaje się podróż realizowana pociągiem niż samochodem osobowym.</w:t>
      </w:r>
    </w:p>
    <w:p w14:paraId="2D20A6B5" w14:textId="62F9623B" w:rsidR="00770C57" w:rsidRPr="009B78DA" w:rsidRDefault="00770C57" w:rsidP="009D7E94">
      <w:pPr>
        <w:pStyle w:val="Akapitzlist"/>
        <w:numPr>
          <w:ilvl w:val="0"/>
          <w:numId w:val="2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Inwestycje w zakresie prac remontowych na odcinkach istniejących w regionie linii kolejowych pozwolą na wzrost atrakcyjności i poprawę konkurencyjności transport</w:t>
      </w:r>
      <w:r w:rsidR="009D7E94">
        <w:rPr>
          <w:rFonts w:ascii="Arial" w:hAnsi="Arial" w:cs="Arial"/>
          <w:color w:val="000000" w:themeColor="text1"/>
          <w:sz w:val="22"/>
          <w:szCs w:val="22"/>
        </w:rPr>
        <w:t>u kolejowego względem kołowego.</w:t>
      </w:r>
    </w:p>
    <w:p w14:paraId="31E309CF" w14:textId="4CD5BECF" w:rsidR="003F4ECB" w:rsidRPr="009D7E94" w:rsidRDefault="00770C57" w:rsidP="009D7E94">
      <w:pPr>
        <w:pStyle w:val="Akapitzlist"/>
        <w:numPr>
          <w:ilvl w:val="0"/>
          <w:numId w:val="2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Podłączenie Portu Lotniczego Rzeszów-Jasionka do istniejącego systemu sieci kolejowej dzięki budowie Podkarpackiej Kolei Aglomeracyjnej znacząco wpłynie na poprawę dostępności do lotni</w:t>
      </w:r>
      <w:r w:rsidR="009D7E94">
        <w:rPr>
          <w:rFonts w:ascii="Arial" w:hAnsi="Arial" w:cs="Arial"/>
          <w:color w:val="000000" w:themeColor="text1"/>
          <w:sz w:val="22"/>
          <w:szCs w:val="22"/>
        </w:rPr>
        <w:t>ska.</w:t>
      </w:r>
    </w:p>
    <w:p w14:paraId="163A41B6" w14:textId="43B1FDC0" w:rsidR="000770FD" w:rsidRPr="009B78DA" w:rsidRDefault="000770FD" w:rsidP="009D7E94">
      <w:pPr>
        <w:pStyle w:val="Legenda"/>
        <w:keepNext/>
        <w:rPr>
          <w:rFonts w:ascii="Arial" w:hAnsi="Arial" w:cs="Arial"/>
          <w:i w:val="0"/>
          <w:color w:val="000000" w:themeColor="text1"/>
          <w:sz w:val="22"/>
          <w:szCs w:val="22"/>
        </w:rPr>
      </w:pPr>
      <w:bookmarkStart w:id="86" w:name="_Toc146785643"/>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Powiązania sieci komunikacyjnej z Rzeszowskim Obszarem Funkcjonalnym oraz pozostałymi obszarami funkcjonalnymi na tle województwa podkarpackiego</w:t>
      </w:r>
      <w:bookmarkEnd w:id="86"/>
    </w:p>
    <w:p w14:paraId="7B6737AA" w14:textId="1825D775" w:rsidR="003F4ECB" w:rsidRPr="009B78DA" w:rsidRDefault="009A7DCC" w:rsidP="00C641A4">
      <w:pPr>
        <w:spacing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6EEF1474" wp14:editId="1315000B">
            <wp:extent cx="5760720" cy="5182870"/>
            <wp:effectExtent l="0" t="0" r="0" b="0"/>
            <wp:docPr id="10335177" name="Obraz 8" descr="Rzeszowski Obszar Funkcjonalny wraz z Miejskimi Obrazami Funkcjonalnymi w Tarnobrzegu, Nisku, Mielcu, Lubaczowie, Dębicy, Przemysłu, Jaśle, Krośnie, Sanoku, Lesku. Najważniejszym elementem jest pokazanie głównego węzła autostrady A4 , przebiegający od granicy z Ukraina, przebiegających przez Rzeszów, Ropczyce, Dębica i na Zachów. Ponadto pokazana jest droga ekspresowa S19 z węzłami oraz węzłami w realizacji. Oznaczone są drogi krajowe i wojewódzkie, które przebijają przez województwo podkarpackie. Ponadto można zauważyć  linie kolejowe oraz oznaczony niebieskim punktem Port Lotniczy Rzeszów – Jasionka " title="Rysunek 14 Powiązania sieci komunikacyjnej z Rzeszowskim Obszarem Funkcjonalnym oraz pozostałymi obszarami funkcjonalnymi na tle województwa podkarpac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177" name="Obraz 8" descr="Obraz zawierający mapa, tekst, atlas, diagram&#10;&#10;Opis wygenerowany automatyczni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720" cy="5182870"/>
                    </a:xfrm>
                    <a:prstGeom prst="rect">
                      <a:avLst/>
                    </a:prstGeom>
                  </pic:spPr>
                </pic:pic>
              </a:graphicData>
            </a:graphic>
          </wp:inline>
        </w:drawing>
      </w:r>
    </w:p>
    <w:p w14:paraId="060E1C34" w14:textId="2D4F51E6" w:rsidR="00267989" w:rsidRPr="009D7E94" w:rsidRDefault="000446BB" w:rsidP="009D7E94">
      <w:pPr>
        <w:spacing w:line="276" w:lineRule="auto"/>
        <w:jc w:val="both"/>
        <w:rPr>
          <w:rFonts w:ascii="Arial" w:hAnsi="Arial" w:cs="Arial"/>
          <w:color w:val="000000" w:themeColor="text1"/>
          <w:sz w:val="22"/>
          <w:szCs w:val="22"/>
        </w:rPr>
      </w:pPr>
      <w:bookmarkStart w:id="87" w:name="_Hlk92212612"/>
      <w:r w:rsidRPr="009B78DA">
        <w:rPr>
          <w:rFonts w:ascii="Arial" w:hAnsi="Arial" w:cs="Arial"/>
          <w:color w:val="000000" w:themeColor="text1"/>
          <w:sz w:val="22"/>
          <w:szCs w:val="22"/>
        </w:rPr>
        <w:t xml:space="preserve">Źródło: </w:t>
      </w:r>
      <w:r w:rsidR="007C58D4" w:rsidRPr="009B78DA">
        <w:rPr>
          <w:rFonts w:ascii="Arial" w:hAnsi="Arial" w:cs="Arial"/>
          <w:color w:val="000000" w:themeColor="text1"/>
          <w:sz w:val="22"/>
          <w:szCs w:val="22"/>
        </w:rPr>
        <w:t>Opracowanie własne.</w:t>
      </w:r>
      <w:bookmarkEnd w:id="87"/>
    </w:p>
    <w:p w14:paraId="7CB93234" w14:textId="77777777" w:rsidR="003F4ECB" w:rsidRPr="009B78DA" w:rsidRDefault="003F4ECB" w:rsidP="009D7E94">
      <w:pPr>
        <w:pStyle w:val="Akapitzlist"/>
        <w:numPr>
          <w:ilvl w:val="3"/>
          <w:numId w:val="24"/>
        </w:numPr>
        <w:spacing w:after="0" w:line="276" w:lineRule="auto"/>
        <w:rPr>
          <w:rFonts w:ascii="Arial" w:hAnsi="Arial" w:cs="Arial"/>
          <w:b/>
          <w:color w:val="000000" w:themeColor="text1"/>
          <w:sz w:val="22"/>
          <w:szCs w:val="22"/>
        </w:rPr>
      </w:pPr>
      <w:r w:rsidRPr="009B78DA">
        <w:rPr>
          <w:rFonts w:ascii="Arial" w:hAnsi="Arial" w:cs="Arial"/>
          <w:b/>
          <w:color w:val="000000" w:themeColor="text1"/>
          <w:sz w:val="22"/>
          <w:szCs w:val="22"/>
        </w:rPr>
        <w:t>Powiązania zewnętrzne obszarów funkcjonalnych</w:t>
      </w:r>
    </w:p>
    <w:p w14:paraId="67C7DEFD" w14:textId="77777777" w:rsidR="003F4ECB" w:rsidRPr="009B78DA" w:rsidRDefault="003F4ECB" w:rsidP="009D7E94">
      <w:pPr>
        <w:pStyle w:val="Akapitzlist"/>
        <w:numPr>
          <w:ilvl w:val="0"/>
          <w:numId w:val="29"/>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Ze względu na liczne powiązania pomiędzy miastami – rdzeniami obszarów funkcjonalnych, widoczny jest wyraźny przepływ mieszkańców na poszczególnych kierunkach układu komunikacyjnego województwa.</w:t>
      </w:r>
    </w:p>
    <w:p w14:paraId="79C2718A" w14:textId="77777777" w:rsidR="003F4ECB" w:rsidRPr="009B78DA" w:rsidRDefault="003F4ECB" w:rsidP="009D7E94">
      <w:pPr>
        <w:pStyle w:val="Akapitzlist"/>
        <w:numPr>
          <w:ilvl w:val="0"/>
          <w:numId w:val="29"/>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Czasy dojazdów z wykorzystaniem transportu kołowego pomiędzy rdzeniami miejskich obszarów funkcjonalnych są zróżnicowane. </w:t>
      </w:r>
    </w:p>
    <w:p w14:paraId="338AAEF9" w14:textId="77777777" w:rsidR="003F4ECB" w:rsidRPr="009B78DA" w:rsidRDefault="003F4ECB" w:rsidP="009D7E94">
      <w:pPr>
        <w:pStyle w:val="Akapitzlist"/>
        <w:numPr>
          <w:ilvl w:val="0"/>
          <w:numId w:val="29"/>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Najkrótsze połączenia funkcjonują pomiędzy biegunami usytuowanymi na osi wschód-zachód, w sąsiedztwie autostrady A4.</w:t>
      </w:r>
    </w:p>
    <w:p w14:paraId="6A675966" w14:textId="77777777" w:rsidR="003F4ECB" w:rsidRPr="009B78DA" w:rsidRDefault="003F4ECB" w:rsidP="009D7E94">
      <w:pPr>
        <w:pStyle w:val="Akapitzlist"/>
        <w:numPr>
          <w:ilvl w:val="0"/>
          <w:numId w:val="29"/>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Najkrótsze wzajemne połączenia odnotowuje się pomiędzy Rzeszowem a Dębicą, Jarosławiem, Przeworskiem oraz Przemyślem. Czas przejazdu z Rzeszowa oscyluje w granicach 30 do 40 minut.</w:t>
      </w:r>
    </w:p>
    <w:p w14:paraId="3D366154" w14:textId="716D0019" w:rsidR="003B3A87" w:rsidRPr="009B78DA" w:rsidRDefault="003F4ECB" w:rsidP="009D7E94">
      <w:pPr>
        <w:pStyle w:val="Akapitzlist"/>
        <w:numPr>
          <w:ilvl w:val="0"/>
          <w:numId w:val="29"/>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Miastem-rdzeniem o najniższej czasowej dostępności drogowej pozostaje Sanok, gdzie czas dojazdu transportem indywidualnym sięga nawet do trzech godzin </w:t>
      </w:r>
      <w:r w:rsidR="009D7E94">
        <w:rPr>
          <w:rFonts w:ascii="Arial" w:hAnsi="Arial" w:cs="Arial"/>
          <w:color w:val="000000" w:themeColor="text1"/>
          <w:sz w:val="22"/>
          <w:szCs w:val="22"/>
        </w:rPr>
        <w:br/>
      </w:r>
      <w:r w:rsidRPr="009B78DA">
        <w:rPr>
          <w:rFonts w:ascii="Arial" w:hAnsi="Arial" w:cs="Arial"/>
          <w:color w:val="000000" w:themeColor="text1"/>
          <w:sz w:val="22"/>
          <w:szCs w:val="22"/>
        </w:rPr>
        <w:t>w przypadku połączenia z Tarnobrzegiem.</w:t>
      </w:r>
    </w:p>
    <w:p w14:paraId="7CDAF747" w14:textId="12E45851" w:rsidR="002A2B28" w:rsidRPr="009B78DA" w:rsidRDefault="002A2B28" w:rsidP="009D7E94">
      <w:pPr>
        <w:pStyle w:val="Akapitzlist"/>
        <w:numPr>
          <w:ilvl w:val="0"/>
          <w:numId w:val="31"/>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Realizacja inwestycji S19 znacząco skróci relację ze Stalowej Woli do Krosna </w:t>
      </w:r>
      <w:r w:rsidR="009D7E94">
        <w:rPr>
          <w:rFonts w:ascii="Arial" w:hAnsi="Arial" w:cs="Arial"/>
          <w:color w:val="000000" w:themeColor="text1"/>
          <w:sz w:val="22"/>
          <w:szCs w:val="22"/>
        </w:rPr>
        <w:br/>
      </w:r>
      <w:r w:rsidRPr="009B78DA">
        <w:rPr>
          <w:rFonts w:ascii="Arial" w:hAnsi="Arial" w:cs="Arial"/>
          <w:color w:val="000000" w:themeColor="text1"/>
          <w:sz w:val="22"/>
          <w:szCs w:val="22"/>
        </w:rPr>
        <w:t>i Sanoka. Na tym kierunku zmiana pomiędzy latami 2017 i 2023</w:t>
      </w:r>
      <w:r w:rsidR="009D7E94">
        <w:rPr>
          <w:rFonts w:ascii="Arial" w:hAnsi="Arial" w:cs="Arial"/>
          <w:color w:val="000000" w:themeColor="text1"/>
          <w:sz w:val="22"/>
          <w:szCs w:val="22"/>
        </w:rPr>
        <w:t xml:space="preserve"> będzie najbardziej zauważalna.</w:t>
      </w:r>
    </w:p>
    <w:p w14:paraId="774D51F4" w14:textId="3CB68253" w:rsidR="002A2B28" w:rsidRPr="009B78DA" w:rsidRDefault="002A2B28" w:rsidP="009D7E94">
      <w:pPr>
        <w:pStyle w:val="Akapitzlist"/>
        <w:numPr>
          <w:ilvl w:val="0"/>
          <w:numId w:val="31"/>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Biorąc pod uwagę wzajemne połączenia kolejowe </w:t>
      </w:r>
      <w:r w:rsidR="00937F63" w:rsidRPr="009B78DA">
        <w:rPr>
          <w:rFonts w:ascii="Arial" w:hAnsi="Arial" w:cs="Arial"/>
          <w:color w:val="000000" w:themeColor="text1"/>
          <w:sz w:val="22"/>
          <w:szCs w:val="22"/>
        </w:rPr>
        <w:t xml:space="preserve">pomiędzy </w:t>
      </w:r>
      <w:r w:rsidRPr="009B78DA">
        <w:rPr>
          <w:rFonts w:ascii="Arial" w:hAnsi="Arial" w:cs="Arial"/>
          <w:color w:val="000000" w:themeColor="text1"/>
          <w:sz w:val="22"/>
          <w:szCs w:val="22"/>
        </w:rPr>
        <w:t>biegun</w:t>
      </w:r>
      <w:r w:rsidR="00937F63" w:rsidRPr="009B78DA">
        <w:rPr>
          <w:rFonts w:ascii="Arial" w:hAnsi="Arial" w:cs="Arial"/>
          <w:color w:val="000000" w:themeColor="text1"/>
          <w:sz w:val="22"/>
          <w:szCs w:val="22"/>
        </w:rPr>
        <w:t>ami</w:t>
      </w:r>
      <w:r w:rsidRPr="009B78DA">
        <w:rPr>
          <w:rFonts w:ascii="Arial" w:hAnsi="Arial" w:cs="Arial"/>
          <w:color w:val="000000" w:themeColor="text1"/>
          <w:sz w:val="22"/>
          <w:szCs w:val="22"/>
        </w:rPr>
        <w:t xml:space="preserve"> wzrostu - czasy przejazdu transportem </w:t>
      </w:r>
      <w:r w:rsidR="00D90B3A" w:rsidRPr="009B78DA">
        <w:rPr>
          <w:rFonts w:ascii="Arial" w:hAnsi="Arial" w:cs="Arial"/>
          <w:color w:val="000000" w:themeColor="text1"/>
          <w:sz w:val="22"/>
          <w:szCs w:val="22"/>
        </w:rPr>
        <w:t>kolejowym</w:t>
      </w:r>
      <w:r w:rsidRPr="009B78DA">
        <w:rPr>
          <w:rFonts w:ascii="Arial" w:hAnsi="Arial" w:cs="Arial"/>
          <w:color w:val="000000" w:themeColor="text1"/>
          <w:sz w:val="22"/>
          <w:szCs w:val="22"/>
        </w:rPr>
        <w:t xml:space="preserve"> są długie i nie stanowią alternatywy dla korzystania z transportu indywidualnego czy podróży realizowanych komunikacją autobusową</w:t>
      </w:r>
      <w:r w:rsidR="005314E1" w:rsidRPr="009B78DA">
        <w:rPr>
          <w:rStyle w:val="Odwoaniedokomentarza"/>
          <w:color w:val="000000" w:themeColor="text1"/>
        </w:rPr>
        <w:t>.</w:t>
      </w:r>
    </w:p>
    <w:p w14:paraId="6C4E04E2" w14:textId="0615604E" w:rsidR="002A2B28" w:rsidRPr="009B78DA" w:rsidRDefault="002A2B28" w:rsidP="009D7E94">
      <w:pPr>
        <w:pStyle w:val="Akapitzlist"/>
        <w:numPr>
          <w:ilvl w:val="0"/>
          <w:numId w:val="31"/>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Lesko </w:t>
      </w:r>
      <w:r w:rsidR="0097446B" w:rsidRPr="009B78DA">
        <w:rPr>
          <w:rFonts w:ascii="Arial" w:hAnsi="Arial" w:cs="Arial"/>
          <w:color w:val="000000" w:themeColor="text1"/>
          <w:sz w:val="22"/>
          <w:szCs w:val="22"/>
        </w:rPr>
        <w:t>jest</w:t>
      </w:r>
      <w:r w:rsidRPr="009B78DA">
        <w:rPr>
          <w:rFonts w:ascii="Arial" w:hAnsi="Arial" w:cs="Arial"/>
          <w:color w:val="000000" w:themeColor="text1"/>
          <w:sz w:val="22"/>
          <w:szCs w:val="22"/>
        </w:rPr>
        <w:t xml:space="preserve"> wyłączone z układu sieci kolejowej - do </w:t>
      </w:r>
      <w:r w:rsidR="0097446B" w:rsidRPr="009B78DA">
        <w:rPr>
          <w:rFonts w:ascii="Arial" w:hAnsi="Arial" w:cs="Arial"/>
          <w:color w:val="000000" w:themeColor="text1"/>
          <w:sz w:val="22"/>
          <w:szCs w:val="22"/>
        </w:rPr>
        <w:t>tego</w:t>
      </w:r>
      <w:r w:rsidRPr="009B78DA">
        <w:rPr>
          <w:rFonts w:ascii="Arial" w:hAnsi="Arial" w:cs="Arial"/>
          <w:color w:val="000000" w:themeColor="text1"/>
          <w:sz w:val="22"/>
          <w:szCs w:val="22"/>
        </w:rPr>
        <w:t xml:space="preserve"> ośrodk</w:t>
      </w:r>
      <w:r w:rsidR="0097446B"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można dojechać jedynie wykorzystując pojazdy transportu indywidualnego czy komunikacji autobusowej, co stanowi znaczące utrudnienie w podróżowaniu.</w:t>
      </w:r>
    </w:p>
    <w:p w14:paraId="081E4D10" w14:textId="35AD406B" w:rsidR="002A2B28" w:rsidRPr="009B78DA" w:rsidRDefault="002A2B28" w:rsidP="009D7E94">
      <w:pPr>
        <w:pStyle w:val="Akapitzlist"/>
        <w:numPr>
          <w:ilvl w:val="0"/>
          <w:numId w:val="31"/>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Najsłabszą dostępnością kolejową charakteryzują się Krosno</w:t>
      </w:r>
      <w:r w:rsidR="00BE5A1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oraz Sanok. Czas dojazdu z Sanoka do Stalowej Woli wynosi aż 460 minut. Podobna sytuacja ma miejsce w przypadku połączenia Tarnobrzega z Krosnem i Sanokiem, dokąd podróż trwa nieco ponad 430 minut.</w:t>
      </w:r>
      <w:r w:rsidR="0046081A" w:rsidRPr="009B78DA">
        <w:rPr>
          <w:rFonts w:ascii="Arial" w:hAnsi="Arial" w:cs="Arial"/>
          <w:color w:val="000000" w:themeColor="text1"/>
          <w:sz w:val="22"/>
          <w:szCs w:val="22"/>
        </w:rPr>
        <w:t xml:space="preserve"> Mielec został włączony do układu sieci kolejowej, jednak  dostępność pomiędzy nim a Dębicą</w:t>
      </w:r>
      <w:r w:rsidR="009D7E94">
        <w:rPr>
          <w:rFonts w:ascii="Arial" w:hAnsi="Arial" w:cs="Arial"/>
          <w:color w:val="000000" w:themeColor="text1"/>
          <w:sz w:val="22"/>
          <w:szCs w:val="22"/>
        </w:rPr>
        <w:t xml:space="preserve"> wymaga dalszej poprawy.</w:t>
      </w:r>
    </w:p>
    <w:p w14:paraId="0D7F1524" w14:textId="09B3463A" w:rsidR="002A2B28" w:rsidRPr="009B78DA" w:rsidRDefault="002A2B28" w:rsidP="009D7E94">
      <w:pPr>
        <w:pStyle w:val="Akapitzlist"/>
        <w:numPr>
          <w:ilvl w:val="0"/>
          <w:numId w:val="31"/>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Szybsze połączenia komunikacyjne występują jedynie wzdłuż linii kolejowej nr 91 (E30) relacji Kraków – Rzeszów – Medyka, a także między Sanokiem i Krosnem ora</w:t>
      </w:r>
      <w:r w:rsidR="009D7E94">
        <w:rPr>
          <w:rFonts w:ascii="Arial" w:hAnsi="Arial" w:cs="Arial"/>
          <w:color w:val="000000" w:themeColor="text1"/>
          <w:sz w:val="22"/>
          <w:szCs w:val="22"/>
        </w:rPr>
        <w:t>z Stalową Wolą i Tarnobrzegiem.</w:t>
      </w:r>
    </w:p>
    <w:p w14:paraId="667D369A" w14:textId="0A60C370" w:rsidR="002A2B28" w:rsidRPr="009B78DA" w:rsidRDefault="002A2B28" w:rsidP="00F45E35">
      <w:pPr>
        <w:spacing w:after="0" w:line="276" w:lineRule="auto"/>
        <w:jc w:val="both"/>
        <w:rPr>
          <w:rFonts w:ascii="Arial" w:hAnsi="Arial" w:cs="Arial"/>
          <w:b/>
          <w:bCs/>
          <w:color w:val="000000" w:themeColor="text1"/>
          <w:sz w:val="22"/>
          <w:szCs w:val="22"/>
        </w:rPr>
        <w:sectPr w:rsidR="002A2B28" w:rsidRPr="009B78DA" w:rsidSect="007B4AEF">
          <w:footerReference w:type="default" r:id="rId24"/>
          <w:pgSz w:w="11906" w:h="16838"/>
          <w:pgMar w:top="1417" w:right="1417" w:bottom="1417" w:left="1417" w:header="708" w:footer="708" w:gutter="0"/>
          <w:cols w:space="708"/>
          <w:titlePg/>
          <w:docGrid w:linePitch="360"/>
        </w:sectPr>
      </w:pPr>
    </w:p>
    <w:p w14:paraId="462F348A" w14:textId="629BB938" w:rsidR="000770FD" w:rsidRPr="009B78DA" w:rsidRDefault="000770FD" w:rsidP="000770FD">
      <w:pPr>
        <w:pStyle w:val="Legenda"/>
        <w:keepNext/>
        <w:rPr>
          <w:rFonts w:ascii="Arial" w:hAnsi="Arial" w:cs="Arial"/>
          <w:i w:val="0"/>
          <w:color w:val="000000" w:themeColor="text1"/>
          <w:sz w:val="22"/>
          <w:szCs w:val="22"/>
        </w:rPr>
      </w:pPr>
      <w:bookmarkStart w:id="88" w:name="_Toc146785733"/>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bookmarkStart w:id="89" w:name="_Toc74563134"/>
      <w:r w:rsidRPr="009B78DA">
        <w:rPr>
          <w:rFonts w:ascii="Arial" w:hAnsi="Arial" w:cs="Arial"/>
          <w:i w:val="0"/>
          <w:color w:val="000000" w:themeColor="text1"/>
          <w:sz w:val="22"/>
          <w:szCs w:val="22"/>
        </w:rPr>
        <w:t>Skrócenie czasu podróży samochodem osobowym między wybranymi miastami obszarów funkcjonalnych w 2017 i 2023 r. (zaokrąglenie czasów przejazdu do pełnych minut)</w:t>
      </w:r>
      <w:bookmarkEnd w:id="89"/>
      <w:bookmarkEnd w:id="88"/>
    </w:p>
    <w:tbl>
      <w:tblPr>
        <w:tblStyle w:val="Tabela-Siatka"/>
        <w:tblW w:w="5000" w:type="pct"/>
        <w:tblLayout w:type="fixed"/>
        <w:tblLook w:val="04A0" w:firstRow="1" w:lastRow="0" w:firstColumn="1" w:lastColumn="0" w:noHBand="0" w:noVBand="1"/>
        <w:tblCaption w:val="Tabela 3 Skrócenie czasu podróży samochodem osobowym między wybranymi miastami obszarów funkcjonalnych w 2017 i 2023 r. (zaokrąglenie czasów przejazdu do pełnych minut)"/>
        <w:tblDescription w:val="Tabela zawiera Miasto/Miasto, Dębica, Ropczyce, Jarosław, Przeworsk, Sanok, Lesko, Przemyśl, Krosno, Tarnobrzeg, Stalowa Wola, Mielec, Rzeszów&#10;"/>
      </w:tblPr>
      <w:tblGrid>
        <w:gridCol w:w="1536"/>
        <w:gridCol w:w="992"/>
        <w:gridCol w:w="1359"/>
        <w:gridCol w:w="1193"/>
        <w:gridCol w:w="1365"/>
        <w:gridCol w:w="938"/>
        <w:gridCol w:w="898"/>
        <w:gridCol w:w="1254"/>
        <w:gridCol w:w="1021"/>
        <w:gridCol w:w="1503"/>
        <w:gridCol w:w="1119"/>
        <w:gridCol w:w="953"/>
        <w:gridCol w:w="1239"/>
      </w:tblGrid>
      <w:tr w:rsidR="006F4FD2" w:rsidRPr="009B78DA" w14:paraId="14189BAD" w14:textId="77777777" w:rsidTr="00781A96">
        <w:trPr>
          <w:tblHeader/>
        </w:trPr>
        <w:tc>
          <w:tcPr>
            <w:tcW w:w="500" w:type="pct"/>
            <w:tcBorders>
              <w:top w:val="single" w:sz="18" w:space="0" w:color="auto"/>
              <w:left w:val="single" w:sz="18" w:space="0" w:color="auto"/>
              <w:bottom w:val="single" w:sz="18" w:space="0" w:color="auto"/>
              <w:right w:val="single" w:sz="18" w:space="0" w:color="auto"/>
            </w:tcBorders>
            <w:shd w:val="clear" w:color="auto" w:fill="DEEAF6" w:themeFill="accent1" w:themeFillTint="33"/>
            <w:vAlign w:val="center"/>
          </w:tcPr>
          <w:p w14:paraId="042B1ACD" w14:textId="77777777" w:rsidR="003F4ECB" w:rsidRPr="009B78DA" w:rsidRDefault="00931866"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Miasto</w:t>
            </w:r>
          </w:p>
        </w:tc>
        <w:tc>
          <w:tcPr>
            <w:tcW w:w="323" w:type="pct"/>
            <w:tcBorders>
              <w:left w:val="single" w:sz="18" w:space="0" w:color="auto"/>
              <w:bottom w:val="single" w:sz="18" w:space="0" w:color="auto"/>
            </w:tcBorders>
            <w:shd w:val="clear" w:color="auto" w:fill="DEEAF6" w:themeFill="accent1" w:themeFillTint="33"/>
            <w:vAlign w:val="center"/>
          </w:tcPr>
          <w:p w14:paraId="04AFE00D"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Dębica</w:t>
            </w:r>
          </w:p>
        </w:tc>
        <w:tc>
          <w:tcPr>
            <w:tcW w:w="442" w:type="pct"/>
            <w:shd w:val="clear" w:color="auto" w:fill="DEEAF6" w:themeFill="accent1" w:themeFillTint="33"/>
            <w:vAlign w:val="center"/>
          </w:tcPr>
          <w:p w14:paraId="6A330153"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Ropczyce</w:t>
            </w:r>
          </w:p>
        </w:tc>
        <w:tc>
          <w:tcPr>
            <w:tcW w:w="388" w:type="pct"/>
            <w:shd w:val="clear" w:color="auto" w:fill="DEEAF6" w:themeFill="accent1" w:themeFillTint="33"/>
            <w:vAlign w:val="center"/>
          </w:tcPr>
          <w:p w14:paraId="41C6CC9B"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Jarosław</w:t>
            </w:r>
          </w:p>
        </w:tc>
        <w:tc>
          <w:tcPr>
            <w:tcW w:w="444" w:type="pct"/>
            <w:shd w:val="clear" w:color="auto" w:fill="DEEAF6" w:themeFill="accent1" w:themeFillTint="33"/>
            <w:vAlign w:val="center"/>
          </w:tcPr>
          <w:p w14:paraId="02A42F07"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Przeworsk</w:t>
            </w:r>
          </w:p>
        </w:tc>
        <w:tc>
          <w:tcPr>
            <w:tcW w:w="305" w:type="pct"/>
            <w:shd w:val="clear" w:color="auto" w:fill="DEEAF6" w:themeFill="accent1" w:themeFillTint="33"/>
            <w:vAlign w:val="center"/>
          </w:tcPr>
          <w:p w14:paraId="6FACD56A"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Sanok</w:t>
            </w:r>
          </w:p>
        </w:tc>
        <w:tc>
          <w:tcPr>
            <w:tcW w:w="292" w:type="pct"/>
            <w:shd w:val="clear" w:color="auto" w:fill="DEEAF6" w:themeFill="accent1" w:themeFillTint="33"/>
            <w:vAlign w:val="center"/>
          </w:tcPr>
          <w:p w14:paraId="5484345A"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Lesko</w:t>
            </w:r>
          </w:p>
        </w:tc>
        <w:tc>
          <w:tcPr>
            <w:tcW w:w="408" w:type="pct"/>
            <w:shd w:val="clear" w:color="auto" w:fill="DEEAF6" w:themeFill="accent1" w:themeFillTint="33"/>
            <w:vAlign w:val="center"/>
          </w:tcPr>
          <w:p w14:paraId="6ED94060"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Przemyśl</w:t>
            </w:r>
          </w:p>
        </w:tc>
        <w:tc>
          <w:tcPr>
            <w:tcW w:w="332" w:type="pct"/>
            <w:shd w:val="clear" w:color="auto" w:fill="DEEAF6" w:themeFill="accent1" w:themeFillTint="33"/>
            <w:vAlign w:val="center"/>
          </w:tcPr>
          <w:p w14:paraId="1F87A15B"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Krosno</w:t>
            </w:r>
          </w:p>
        </w:tc>
        <w:tc>
          <w:tcPr>
            <w:tcW w:w="489" w:type="pct"/>
            <w:shd w:val="clear" w:color="auto" w:fill="DEEAF6" w:themeFill="accent1" w:themeFillTint="33"/>
            <w:vAlign w:val="center"/>
          </w:tcPr>
          <w:p w14:paraId="3145EAEA"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Tarnobrzeg</w:t>
            </w:r>
          </w:p>
        </w:tc>
        <w:tc>
          <w:tcPr>
            <w:tcW w:w="364" w:type="pct"/>
            <w:shd w:val="clear" w:color="auto" w:fill="DEEAF6" w:themeFill="accent1" w:themeFillTint="33"/>
            <w:vAlign w:val="center"/>
          </w:tcPr>
          <w:p w14:paraId="6251D817"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Stalowa Wola</w:t>
            </w:r>
          </w:p>
        </w:tc>
        <w:tc>
          <w:tcPr>
            <w:tcW w:w="310" w:type="pct"/>
            <w:shd w:val="clear" w:color="auto" w:fill="DEEAF6" w:themeFill="accent1" w:themeFillTint="33"/>
            <w:vAlign w:val="center"/>
          </w:tcPr>
          <w:p w14:paraId="78DBD653"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Mielec</w:t>
            </w:r>
          </w:p>
        </w:tc>
        <w:tc>
          <w:tcPr>
            <w:tcW w:w="403" w:type="pct"/>
            <w:shd w:val="clear" w:color="auto" w:fill="DEEAF6" w:themeFill="accent1" w:themeFillTint="33"/>
            <w:vAlign w:val="center"/>
          </w:tcPr>
          <w:p w14:paraId="24BA248B" w14:textId="77777777" w:rsidR="003F4ECB" w:rsidRPr="009B78DA" w:rsidRDefault="003F4ECB" w:rsidP="00D90B3A">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Rzeszów</w:t>
            </w:r>
          </w:p>
        </w:tc>
      </w:tr>
      <w:tr w:rsidR="006F4FD2" w:rsidRPr="009B78DA" w14:paraId="69724C28" w14:textId="77777777" w:rsidTr="00781A96">
        <w:tc>
          <w:tcPr>
            <w:tcW w:w="500" w:type="pct"/>
            <w:tcBorders>
              <w:top w:val="single" w:sz="18" w:space="0" w:color="auto"/>
              <w:right w:val="single" w:sz="18" w:space="0" w:color="auto"/>
            </w:tcBorders>
            <w:shd w:val="clear" w:color="auto" w:fill="DEEAF6" w:themeFill="accent1" w:themeFillTint="33"/>
            <w:vAlign w:val="center"/>
          </w:tcPr>
          <w:p w14:paraId="0F18F1A6"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Dębica</w:t>
            </w:r>
          </w:p>
        </w:tc>
        <w:tc>
          <w:tcPr>
            <w:tcW w:w="323" w:type="pct"/>
            <w:tcBorders>
              <w:top w:val="single" w:sz="18" w:space="0" w:color="auto"/>
              <w:left w:val="single" w:sz="18" w:space="0" w:color="auto"/>
              <w:bottom w:val="single" w:sz="18" w:space="0" w:color="auto"/>
              <w:right w:val="single" w:sz="18" w:space="0" w:color="auto"/>
            </w:tcBorders>
            <w:vAlign w:val="center"/>
          </w:tcPr>
          <w:p w14:paraId="4AFB30D1"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442" w:type="pct"/>
            <w:tcBorders>
              <w:left w:val="single" w:sz="18" w:space="0" w:color="auto"/>
              <w:bottom w:val="single" w:sz="18" w:space="0" w:color="auto"/>
            </w:tcBorders>
            <w:vAlign w:val="center"/>
          </w:tcPr>
          <w:p w14:paraId="218C8EA8"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88" w:type="pct"/>
            <w:vAlign w:val="center"/>
          </w:tcPr>
          <w:p w14:paraId="2849768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4" w:type="pct"/>
            <w:vAlign w:val="center"/>
          </w:tcPr>
          <w:p w14:paraId="25542AE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305" w:type="pct"/>
            <w:vAlign w:val="center"/>
          </w:tcPr>
          <w:p w14:paraId="28FE92F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w:t>
            </w:r>
          </w:p>
        </w:tc>
        <w:tc>
          <w:tcPr>
            <w:tcW w:w="292" w:type="pct"/>
            <w:vAlign w:val="center"/>
          </w:tcPr>
          <w:p w14:paraId="49581C24"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w:t>
            </w:r>
          </w:p>
        </w:tc>
        <w:tc>
          <w:tcPr>
            <w:tcW w:w="408" w:type="pct"/>
            <w:vAlign w:val="center"/>
          </w:tcPr>
          <w:p w14:paraId="543C5CD4"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32" w:type="pct"/>
            <w:vAlign w:val="center"/>
          </w:tcPr>
          <w:p w14:paraId="2AC2235C"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489" w:type="pct"/>
            <w:vAlign w:val="center"/>
          </w:tcPr>
          <w:p w14:paraId="74D33AF0"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64" w:type="pct"/>
            <w:vAlign w:val="center"/>
          </w:tcPr>
          <w:p w14:paraId="66890411"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310" w:type="pct"/>
            <w:vAlign w:val="center"/>
          </w:tcPr>
          <w:p w14:paraId="316DFC2F"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03" w:type="pct"/>
            <w:vAlign w:val="center"/>
          </w:tcPr>
          <w:p w14:paraId="63706227"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r>
      <w:tr w:rsidR="006F4FD2" w:rsidRPr="009B78DA" w14:paraId="709BBC08" w14:textId="77777777" w:rsidTr="00781A96">
        <w:tc>
          <w:tcPr>
            <w:tcW w:w="500" w:type="pct"/>
            <w:shd w:val="clear" w:color="auto" w:fill="DEEAF6" w:themeFill="accent1" w:themeFillTint="33"/>
            <w:vAlign w:val="center"/>
          </w:tcPr>
          <w:p w14:paraId="60E07A23"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Ropczyce</w:t>
            </w:r>
          </w:p>
        </w:tc>
        <w:tc>
          <w:tcPr>
            <w:tcW w:w="323" w:type="pct"/>
            <w:tcBorders>
              <w:top w:val="single" w:sz="18" w:space="0" w:color="auto"/>
              <w:right w:val="single" w:sz="18" w:space="0" w:color="auto"/>
            </w:tcBorders>
            <w:vAlign w:val="center"/>
          </w:tcPr>
          <w:p w14:paraId="1EBA883A"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2" w:type="pct"/>
            <w:tcBorders>
              <w:top w:val="single" w:sz="18" w:space="0" w:color="auto"/>
              <w:left w:val="single" w:sz="18" w:space="0" w:color="auto"/>
              <w:bottom w:val="single" w:sz="18" w:space="0" w:color="auto"/>
              <w:right w:val="single" w:sz="18" w:space="0" w:color="auto"/>
            </w:tcBorders>
            <w:vAlign w:val="center"/>
          </w:tcPr>
          <w:p w14:paraId="7508E80B"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388" w:type="pct"/>
            <w:tcBorders>
              <w:left w:val="single" w:sz="18" w:space="0" w:color="auto"/>
              <w:bottom w:val="single" w:sz="18" w:space="0" w:color="auto"/>
            </w:tcBorders>
            <w:vAlign w:val="center"/>
          </w:tcPr>
          <w:p w14:paraId="71BAD911"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4" w:type="pct"/>
            <w:vAlign w:val="center"/>
          </w:tcPr>
          <w:p w14:paraId="282650BF"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305" w:type="pct"/>
            <w:vAlign w:val="center"/>
          </w:tcPr>
          <w:p w14:paraId="60F474B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7</w:t>
            </w:r>
          </w:p>
        </w:tc>
        <w:tc>
          <w:tcPr>
            <w:tcW w:w="292" w:type="pct"/>
            <w:vAlign w:val="center"/>
          </w:tcPr>
          <w:p w14:paraId="1D2DAB2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408" w:type="pct"/>
            <w:vAlign w:val="center"/>
          </w:tcPr>
          <w:p w14:paraId="7C0CC75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32" w:type="pct"/>
            <w:vAlign w:val="center"/>
          </w:tcPr>
          <w:p w14:paraId="1149622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489" w:type="pct"/>
            <w:vAlign w:val="center"/>
          </w:tcPr>
          <w:p w14:paraId="47482A18"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64" w:type="pct"/>
            <w:vAlign w:val="center"/>
          </w:tcPr>
          <w:p w14:paraId="3683BB14"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310" w:type="pct"/>
            <w:vAlign w:val="center"/>
          </w:tcPr>
          <w:p w14:paraId="76ACB85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w:t>
            </w:r>
          </w:p>
        </w:tc>
        <w:tc>
          <w:tcPr>
            <w:tcW w:w="403" w:type="pct"/>
            <w:vAlign w:val="center"/>
          </w:tcPr>
          <w:p w14:paraId="5B29E0A3"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r>
      <w:tr w:rsidR="006F4FD2" w:rsidRPr="009B78DA" w14:paraId="489FE3C7" w14:textId="77777777" w:rsidTr="00781A96">
        <w:tc>
          <w:tcPr>
            <w:tcW w:w="500" w:type="pct"/>
            <w:shd w:val="clear" w:color="auto" w:fill="DEEAF6" w:themeFill="accent1" w:themeFillTint="33"/>
            <w:vAlign w:val="center"/>
          </w:tcPr>
          <w:p w14:paraId="2189718C"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Jarosław</w:t>
            </w:r>
          </w:p>
        </w:tc>
        <w:tc>
          <w:tcPr>
            <w:tcW w:w="323" w:type="pct"/>
            <w:vAlign w:val="center"/>
          </w:tcPr>
          <w:p w14:paraId="30D5DE67"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2" w:type="pct"/>
            <w:tcBorders>
              <w:top w:val="single" w:sz="18" w:space="0" w:color="auto"/>
              <w:right w:val="single" w:sz="18" w:space="0" w:color="auto"/>
            </w:tcBorders>
            <w:vAlign w:val="center"/>
          </w:tcPr>
          <w:p w14:paraId="17C1E764"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88" w:type="pct"/>
            <w:tcBorders>
              <w:top w:val="single" w:sz="18" w:space="0" w:color="auto"/>
              <w:left w:val="single" w:sz="18" w:space="0" w:color="auto"/>
              <w:bottom w:val="single" w:sz="18" w:space="0" w:color="auto"/>
              <w:right w:val="single" w:sz="18" w:space="0" w:color="auto"/>
            </w:tcBorders>
            <w:vAlign w:val="center"/>
          </w:tcPr>
          <w:p w14:paraId="04D6B63B"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444" w:type="pct"/>
            <w:tcBorders>
              <w:left w:val="single" w:sz="18" w:space="0" w:color="auto"/>
              <w:bottom w:val="single" w:sz="18" w:space="0" w:color="auto"/>
            </w:tcBorders>
            <w:vAlign w:val="center"/>
          </w:tcPr>
          <w:p w14:paraId="3C19B32D"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05" w:type="pct"/>
            <w:vAlign w:val="center"/>
          </w:tcPr>
          <w:p w14:paraId="40FB9299"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292" w:type="pct"/>
            <w:vAlign w:val="center"/>
          </w:tcPr>
          <w:p w14:paraId="0E33DBD7"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408" w:type="pct"/>
            <w:vAlign w:val="center"/>
          </w:tcPr>
          <w:p w14:paraId="76857BED"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32" w:type="pct"/>
            <w:vAlign w:val="center"/>
          </w:tcPr>
          <w:p w14:paraId="79F03578"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w:t>
            </w:r>
          </w:p>
        </w:tc>
        <w:tc>
          <w:tcPr>
            <w:tcW w:w="489" w:type="pct"/>
            <w:vAlign w:val="center"/>
          </w:tcPr>
          <w:p w14:paraId="0F403EE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64" w:type="pct"/>
            <w:vAlign w:val="center"/>
          </w:tcPr>
          <w:p w14:paraId="2EB9AC3D"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w:t>
            </w:r>
          </w:p>
        </w:tc>
        <w:tc>
          <w:tcPr>
            <w:tcW w:w="310" w:type="pct"/>
            <w:vAlign w:val="center"/>
          </w:tcPr>
          <w:p w14:paraId="241159DB"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03" w:type="pct"/>
            <w:vAlign w:val="center"/>
          </w:tcPr>
          <w:p w14:paraId="48B0FB27"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r>
      <w:tr w:rsidR="006F4FD2" w:rsidRPr="009B78DA" w14:paraId="665DE41E" w14:textId="77777777" w:rsidTr="00781A96">
        <w:tc>
          <w:tcPr>
            <w:tcW w:w="500" w:type="pct"/>
            <w:shd w:val="clear" w:color="auto" w:fill="DEEAF6" w:themeFill="accent1" w:themeFillTint="33"/>
            <w:vAlign w:val="center"/>
          </w:tcPr>
          <w:p w14:paraId="38F2369D"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Przeworsk</w:t>
            </w:r>
          </w:p>
        </w:tc>
        <w:tc>
          <w:tcPr>
            <w:tcW w:w="323" w:type="pct"/>
            <w:vAlign w:val="center"/>
          </w:tcPr>
          <w:p w14:paraId="3F25FF6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442" w:type="pct"/>
            <w:vAlign w:val="center"/>
          </w:tcPr>
          <w:p w14:paraId="2FC3C825"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388" w:type="pct"/>
            <w:tcBorders>
              <w:top w:val="single" w:sz="18" w:space="0" w:color="auto"/>
              <w:right w:val="single" w:sz="18" w:space="0" w:color="auto"/>
            </w:tcBorders>
            <w:vAlign w:val="center"/>
          </w:tcPr>
          <w:p w14:paraId="04E1EFFD"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4" w:type="pct"/>
            <w:tcBorders>
              <w:top w:val="single" w:sz="18" w:space="0" w:color="auto"/>
              <w:left w:val="single" w:sz="18" w:space="0" w:color="auto"/>
              <w:bottom w:val="single" w:sz="18" w:space="0" w:color="auto"/>
              <w:right w:val="single" w:sz="18" w:space="0" w:color="auto"/>
            </w:tcBorders>
            <w:vAlign w:val="center"/>
          </w:tcPr>
          <w:p w14:paraId="6AC06764"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305" w:type="pct"/>
            <w:tcBorders>
              <w:left w:val="single" w:sz="18" w:space="0" w:color="auto"/>
              <w:bottom w:val="single" w:sz="18" w:space="0" w:color="auto"/>
            </w:tcBorders>
            <w:vAlign w:val="center"/>
          </w:tcPr>
          <w:p w14:paraId="724B6727"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292" w:type="pct"/>
            <w:vAlign w:val="center"/>
          </w:tcPr>
          <w:p w14:paraId="51C13EB9"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408" w:type="pct"/>
            <w:vAlign w:val="center"/>
          </w:tcPr>
          <w:p w14:paraId="7D902D4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32" w:type="pct"/>
            <w:vAlign w:val="center"/>
          </w:tcPr>
          <w:p w14:paraId="1F25D01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w:t>
            </w:r>
          </w:p>
        </w:tc>
        <w:tc>
          <w:tcPr>
            <w:tcW w:w="489" w:type="pct"/>
            <w:vAlign w:val="center"/>
          </w:tcPr>
          <w:p w14:paraId="08ADC1C7"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364" w:type="pct"/>
            <w:vAlign w:val="center"/>
          </w:tcPr>
          <w:p w14:paraId="0CEFAF9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310" w:type="pct"/>
            <w:vAlign w:val="center"/>
          </w:tcPr>
          <w:p w14:paraId="622FBB1F"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403" w:type="pct"/>
            <w:vAlign w:val="center"/>
          </w:tcPr>
          <w:p w14:paraId="5C2A85DA"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w:t>
            </w:r>
          </w:p>
        </w:tc>
      </w:tr>
      <w:tr w:rsidR="006F4FD2" w:rsidRPr="009B78DA" w14:paraId="533D55D1" w14:textId="77777777" w:rsidTr="00781A96">
        <w:tc>
          <w:tcPr>
            <w:tcW w:w="500" w:type="pct"/>
            <w:shd w:val="clear" w:color="auto" w:fill="DEEAF6" w:themeFill="accent1" w:themeFillTint="33"/>
            <w:vAlign w:val="center"/>
          </w:tcPr>
          <w:p w14:paraId="3B0550A1"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Sanok</w:t>
            </w:r>
          </w:p>
        </w:tc>
        <w:tc>
          <w:tcPr>
            <w:tcW w:w="323" w:type="pct"/>
            <w:vAlign w:val="center"/>
          </w:tcPr>
          <w:p w14:paraId="55F3026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w:t>
            </w:r>
          </w:p>
        </w:tc>
        <w:tc>
          <w:tcPr>
            <w:tcW w:w="442" w:type="pct"/>
            <w:vAlign w:val="center"/>
          </w:tcPr>
          <w:p w14:paraId="66AF57E5"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7</w:t>
            </w:r>
          </w:p>
        </w:tc>
        <w:tc>
          <w:tcPr>
            <w:tcW w:w="388" w:type="pct"/>
            <w:vAlign w:val="center"/>
          </w:tcPr>
          <w:p w14:paraId="6FCBD46A"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4" w:type="pct"/>
            <w:tcBorders>
              <w:top w:val="single" w:sz="18" w:space="0" w:color="auto"/>
              <w:right w:val="single" w:sz="18" w:space="0" w:color="auto"/>
            </w:tcBorders>
            <w:vAlign w:val="center"/>
          </w:tcPr>
          <w:p w14:paraId="79A0D9BF"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305" w:type="pct"/>
            <w:tcBorders>
              <w:top w:val="single" w:sz="18" w:space="0" w:color="auto"/>
              <w:left w:val="single" w:sz="18" w:space="0" w:color="auto"/>
              <w:bottom w:val="single" w:sz="18" w:space="0" w:color="auto"/>
              <w:right w:val="single" w:sz="18" w:space="0" w:color="auto"/>
            </w:tcBorders>
            <w:vAlign w:val="center"/>
          </w:tcPr>
          <w:p w14:paraId="2ACE5C50"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292" w:type="pct"/>
            <w:tcBorders>
              <w:left w:val="single" w:sz="18" w:space="0" w:color="auto"/>
              <w:bottom w:val="single" w:sz="18" w:space="0" w:color="auto"/>
            </w:tcBorders>
            <w:vAlign w:val="center"/>
          </w:tcPr>
          <w:p w14:paraId="49B84081"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08" w:type="pct"/>
            <w:vAlign w:val="center"/>
          </w:tcPr>
          <w:p w14:paraId="3C8F6DBB"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32" w:type="pct"/>
            <w:vAlign w:val="center"/>
          </w:tcPr>
          <w:p w14:paraId="657162B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89" w:type="pct"/>
            <w:vAlign w:val="center"/>
          </w:tcPr>
          <w:p w14:paraId="49E5FBA0"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w:t>
            </w:r>
          </w:p>
        </w:tc>
        <w:tc>
          <w:tcPr>
            <w:tcW w:w="364" w:type="pct"/>
            <w:vAlign w:val="center"/>
          </w:tcPr>
          <w:p w14:paraId="16F2F27C"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22</w:t>
            </w:r>
          </w:p>
        </w:tc>
        <w:tc>
          <w:tcPr>
            <w:tcW w:w="310" w:type="pct"/>
            <w:vAlign w:val="center"/>
          </w:tcPr>
          <w:p w14:paraId="014D2BDC"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w:t>
            </w:r>
          </w:p>
        </w:tc>
        <w:tc>
          <w:tcPr>
            <w:tcW w:w="403" w:type="pct"/>
            <w:vAlign w:val="center"/>
          </w:tcPr>
          <w:p w14:paraId="08983BD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r>
      <w:tr w:rsidR="006F4FD2" w:rsidRPr="009B78DA" w14:paraId="68335807" w14:textId="77777777" w:rsidTr="00781A96">
        <w:tc>
          <w:tcPr>
            <w:tcW w:w="500" w:type="pct"/>
            <w:shd w:val="clear" w:color="auto" w:fill="DEEAF6" w:themeFill="accent1" w:themeFillTint="33"/>
            <w:vAlign w:val="center"/>
          </w:tcPr>
          <w:p w14:paraId="731211AB"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Lesko</w:t>
            </w:r>
          </w:p>
        </w:tc>
        <w:tc>
          <w:tcPr>
            <w:tcW w:w="323" w:type="pct"/>
            <w:vAlign w:val="center"/>
          </w:tcPr>
          <w:p w14:paraId="173CD47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w:t>
            </w:r>
          </w:p>
        </w:tc>
        <w:tc>
          <w:tcPr>
            <w:tcW w:w="442" w:type="pct"/>
            <w:vAlign w:val="center"/>
          </w:tcPr>
          <w:p w14:paraId="13AECEB1"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388" w:type="pct"/>
            <w:vAlign w:val="center"/>
          </w:tcPr>
          <w:p w14:paraId="343C156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444" w:type="pct"/>
            <w:vAlign w:val="center"/>
          </w:tcPr>
          <w:p w14:paraId="000DAD45"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305" w:type="pct"/>
            <w:tcBorders>
              <w:top w:val="single" w:sz="18" w:space="0" w:color="auto"/>
              <w:right w:val="single" w:sz="18" w:space="0" w:color="auto"/>
            </w:tcBorders>
            <w:vAlign w:val="center"/>
          </w:tcPr>
          <w:p w14:paraId="27BCE0EC"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292" w:type="pct"/>
            <w:tcBorders>
              <w:top w:val="single" w:sz="18" w:space="0" w:color="auto"/>
              <w:left w:val="single" w:sz="18" w:space="0" w:color="auto"/>
              <w:bottom w:val="single" w:sz="18" w:space="0" w:color="auto"/>
              <w:right w:val="single" w:sz="18" w:space="0" w:color="auto"/>
            </w:tcBorders>
            <w:vAlign w:val="center"/>
          </w:tcPr>
          <w:p w14:paraId="140D81B3"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408" w:type="pct"/>
            <w:tcBorders>
              <w:left w:val="single" w:sz="18" w:space="0" w:color="auto"/>
              <w:bottom w:val="single" w:sz="18" w:space="0" w:color="auto"/>
            </w:tcBorders>
            <w:vAlign w:val="center"/>
          </w:tcPr>
          <w:p w14:paraId="65356779"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332" w:type="pct"/>
            <w:vAlign w:val="center"/>
          </w:tcPr>
          <w:p w14:paraId="4CCF76A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489" w:type="pct"/>
            <w:vAlign w:val="center"/>
          </w:tcPr>
          <w:p w14:paraId="4E08D65D"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16</w:t>
            </w:r>
          </w:p>
        </w:tc>
        <w:tc>
          <w:tcPr>
            <w:tcW w:w="364" w:type="pct"/>
            <w:vAlign w:val="center"/>
          </w:tcPr>
          <w:p w14:paraId="44148FD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24</w:t>
            </w:r>
          </w:p>
        </w:tc>
        <w:tc>
          <w:tcPr>
            <w:tcW w:w="310" w:type="pct"/>
            <w:vAlign w:val="center"/>
          </w:tcPr>
          <w:p w14:paraId="63E0089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w:t>
            </w:r>
          </w:p>
        </w:tc>
        <w:tc>
          <w:tcPr>
            <w:tcW w:w="403" w:type="pct"/>
            <w:vAlign w:val="center"/>
          </w:tcPr>
          <w:p w14:paraId="24B5A979"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w:t>
            </w:r>
          </w:p>
        </w:tc>
      </w:tr>
      <w:tr w:rsidR="006F4FD2" w:rsidRPr="009B78DA" w14:paraId="66347C86" w14:textId="77777777" w:rsidTr="00781A96">
        <w:tc>
          <w:tcPr>
            <w:tcW w:w="500" w:type="pct"/>
            <w:shd w:val="clear" w:color="auto" w:fill="DEEAF6" w:themeFill="accent1" w:themeFillTint="33"/>
            <w:vAlign w:val="center"/>
          </w:tcPr>
          <w:p w14:paraId="14C4F2EA"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Przemyśl</w:t>
            </w:r>
          </w:p>
        </w:tc>
        <w:tc>
          <w:tcPr>
            <w:tcW w:w="323" w:type="pct"/>
            <w:vAlign w:val="center"/>
          </w:tcPr>
          <w:p w14:paraId="62A7C3D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2" w:type="pct"/>
            <w:vAlign w:val="center"/>
          </w:tcPr>
          <w:p w14:paraId="5910D7DC"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88" w:type="pct"/>
            <w:vAlign w:val="center"/>
          </w:tcPr>
          <w:p w14:paraId="7635FB1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4" w:type="pct"/>
            <w:vAlign w:val="center"/>
          </w:tcPr>
          <w:p w14:paraId="0FEDCDD0"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05" w:type="pct"/>
            <w:vAlign w:val="center"/>
          </w:tcPr>
          <w:p w14:paraId="30FD6A2C"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292" w:type="pct"/>
            <w:tcBorders>
              <w:top w:val="single" w:sz="18" w:space="0" w:color="auto"/>
              <w:right w:val="single" w:sz="18" w:space="0" w:color="auto"/>
            </w:tcBorders>
            <w:vAlign w:val="center"/>
          </w:tcPr>
          <w:p w14:paraId="04DEEA03"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408" w:type="pct"/>
            <w:tcBorders>
              <w:top w:val="single" w:sz="18" w:space="0" w:color="auto"/>
              <w:left w:val="single" w:sz="18" w:space="0" w:color="auto"/>
              <w:bottom w:val="single" w:sz="18" w:space="0" w:color="auto"/>
              <w:right w:val="single" w:sz="18" w:space="0" w:color="auto"/>
            </w:tcBorders>
            <w:vAlign w:val="center"/>
          </w:tcPr>
          <w:p w14:paraId="76C42843"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332" w:type="pct"/>
            <w:tcBorders>
              <w:left w:val="single" w:sz="18" w:space="0" w:color="auto"/>
              <w:bottom w:val="single" w:sz="18" w:space="0" w:color="auto"/>
            </w:tcBorders>
            <w:vAlign w:val="center"/>
          </w:tcPr>
          <w:p w14:paraId="5E4994DD"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w:t>
            </w:r>
          </w:p>
        </w:tc>
        <w:tc>
          <w:tcPr>
            <w:tcW w:w="489" w:type="pct"/>
            <w:vAlign w:val="center"/>
          </w:tcPr>
          <w:p w14:paraId="47E0CC4F"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64" w:type="pct"/>
            <w:vAlign w:val="center"/>
          </w:tcPr>
          <w:p w14:paraId="160ACD5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310" w:type="pct"/>
            <w:vAlign w:val="center"/>
          </w:tcPr>
          <w:p w14:paraId="37753A6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03" w:type="pct"/>
            <w:vAlign w:val="center"/>
          </w:tcPr>
          <w:p w14:paraId="274D940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r w:rsidR="006F4FD2" w:rsidRPr="009B78DA" w14:paraId="44558A04" w14:textId="77777777" w:rsidTr="00781A96">
        <w:tc>
          <w:tcPr>
            <w:tcW w:w="500" w:type="pct"/>
            <w:shd w:val="clear" w:color="auto" w:fill="DEEAF6" w:themeFill="accent1" w:themeFillTint="33"/>
            <w:vAlign w:val="center"/>
          </w:tcPr>
          <w:p w14:paraId="069A126D"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Krosno</w:t>
            </w:r>
          </w:p>
        </w:tc>
        <w:tc>
          <w:tcPr>
            <w:tcW w:w="323" w:type="pct"/>
            <w:vAlign w:val="center"/>
          </w:tcPr>
          <w:p w14:paraId="5FC188BB"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442" w:type="pct"/>
            <w:vAlign w:val="center"/>
          </w:tcPr>
          <w:p w14:paraId="1EA7636C"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388" w:type="pct"/>
            <w:vAlign w:val="center"/>
          </w:tcPr>
          <w:p w14:paraId="169DF8E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w:t>
            </w:r>
          </w:p>
        </w:tc>
        <w:tc>
          <w:tcPr>
            <w:tcW w:w="444" w:type="pct"/>
            <w:vAlign w:val="center"/>
          </w:tcPr>
          <w:p w14:paraId="4561B6FD"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w:t>
            </w:r>
          </w:p>
        </w:tc>
        <w:tc>
          <w:tcPr>
            <w:tcW w:w="305" w:type="pct"/>
            <w:vAlign w:val="center"/>
          </w:tcPr>
          <w:p w14:paraId="50B5ED4A"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292" w:type="pct"/>
            <w:vAlign w:val="center"/>
          </w:tcPr>
          <w:p w14:paraId="6E5D0081"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408" w:type="pct"/>
            <w:tcBorders>
              <w:top w:val="single" w:sz="18" w:space="0" w:color="auto"/>
              <w:right w:val="single" w:sz="18" w:space="0" w:color="auto"/>
            </w:tcBorders>
            <w:vAlign w:val="center"/>
          </w:tcPr>
          <w:p w14:paraId="00E93FCA"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w:t>
            </w:r>
          </w:p>
        </w:tc>
        <w:tc>
          <w:tcPr>
            <w:tcW w:w="332" w:type="pct"/>
            <w:tcBorders>
              <w:top w:val="single" w:sz="18" w:space="0" w:color="auto"/>
              <w:left w:val="single" w:sz="18" w:space="0" w:color="auto"/>
              <w:bottom w:val="single" w:sz="18" w:space="0" w:color="auto"/>
              <w:right w:val="single" w:sz="18" w:space="0" w:color="auto"/>
            </w:tcBorders>
            <w:vAlign w:val="center"/>
          </w:tcPr>
          <w:p w14:paraId="0F40E3A8"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489" w:type="pct"/>
            <w:tcBorders>
              <w:left w:val="single" w:sz="18" w:space="0" w:color="auto"/>
              <w:bottom w:val="single" w:sz="18" w:space="0" w:color="auto"/>
            </w:tcBorders>
            <w:vAlign w:val="center"/>
          </w:tcPr>
          <w:p w14:paraId="476A4B25"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364" w:type="pct"/>
            <w:vAlign w:val="center"/>
          </w:tcPr>
          <w:p w14:paraId="53D1A8BD"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23</w:t>
            </w:r>
          </w:p>
        </w:tc>
        <w:tc>
          <w:tcPr>
            <w:tcW w:w="310" w:type="pct"/>
            <w:vAlign w:val="center"/>
          </w:tcPr>
          <w:p w14:paraId="2D43382C"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403" w:type="pct"/>
            <w:vAlign w:val="center"/>
          </w:tcPr>
          <w:p w14:paraId="06CEBDD7"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w:t>
            </w:r>
          </w:p>
        </w:tc>
      </w:tr>
      <w:tr w:rsidR="006F4FD2" w:rsidRPr="009B78DA" w14:paraId="70149DCB" w14:textId="77777777" w:rsidTr="00781A96">
        <w:tc>
          <w:tcPr>
            <w:tcW w:w="500" w:type="pct"/>
            <w:shd w:val="clear" w:color="auto" w:fill="DEEAF6" w:themeFill="accent1" w:themeFillTint="33"/>
            <w:vAlign w:val="center"/>
          </w:tcPr>
          <w:p w14:paraId="209C9C0A"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Tarnobrzeg</w:t>
            </w:r>
          </w:p>
        </w:tc>
        <w:tc>
          <w:tcPr>
            <w:tcW w:w="323" w:type="pct"/>
            <w:vAlign w:val="center"/>
          </w:tcPr>
          <w:p w14:paraId="331AE448"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2" w:type="pct"/>
            <w:vAlign w:val="center"/>
          </w:tcPr>
          <w:p w14:paraId="29B45DEC"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88" w:type="pct"/>
            <w:vAlign w:val="center"/>
          </w:tcPr>
          <w:p w14:paraId="0783F051"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4" w:type="pct"/>
            <w:vAlign w:val="center"/>
          </w:tcPr>
          <w:p w14:paraId="6BA71523"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305" w:type="pct"/>
            <w:vAlign w:val="center"/>
          </w:tcPr>
          <w:p w14:paraId="03E2C50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w:t>
            </w:r>
          </w:p>
        </w:tc>
        <w:tc>
          <w:tcPr>
            <w:tcW w:w="292" w:type="pct"/>
            <w:vAlign w:val="center"/>
          </w:tcPr>
          <w:p w14:paraId="2DAD1A79"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16</w:t>
            </w:r>
          </w:p>
        </w:tc>
        <w:tc>
          <w:tcPr>
            <w:tcW w:w="408" w:type="pct"/>
            <w:vAlign w:val="center"/>
          </w:tcPr>
          <w:p w14:paraId="64DD5CA3"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32" w:type="pct"/>
            <w:tcBorders>
              <w:top w:val="single" w:sz="18" w:space="0" w:color="auto"/>
              <w:right w:val="single" w:sz="18" w:space="0" w:color="auto"/>
            </w:tcBorders>
            <w:vAlign w:val="center"/>
          </w:tcPr>
          <w:p w14:paraId="1B37BA6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489" w:type="pct"/>
            <w:tcBorders>
              <w:top w:val="single" w:sz="18" w:space="0" w:color="auto"/>
              <w:left w:val="single" w:sz="18" w:space="0" w:color="auto"/>
              <w:bottom w:val="single" w:sz="18" w:space="0" w:color="auto"/>
              <w:right w:val="single" w:sz="18" w:space="0" w:color="auto"/>
            </w:tcBorders>
            <w:vAlign w:val="center"/>
          </w:tcPr>
          <w:p w14:paraId="43F6A515"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364" w:type="pct"/>
            <w:tcBorders>
              <w:left w:val="single" w:sz="18" w:space="0" w:color="auto"/>
              <w:bottom w:val="single" w:sz="18" w:space="0" w:color="auto"/>
            </w:tcBorders>
            <w:vAlign w:val="center"/>
          </w:tcPr>
          <w:p w14:paraId="6828022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10" w:type="pct"/>
            <w:vAlign w:val="center"/>
          </w:tcPr>
          <w:p w14:paraId="61E75EB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03" w:type="pct"/>
            <w:vAlign w:val="center"/>
          </w:tcPr>
          <w:p w14:paraId="042A914B"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r>
      <w:tr w:rsidR="006F4FD2" w:rsidRPr="009B78DA" w14:paraId="3AF438D7" w14:textId="77777777" w:rsidTr="00781A96">
        <w:tc>
          <w:tcPr>
            <w:tcW w:w="500" w:type="pct"/>
            <w:shd w:val="clear" w:color="auto" w:fill="DEEAF6" w:themeFill="accent1" w:themeFillTint="33"/>
            <w:vAlign w:val="center"/>
          </w:tcPr>
          <w:p w14:paraId="61F673BF"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Stalowa Wola</w:t>
            </w:r>
          </w:p>
        </w:tc>
        <w:tc>
          <w:tcPr>
            <w:tcW w:w="323" w:type="pct"/>
            <w:vAlign w:val="center"/>
          </w:tcPr>
          <w:p w14:paraId="46C36218"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442" w:type="pct"/>
            <w:vAlign w:val="center"/>
          </w:tcPr>
          <w:p w14:paraId="50970849"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388" w:type="pct"/>
            <w:vAlign w:val="center"/>
          </w:tcPr>
          <w:p w14:paraId="4D25C2F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w:t>
            </w:r>
          </w:p>
        </w:tc>
        <w:tc>
          <w:tcPr>
            <w:tcW w:w="444" w:type="pct"/>
            <w:vAlign w:val="center"/>
          </w:tcPr>
          <w:p w14:paraId="3CB6686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305" w:type="pct"/>
            <w:vAlign w:val="center"/>
          </w:tcPr>
          <w:p w14:paraId="3CCF56D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22</w:t>
            </w:r>
          </w:p>
        </w:tc>
        <w:tc>
          <w:tcPr>
            <w:tcW w:w="292" w:type="pct"/>
            <w:vAlign w:val="center"/>
          </w:tcPr>
          <w:p w14:paraId="79432468"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24</w:t>
            </w:r>
          </w:p>
        </w:tc>
        <w:tc>
          <w:tcPr>
            <w:tcW w:w="408" w:type="pct"/>
            <w:vAlign w:val="center"/>
          </w:tcPr>
          <w:p w14:paraId="1FD8B3BA"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332" w:type="pct"/>
            <w:vAlign w:val="center"/>
          </w:tcPr>
          <w:p w14:paraId="5773A97B"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23</w:t>
            </w:r>
          </w:p>
        </w:tc>
        <w:tc>
          <w:tcPr>
            <w:tcW w:w="489" w:type="pct"/>
            <w:tcBorders>
              <w:top w:val="single" w:sz="18" w:space="0" w:color="auto"/>
              <w:right w:val="single" w:sz="18" w:space="0" w:color="auto"/>
            </w:tcBorders>
            <w:vAlign w:val="center"/>
          </w:tcPr>
          <w:p w14:paraId="0B39B565"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64" w:type="pct"/>
            <w:tcBorders>
              <w:top w:val="single" w:sz="18" w:space="0" w:color="auto"/>
              <w:left w:val="single" w:sz="18" w:space="0" w:color="auto"/>
              <w:bottom w:val="single" w:sz="18" w:space="0" w:color="auto"/>
              <w:right w:val="single" w:sz="18" w:space="0" w:color="auto"/>
            </w:tcBorders>
            <w:vAlign w:val="center"/>
          </w:tcPr>
          <w:p w14:paraId="3FF091C6"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310" w:type="pct"/>
            <w:tcBorders>
              <w:left w:val="single" w:sz="18" w:space="0" w:color="auto"/>
              <w:bottom w:val="single" w:sz="18" w:space="0" w:color="auto"/>
            </w:tcBorders>
            <w:vAlign w:val="center"/>
          </w:tcPr>
          <w:p w14:paraId="0B15279C"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03" w:type="pct"/>
            <w:vAlign w:val="center"/>
          </w:tcPr>
          <w:p w14:paraId="459D348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r w:rsidR="006F4FD2" w:rsidRPr="009B78DA" w14:paraId="04EA409F" w14:textId="77777777" w:rsidTr="00781A96">
        <w:tc>
          <w:tcPr>
            <w:tcW w:w="500" w:type="pct"/>
            <w:shd w:val="clear" w:color="auto" w:fill="DEEAF6" w:themeFill="accent1" w:themeFillTint="33"/>
            <w:vAlign w:val="center"/>
          </w:tcPr>
          <w:p w14:paraId="4635733C"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Mielec</w:t>
            </w:r>
          </w:p>
        </w:tc>
        <w:tc>
          <w:tcPr>
            <w:tcW w:w="323" w:type="pct"/>
            <w:vAlign w:val="center"/>
          </w:tcPr>
          <w:p w14:paraId="0B92AA8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2" w:type="pct"/>
            <w:vAlign w:val="center"/>
          </w:tcPr>
          <w:p w14:paraId="14A5B054"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w:t>
            </w:r>
          </w:p>
        </w:tc>
        <w:tc>
          <w:tcPr>
            <w:tcW w:w="388" w:type="pct"/>
            <w:vAlign w:val="center"/>
          </w:tcPr>
          <w:p w14:paraId="336A3679"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4" w:type="pct"/>
            <w:vAlign w:val="center"/>
          </w:tcPr>
          <w:p w14:paraId="0CB87D07"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305" w:type="pct"/>
            <w:vAlign w:val="center"/>
          </w:tcPr>
          <w:p w14:paraId="1CA12A7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w:t>
            </w:r>
          </w:p>
        </w:tc>
        <w:tc>
          <w:tcPr>
            <w:tcW w:w="292" w:type="pct"/>
            <w:vAlign w:val="center"/>
          </w:tcPr>
          <w:p w14:paraId="6DE61407"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w:t>
            </w:r>
          </w:p>
        </w:tc>
        <w:tc>
          <w:tcPr>
            <w:tcW w:w="408" w:type="pct"/>
            <w:vAlign w:val="center"/>
          </w:tcPr>
          <w:p w14:paraId="2E9B4EB9"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32" w:type="pct"/>
            <w:vAlign w:val="center"/>
          </w:tcPr>
          <w:p w14:paraId="1727E48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489" w:type="pct"/>
            <w:vAlign w:val="center"/>
          </w:tcPr>
          <w:p w14:paraId="7077CACA"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64" w:type="pct"/>
            <w:tcBorders>
              <w:top w:val="single" w:sz="18" w:space="0" w:color="auto"/>
              <w:right w:val="single" w:sz="18" w:space="0" w:color="auto"/>
            </w:tcBorders>
            <w:vAlign w:val="center"/>
          </w:tcPr>
          <w:p w14:paraId="3EAB91DB"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10" w:type="pct"/>
            <w:tcBorders>
              <w:top w:val="single" w:sz="18" w:space="0" w:color="auto"/>
              <w:left w:val="single" w:sz="18" w:space="0" w:color="auto"/>
              <w:bottom w:val="single" w:sz="18" w:space="0" w:color="auto"/>
              <w:right w:val="single" w:sz="18" w:space="0" w:color="auto"/>
            </w:tcBorders>
            <w:vAlign w:val="center"/>
          </w:tcPr>
          <w:p w14:paraId="57075CBE"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403" w:type="pct"/>
            <w:tcBorders>
              <w:left w:val="single" w:sz="18" w:space="0" w:color="auto"/>
              <w:bottom w:val="single" w:sz="18" w:space="0" w:color="auto"/>
            </w:tcBorders>
            <w:vAlign w:val="center"/>
          </w:tcPr>
          <w:p w14:paraId="507DCB3A"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r>
      <w:tr w:rsidR="006F4FD2" w:rsidRPr="009B78DA" w14:paraId="138A9645" w14:textId="77777777" w:rsidTr="00781A96">
        <w:tc>
          <w:tcPr>
            <w:tcW w:w="500" w:type="pct"/>
            <w:shd w:val="clear" w:color="auto" w:fill="DEEAF6" w:themeFill="accent1" w:themeFillTint="33"/>
            <w:vAlign w:val="center"/>
          </w:tcPr>
          <w:p w14:paraId="29BDD15B" w14:textId="77777777" w:rsidR="003F4ECB" w:rsidRPr="009B78DA" w:rsidRDefault="003F4ECB" w:rsidP="00354781">
            <w:pPr>
              <w:spacing w:before="40" w:after="4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Rzeszów</w:t>
            </w:r>
          </w:p>
        </w:tc>
        <w:tc>
          <w:tcPr>
            <w:tcW w:w="323" w:type="pct"/>
            <w:vAlign w:val="center"/>
          </w:tcPr>
          <w:p w14:paraId="72154F5F"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2" w:type="pct"/>
            <w:vAlign w:val="center"/>
          </w:tcPr>
          <w:p w14:paraId="3692DC0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88" w:type="pct"/>
            <w:vAlign w:val="center"/>
          </w:tcPr>
          <w:p w14:paraId="3B0F132A"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44" w:type="pct"/>
            <w:vAlign w:val="center"/>
          </w:tcPr>
          <w:p w14:paraId="4C5F1550"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w:t>
            </w:r>
          </w:p>
        </w:tc>
        <w:tc>
          <w:tcPr>
            <w:tcW w:w="305" w:type="pct"/>
            <w:vAlign w:val="center"/>
          </w:tcPr>
          <w:p w14:paraId="76C17CD8"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292" w:type="pct"/>
            <w:vAlign w:val="center"/>
          </w:tcPr>
          <w:p w14:paraId="77DF620D"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w:t>
            </w:r>
          </w:p>
        </w:tc>
        <w:tc>
          <w:tcPr>
            <w:tcW w:w="408" w:type="pct"/>
            <w:vAlign w:val="center"/>
          </w:tcPr>
          <w:p w14:paraId="4FC18907"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332" w:type="pct"/>
            <w:vAlign w:val="center"/>
          </w:tcPr>
          <w:p w14:paraId="4EB2B892"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w:t>
            </w:r>
          </w:p>
        </w:tc>
        <w:tc>
          <w:tcPr>
            <w:tcW w:w="489" w:type="pct"/>
            <w:vAlign w:val="center"/>
          </w:tcPr>
          <w:p w14:paraId="395F8983"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364" w:type="pct"/>
            <w:vAlign w:val="center"/>
          </w:tcPr>
          <w:p w14:paraId="212B4394"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310" w:type="pct"/>
            <w:tcBorders>
              <w:top w:val="single" w:sz="18" w:space="0" w:color="auto"/>
              <w:right w:val="single" w:sz="18" w:space="0" w:color="auto"/>
            </w:tcBorders>
            <w:vAlign w:val="center"/>
          </w:tcPr>
          <w:p w14:paraId="13CC4834"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403" w:type="pct"/>
            <w:tcBorders>
              <w:top w:val="single" w:sz="18" w:space="0" w:color="auto"/>
              <w:left w:val="single" w:sz="18" w:space="0" w:color="auto"/>
              <w:bottom w:val="single" w:sz="18" w:space="0" w:color="auto"/>
              <w:right w:val="single" w:sz="18" w:space="0" w:color="auto"/>
            </w:tcBorders>
            <w:vAlign w:val="center"/>
          </w:tcPr>
          <w:p w14:paraId="1EFAB8A7" w14:textId="77777777" w:rsidR="003F4ECB" w:rsidRPr="009B78DA" w:rsidRDefault="003F4ECB" w:rsidP="00D90B3A">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r>
    </w:tbl>
    <w:p w14:paraId="10B04207" w14:textId="1105018F" w:rsidR="002A2B28" w:rsidRPr="009B78DA" w:rsidRDefault="00ED3BA1" w:rsidP="003F50D6">
      <w:pPr>
        <w:spacing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Pr="009B78DA">
        <w:rPr>
          <w:rFonts w:ascii="Arial" w:hAnsi="Arial" w:cs="Arial"/>
          <w:i/>
          <w:color w:val="000000" w:themeColor="text1"/>
          <w:sz w:val="22"/>
          <w:szCs w:val="22"/>
        </w:rPr>
        <w:t>Diagnoza stanu systemu transportowego w województwie podkarpackim</w:t>
      </w:r>
      <w:r w:rsidRPr="009B78DA">
        <w:rPr>
          <w:rFonts w:ascii="Arial" w:hAnsi="Arial" w:cs="Arial"/>
          <w:color w:val="000000" w:themeColor="text1"/>
          <w:sz w:val="22"/>
          <w:szCs w:val="22"/>
        </w:rPr>
        <w:t>, PBPP w Rzeszowie, 2020</w:t>
      </w:r>
      <w:r w:rsidR="001E00EE" w:rsidRPr="009B78DA">
        <w:rPr>
          <w:rFonts w:ascii="Arial" w:hAnsi="Arial" w:cs="Arial"/>
          <w:color w:val="000000" w:themeColor="text1"/>
          <w:sz w:val="22"/>
          <w:szCs w:val="22"/>
        </w:rPr>
        <w:t>/2021</w:t>
      </w:r>
    </w:p>
    <w:p w14:paraId="6F425CE9" w14:textId="28564560" w:rsidR="00B43CA6" w:rsidRPr="009B78DA" w:rsidRDefault="00ED3BA1" w:rsidP="00F45E35">
      <w:pPr>
        <w:spacing w:after="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Przedziały:</w:t>
      </w:r>
    </w:p>
    <w:p w14:paraId="10F0C747" w14:textId="77777777" w:rsidR="00B43CA6" w:rsidRPr="009B78DA" w:rsidRDefault="00B43CA6" w:rsidP="006109EE">
      <w:pPr>
        <w:pStyle w:val="Akapitzlist"/>
        <w:numPr>
          <w:ilvl w:val="0"/>
          <w:numId w:val="30"/>
        </w:numPr>
        <w:spacing w:after="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0</w:t>
      </w:r>
    </w:p>
    <w:p w14:paraId="0019ACFD" w14:textId="77777777" w:rsidR="00B43CA6" w:rsidRPr="009B78DA" w:rsidRDefault="00B43CA6" w:rsidP="006109EE">
      <w:pPr>
        <w:pStyle w:val="Akapitzlist"/>
        <w:numPr>
          <w:ilvl w:val="0"/>
          <w:numId w:val="30"/>
        </w:numPr>
        <w:spacing w:after="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1-5</w:t>
      </w:r>
    </w:p>
    <w:p w14:paraId="740E103E" w14:textId="77777777" w:rsidR="00B43CA6" w:rsidRPr="009B78DA" w:rsidRDefault="00B43CA6" w:rsidP="006109EE">
      <w:pPr>
        <w:pStyle w:val="Akapitzlist"/>
        <w:numPr>
          <w:ilvl w:val="0"/>
          <w:numId w:val="30"/>
        </w:numPr>
        <w:spacing w:after="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6-10</w:t>
      </w:r>
    </w:p>
    <w:p w14:paraId="5A920C6A" w14:textId="77777777" w:rsidR="00B43CA6" w:rsidRPr="009B78DA" w:rsidRDefault="00B43CA6" w:rsidP="006109EE">
      <w:pPr>
        <w:pStyle w:val="Akapitzlist"/>
        <w:numPr>
          <w:ilvl w:val="0"/>
          <w:numId w:val="30"/>
        </w:numPr>
        <w:spacing w:after="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11 – 15</w:t>
      </w:r>
    </w:p>
    <w:p w14:paraId="2FF329BB" w14:textId="77777777" w:rsidR="00B43CA6" w:rsidRPr="009B78DA" w:rsidRDefault="00B43CA6" w:rsidP="006109EE">
      <w:pPr>
        <w:pStyle w:val="Akapitzlist"/>
        <w:numPr>
          <w:ilvl w:val="0"/>
          <w:numId w:val="30"/>
        </w:numPr>
        <w:spacing w:after="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16 – 20</w:t>
      </w:r>
    </w:p>
    <w:p w14:paraId="197466F9" w14:textId="2CA3FCA8" w:rsidR="002A2B28" w:rsidRPr="009B78DA" w:rsidRDefault="00B43CA6" w:rsidP="006109EE">
      <w:pPr>
        <w:pStyle w:val="Akapitzlist"/>
        <w:numPr>
          <w:ilvl w:val="0"/>
          <w:numId w:val="30"/>
        </w:numPr>
        <w:spacing w:after="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21 - 25</w:t>
      </w:r>
    </w:p>
    <w:p w14:paraId="4AF35228" w14:textId="5FB198DF" w:rsidR="000770FD" w:rsidRPr="009B78DA" w:rsidRDefault="000770FD" w:rsidP="000770FD">
      <w:pPr>
        <w:pStyle w:val="Legenda"/>
        <w:keepNext/>
        <w:rPr>
          <w:rFonts w:ascii="Arial" w:hAnsi="Arial" w:cs="Arial"/>
          <w:i w:val="0"/>
          <w:color w:val="000000" w:themeColor="text1"/>
          <w:sz w:val="22"/>
          <w:szCs w:val="22"/>
        </w:rPr>
      </w:pPr>
      <w:bookmarkStart w:id="90" w:name="_Toc146785734"/>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bookmarkStart w:id="91" w:name="_Toc74563135"/>
      <w:r w:rsidRPr="009B78DA">
        <w:rPr>
          <w:rFonts w:ascii="Arial" w:hAnsi="Arial" w:cs="Arial"/>
          <w:i w:val="0"/>
          <w:color w:val="000000" w:themeColor="text1"/>
          <w:sz w:val="22"/>
          <w:szCs w:val="22"/>
        </w:rPr>
        <w:t>Macierz najkrótszych czasów podróży pociągiem między wybranymi miastami obszarów funkcjonalnych w 2020 r. (zaokrąglenie czasów przejazdu do pełnych minut)</w:t>
      </w:r>
      <w:bookmarkEnd w:id="91"/>
      <w:bookmarkEnd w:id="90"/>
    </w:p>
    <w:tbl>
      <w:tblPr>
        <w:tblStyle w:val="Tabela-Siatka"/>
        <w:tblW w:w="0" w:type="auto"/>
        <w:tblLook w:val="04A0" w:firstRow="1" w:lastRow="0" w:firstColumn="1" w:lastColumn="0" w:noHBand="0" w:noVBand="1"/>
        <w:tblCaption w:val="Tabela 4. Macierz najkrótszych czasów podróży pociągiem między wybranymi miastami obszarów funkcjonalnych w 2020 r. (zaokrąglenie czasów przejazdu do pełnych minut)"/>
        <w:tblDescription w:val="Tabela zawiera Miasto, Dębica, Ropczyce, Jarosław, Przeworsk, Sanok, Lesko, Przemyśl, Krosno, Tarnobrzeg, Stalowa Wola, Mielec, Rzeszów"/>
      </w:tblPr>
      <w:tblGrid>
        <w:gridCol w:w="1634"/>
        <w:gridCol w:w="938"/>
        <w:gridCol w:w="1244"/>
        <w:gridCol w:w="1158"/>
        <w:gridCol w:w="1317"/>
        <w:gridCol w:w="877"/>
        <w:gridCol w:w="852"/>
        <w:gridCol w:w="1183"/>
        <w:gridCol w:w="986"/>
        <w:gridCol w:w="1414"/>
        <w:gridCol w:w="1634"/>
        <w:gridCol w:w="889"/>
        <w:gridCol w:w="1146"/>
      </w:tblGrid>
      <w:tr w:rsidR="006F4FD2" w:rsidRPr="009B78DA" w14:paraId="4FAA674C" w14:textId="77777777" w:rsidTr="00781A96">
        <w:trPr>
          <w:tblHeader/>
        </w:trPr>
        <w:tc>
          <w:tcPr>
            <w:tcW w:w="0" w:type="auto"/>
            <w:tcBorders>
              <w:top w:val="single" w:sz="18" w:space="0" w:color="auto"/>
              <w:left w:val="single" w:sz="18" w:space="0" w:color="auto"/>
              <w:bottom w:val="single" w:sz="18" w:space="0" w:color="auto"/>
              <w:right w:val="single" w:sz="18" w:space="0" w:color="auto"/>
            </w:tcBorders>
            <w:shd w:val="clear" w:color="auto" w:fill="DEEAF6" w:themeFill="accent1" w:themeFillTint="33"/>
            <w:vAlign w:val="center"/>
          </w:tcPr>
          <w:p w14:paraId="13AE15AC" w14:textId="77777777" w:rsidR="00B43CA6" w:rsidRPr="009B78DA" w:rsidRDefault="0093186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Miasto</w:t>
            </w:r>
          </w:p>
        </w:tc>
        <w:tc>
          <w:tcPr>
            <w:tcW w:w="0" w:type="auto"/>
            <w:tcBorders>
              <w:left w:val="single" w:sz="18" w:space="0" w:color="auto"/>
              <w:bottom w:val="single" w:sz="8" w:space="0" w:color="auto"/>
            </w:tcBorders>
            <w:shd w:val="clear" w:color="auto" w:fill="DEEAF6" w:themeFill="accent1" w:themeFillTint="33"/>
            <w:vAlign w:val="center"/>
          </w:tcPr>
          <w:p w14:paraId="18821891"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Dębica</w:t>
            </w:r>
          </w:p>
        </w:tc>
        <w:tc>
          <w:tcPr>
            <w:tcW w:w="0" w:type="auto"/>
            <w:shd w:val="clear" w:color="auto" w:fill="DEEAF6" w:themeFill="accent1" w:themeFillTint="33"/>
            <w:vAlign w:val="center"/>
          </w:tcPr>
          <w:p w14:paraId="51F5252D"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Ropczyce</w:t>
            </w:r>
          </w:p>
        </w:tc>
        <w:tc>
          <w:tcPr>
            <w:tcW w:w="0" w:type="auto"/>
            <w:shd w:val="clear" w:color="auto" w:fill="DEEAF6" w:themeFill="accent1" w:themeFillTint="33"/>
            <w:vAlign w:val="center"/>
          </w:tcPr>
          <w:p w14:paraId="44A01985"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Jarosław</w:t>
            </w:r>
          </w:p>
        </w:tc>
        <w:tc>
          <w:tcPr>
            <w:tcW w:w="0" w:type="auto"/>
            <w:shd w:val="clear" w:color="auto" w:fill="DEEAF6" w:themeFill="accent1" w:themeFillTint="33"/>
            <w:vAlign w:val="center"/>
          </w:tcPr>
          <w:p w14:paraId="4CFFEBEA"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Przeworsk</w:t>
            </w:r>
          </w:p>
        </w:tc>
        <w:tc>
          <w:tcPr>
            <w:tcW w:w="0" w:type="auto"/>
            <w:shd w:val="clear" w:color="auto" w:fill="DEEAF6" w:themeFill="accent1" w:themeFillTint="33"/>
            <w:vAlign w:val="center"/>
          </w:tcPr>
          <w:p w14:paraId="110A5FBB"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Sanok</w:t>
            </w:r>
          </w:p>
        </w:tc>
        <w:tc>
          <w:tcPr>
            <w:tcW w:w="0" w:type="auto"/>
            <w:shd w:val="clear" w:color="auto" w:fill="DEEAF6" w:themeFill="accent1" w:themeFillTint="33"/>
            <w:vAlign w:val="center"/>
          </w:tcPr>
          <w:p w14:paraId="560735BD"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Lesko</w:t>
            </w:r>
          </w:p>
        </w:tc>
        <w:tc>
          <w:tcPr>
            <w:tcW w:w="0" w:type="auto"/>
            <w:shd w:val="clear" w:color="auto" w:fill="DEEAF6" w:themeFill="accent1" w:themeFillTint="33"/>
            <w:vAlign w:val="center"/>
          </w:tcPr>
          <w:p w14:paraId="6DA58553"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Przemyśl</w:t>
            </w:r>
          </w:p>
        </w:tc>
        <w:tc>
          <w:tcPr>
            <w:tcW w:w="0" w:type="auto"/>
            <w:shd w:val="clear" w:color="auto" w:fill="DEEAF6" w:themeFill="accent1" w:themeFillTint="33"/>
            <w:vAlign w:val="center"/>
          </w:tcPr>
          <w:p w14:paraId="01F8B00D"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Krosno</w:t>
            </w:r>
          </w:p>
        </w:tc>
        <w:tc>
          <w:tcPr>
            <w:tcW w:w="0" w:type="auto"/>
            <w:shd w:val="clear" w:color="auto" w:fill="DEEAF6" w:themeFill="accent1" w:themeFillTint="33"/>
            <w:vAlign w:val="center"/>
          </w:tcPr>
          <w:p w14:paraId="3C868F9B"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Tarnobrzeg</w:t>
            </w:r>
          </w:p>
        </w:tc>
        <w:tc>
          <w:tcPr>
            <w:tcW w:w="0" w:type="auto"/>
            <w:shd w:val="clear" w:color="auto" w:fill="DEEAF6" w:themeFill="accent1" w:themeFillTint="33"/>
            <w:vAlign w:val="center"/>
          </w:tcPr>
          <w:p w14:paraId="113FFF96"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Stalowa Wola</w:t>
            </w:r>
          </w:p>
        </w:tc>
        <w:tc>
          <w:tcPr>
            <w:tcW w:w="0" w:type="auto"/>
            <w:shd w:val="clear" w:color="auto" w:fill="DEEAF6" w:themeFill="accent1" w:themeFillTint="33"/>
            <w:vAlign w:val="center"/>
          </w:tcPr>
          <w:p w14:paraId="5F3CD28A"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Mielec</w:t>
            </w:r>
          </w:p>
        </w:tc>
        <w:tc>
          <w:tcPr>
            <w:tcW w:w="0" w:type="auto"/>
            <w:shd w:val="clear" w:color="auto" w:fill="DEEAF6" w:themeFill="accent1" w:themeFillTint="33"/>
            <w:vAlign w:val="center"/>
          </w:tcPr>
          <w:p w14:paraId="3B65E90D" w14:textId="77777777" w:rsidR="00B43CA6" w:rsidRPr="009B78DA" w:rsidRDefault="00B43CA6" w:rsidP="00D90B3A">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Rzeszów</w:t>
            </w:r>
          </w:p>
        </w:tc>
      </w:tr>
      <w:tr w:rsidR="006F4FD2" w:rsidRPr="009B78DA" w14:paraId="3848ED18" w14:textId="77777777" w:rsidTr="00781A96">
        <w:tc>
          <w:tcPr>
            <w:tcW w:w="0" w:type="auto"/>
            <w:tcBorders>
              <w:top w:val="single" w:sz="18" w:space="0" w:color="auto"/>
              <w:right w:val="single" w:sz="18" w:space="0" w:color="auto"/>
            </w:tcBorders>
            <w:shd w:val="clear" w:color="auto" w:fill="DEEAF6" w:themeFill="accent1" w:themeFillTint="33"/>
            <w:vAlign w:val="center"/>
          </w:tcPr>
          <w:p w14:paraId="5749A4B3" w14:textId="77777777"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Dębica</w:t>
            </w:r>
          </w:p>
        </w:tc>
        <w:tc>
          <w:tcPr>
            <w:tcW w:w="0" w:type="auto"/>
            <w:tcBorders>
              <w:top w:val="single" w:sz="8" w:space="0" w:color="auto"/>
              <w:left w:val="single" w:sz="18" w:space="0" w:color="auto"/>
              <w:bottom w:val="single" w:sz="18" w:space="0" w:color="auto"/>
              <w:right w:val="single" w:sz="18" w:space="0" w:color="auto"/>
            </w:tcBorders>
            <w:vAlign w:val="center"/>
          </w:tcPr>
          <w:p w14:paraId="3F405BEA"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0" w:type="auto"/>
            <w:tcBorders>
              <w:left w:val="single" w:sz="18" w:space="0" w:color="auto"/>
              <w:bottom w:val="single" w:sz="18" w:space="0" w:color="auto"/>
            </w:tcBorders>
            <w:vAlign w:val="center"/>
          </w:tcPr>
          <w:p w14:paraId="231307A3"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7</w:t>
            </w:r>
          </w:p>
        </w:tc>
        <w:tc>
          <w:tcPr>
            <w:tcW w:w="0" w:type="auto"/>
            <w:vAlign w:val="center"/>
          </w:tcPr>
          <w:p w14:paraId="2C18B3B6"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62</w:t>
            </w:r>
          </w:p>
        </w:tc>
        <w:tc>
          <w:tcPr>
            <w:tcW w:w="0" w:type="auto"/>
            <w:vAlign w:val="center"/>
          </w:tcPr>
          <w:p w14:paraId="4AB30922"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52</w:t>
            </w:r>
          </w:p>
        </w:tc>
        <w:tc>
          <w:tcPr>
            <w:tcW w:w="0" w:type="auto"/>
            <w:vAlign w:val="center"/>
          </w:tcPr>
          <w:p w14:paraId="51724A26"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223</w:t>
            </w:r>
          </w:p>
        </w:tc>
        <w:tc>
          <w:tcPr>
            <w:tcW w:w="0" w:type="auto"/>
            <w:vAlign w:val="center"/>
          </w:tcPr>
          <w:p w14:paraId="289363C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3966B5A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94</w:t>
            </w:r>
          </w:p>
        </w:tc>
        <w:tc>
          <w:tcPr>
            <w:tcW w:w="0" w:type="auto"/>
            <w:vAlign w:val="center"/>
          </w:tcPr>
          <w:p w14:paraId="3454DADC"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166</w:t>
            </w:r>
          </w:p>
        </w:tc>
        <w:tc>
          <w:tcPr>
            <w:tcW w:w="0" w:type="auto"/>
            <w:vAlign w:val="center"/>
          </w:tcPr>
          <w:p w14:paraId="365CED0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117</w:t>
            </w:r>
          </w:p>
        </w:tc>
        <w:tc>
          <w:tcPr>
            <w:tcW w:w="0" w:type="auto"/>
            <w:vAlign w:val="center"/>
          </w:tcPr>
          <w:p w14:paraId="25FF28B3"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147</w:t>
            </w:r>
          </w:p>
        </w:tc>
        <w:tc>
          <w:tcPr>
            <w:tcW w:w="0" w:type="auto"/>
            <w:vAlign w:val="center"/>
          </w:tcPr>
          <w:p w14:paraId="48C9231C"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6754B8F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23</w:t>
            </w:r>
          </w:p>
        </w:tc>
      </w:tr>
      <w:tr w:rsidR="006F4FD2" w:rsidRPr="009B78DA" w14:paraId="6530272F" w14:textId="77777777" w:rsidTr="00781A96">
        <w:tc>
          <w:tcPr>
            <w:tcW w:w="0" w:type="auto"/>
            <w:shd w:val="clear" w:color="auto" w:fill="DEEAF6" w:themeFill="accent1" w:themeFillTint="33"/>
            <w:vAlign w:val="center"/>
          </w:tcPr>
          <w:p w14:paraId="60BC73E1" w14:textId="77777777"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Ropczyce</w:t>
            </w:r>
          </w:p>
        </w:tc>
        <w:tc>
          <w:tcPr>
            <w:tcW w:w="0" w:type="auto"/>
            <w:tcBorders>
              <w:top w:val="single" w:sz="18" w:space="0" w:color="auto"/>
              <w:right w:val="single" w:sz="18" w:space="0" w:color="auto"/>
            </w:tcBorders>
            <w:vAlign w:val="center"/>
          </w:tcPr>
          <w:p w14:paraId="38B6677D"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7</w:t>
            </w:r>
          </w:p>
        </w:tc>
        <w:tc>
          <w:tcPr>
            <w:tcW w:w="0" w:type="auto"/>
            <w:tcBorders>
              <w:top w:val="single" w:sz="18" w:space="0" w:color="auto"/>
              <w:left w:val="single" w:sz="18" w:space="0" w:color="auto"/>
              <w:bottom w:val="single" w:sz="18" w:space="0" w:color="auto"/>
              <w:right w:val="single" w:sz="18" w:space="0" w:color="auto"/>
            </w:tcBorders>
            <w:vAlign w:val="center"/>
          </w:tcPr>
          <w:p w14:paraId="48ACFDB4"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0" w:type="auto"/>
            <w:tcBorders>
              <w:left w:val="single" w:sz="18" w:space="0" w:color="auto"/>
              <w:bottom w:val="single" w:sz="18" w:space="0" w:color="auto"/>
            </w:tcBorders>
            <w:vAlign w:val="center"/>
          </w:tcPr>
          <w:p w14:paraId="2F8DAD52"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64</w:t>
            </w:r>
          </w:p>
        </w:tc>
        <w:tc>
          <w:tcPr>
            <w:tcW w:w="0" w:type="auto"/>
            <w:vAlign w:val="center"/>
          </w:tcPr>
          <w:p w14:paraId="693EEED7"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54</w:t>
            </w:r>
          </w:p>
        </w:tc>
        <w:tc>
          <w:tcPr>
            <w:tcW w:w="0" w:type="auto"/>
            <w:vAlign w:val="center"/>
          </w:tcPr>
          <w:p w14:paraId="2E5D95F5"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212</w:t>
            </w:r>
          </w:p>
        </w:tc>
        <w:tc>
          <w:tcPr>
            <w:tcW w:w="0" w:type="auto"/>
            <w:vAlign w:val="center"/>
          </w:tcPr>
          <w:p w14:paraId="574EA867"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7F9F4D6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95</w:t>
            </w:r>
          </w:p>
        </w:tc>
        <w:tc>
          <w:tcPr>
            <w:tcW w:w="0" w:type="auto"/>
            <w:vAlign w:val="center"/>
          </w:tcPr>
          <w:p w14:paraId="1D6A893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155</w:t>
            </w:r>
          </w:p>
        </w:tc>
        <w:tc>
          <w:tcPr>
            <w:tcW w:w="0" w:type="auto"/>
            <w:vAlign w:val="center"/>
          </w:tcPr>
          <w:p w14:paraId="1B1FFB5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127</w:t>
            </w:r>
          </w:p>
        </w:tc>
        <w:tc>
          <w:tcPr>
            <w:tcW w:w="0" w:type="auto"/>
            <w:vAlign w:val="center"/>
          </w:tcPr>
          <w:p w14:paraId="34FA476B"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146</w:t>
            </w:r>
          </w:p>
        </w:tc>
        <w:tc>
          <w:tcPr>
            <w:tcW w:w="0" w:type="auto"/>
            <w:vAlign w:val="center"/>
          </w:tcPr>
          <w:p w14:paraId="0092B5A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174FA315"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22</w:t>
            </w:r>
          </w:p>
        </w:tc>
      </w:tr>
      <w:tr w:rsidR="006F4FD2" w:rsidRPr="009B78DA" w14:paraId="2A6904CE" w14:textId="77777777" w:rsidTr="00781A96">
        <w:tc>
          <w:tcPr>
            <w:tcW w:w="0" w:type="auto"/>
            <w:shd w:val="clear" w:color="auto" w:fill="DEEAF6" w:themeFill="accent1" w:themeFillTint="33"/>
            <w:vAlign w:val="center"/>
          </w:tcPr>
          <w:p w14:paraId="035C1127" w14:textId="12E3309F"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Jarosław</w:t>
            </w:r>
          </w:p>
        </w:tc>
        <w:tc>
          <w:tcPr>
            <w:tcW w:w="0" w:type="auto"/>
            <w:vAlign w:val="center"/>
          </w:tcPr>
          <w:p w14:paraId="7E0AC38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62</w:t>
            </w:r>
          </w:p>
        </w:tc>
        <w:tc>
          <w:tcPr>
            <w:tcW w:w="0" w:type="auto"/>
            <w:tcBorders>
              <w:top w:val="single" w:sz="18" w:space="0" w:color="auto"/>
              <w:right w:val="single" w:sz="18" w:space="0" w:color="auto"/>
            </w:tcBorders>
            <w:vAlign w:val="center"/>
          </w:tcPr>
          <w:p w14:paraId="7DFB30DC"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64</w:t>
            </w:r>
          </w:p>
        </w:tc>
        <w:tc>
          <w:tcPr>
            <w:tcW w:w="0" w:type="auto"/>
            <w:tcBorders>
              <w:top w:val="single" w:sz="18" w:space="0" w:color="auto"/>
              <w:left w:val="single" w:sz="18" w:space="0" w:color="auto"/>
              <w:bottom w:val="single" w:sz="18" w:space="0" w:color="auto"/>
              <w:right w:val="single" w:sz="18" w:space="0" w:color="auto"/>
            </w:tcBorders>
            <w:vAlign w:val="center"/>
          </w:tcPr>
          <w:p w14:paraId="288E51A6"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0" w:type="auto"/>
            <w:tcBorders>
              <w:left w:val="single" w:sz="18" w:space="0" w:color="auto"/>
              <w:bottom w:val="single" w:sz="18" w:space="0" w:color="auto"/>
            </w:tcBorders>
            <w:vAlign w:val="center"/>
          </w:tcPr>
          <w:p w14:paraId="76DF0C2B"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w:t>
            </w:r>
          </w:p>
        </w:tc>
        <w:tc>
          <w:tcPr>
            <w:tcW w:w="0" w:type="auto"/>
            <w:vAlign w:val="center"/>
          </w:tcPr>
          <w:p w14:paraId="65E2B6AB"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269</w:t>
            </w:r>
          </w:p>
        </w:tc>
        <w:tc>
          <w:tcPr>
            <w:tcW w:w="0" w:type="auto"/>
            <w:vAlign w:val="center"/>
          </w:tcPr>
          <w:p w14:paraId="4586B170"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5B51DE1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29</w:t>
            </w:r>
          </w:p>
        </w:tc>
        <w:tc>
          <w:tcPr>
            <w:tcW w:w="0" w:type="auto"/>
            <w:vAlign w:val="center"/>
          </w:tcPr>
          <w:p w14:paraId="6EC11DD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207</w:t>
            </w:r>
          </w:p>
        </w:tc>
        <w:tc>
          <w:tcPr>
            <w:tcW w:w="0" w:type="auto"/>
            <w:vAlign w:val="center"/>
          </w:tcPr>
          <w:p w14:paraId="01A2E85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130</w:t>
            </w:r>
          </w:p>
        </w:tc>
        <w:tc>
          <w:tcPr>
            <w:tcW w:w="0" w:type="auto"/>
            <w:vAlign w:val="center"/>
          </w:tcPr>
          <w:p w14:paraId="61B861FE"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86</w:t>
            </w:r>
          </w:p>
        </w:tc>
        <w:tc>
          <w:tcPr>
            <w:tcW w:w="0" w:type="auto"/>
            <w:vAlign w:val="center"/>
          </w:tcPr>
          <w:p w14:paraId="799427E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43CCFF40"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34</w:t>
            </w:r>
          </w:p>
        </w:tc>
      </w:tr>
      <w:tr w:rsidR="006F4FD2" w:rsidRPr="009B78DA" w14:paraId="4941CA0A" w14:textId="77777777" w:rsidTr="00781A96">
        <w:tc>
          <w:tcPr>
            <w:tcW w:w="0" w:type="auto"/>
            <w:shd w:val="clear" w:color="auto" w:fill="DEEAF6" w:themeFill="accent1" w:themeFillTint="33"/>
            <w:vAlign w:val="center"/>
          </w:tcPr>
          <w:p w14:paraId="19EA226A" w14:textId="77777777"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Przeworsk</w:t>
            </w:r>
          </w:p>
        </w:tc>
        <w:tc>
          <w:tcPr>
            <w:tcW w:w="0" w:type="auto"/>
            <w:vAlign w:val="center"/>
          </w:tcPr>
          <w:p w14:paraId="4636EC3D"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52</w:t>
            </w:r>
          </w:p>
        </w:tc>
        <w:tc>
          <w:tcPr>
            <w:tcW w:w="0" w:type="auto"/>
            <w:vAlign w:val="center"/>
          </w:tcPr>
          <w:p w14:paraId="4411AEA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54</w:t>
            </w:r>
          </w:p>
        </w:tc>
        <w:tc>
          <w:tcPr>
            <w:tcW w:w="0" w:type="auto"/>
            <w:tcBorders>
              <w:top w:val="single" w:sz="18" w:space="0" w:color="auto"/>
              <w:right w:val="single" w:sz="18" w:space="0" w:color="auto"/>
            </w:tcBorders>
            <w:vAlign w:val="center"/>
          </w:tcPr>
          <w:p w14:paraId="75675732"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w:t>
            </w:r>
          </w:p>
        </w:tc>
        <w:tc>
          <w:tcPr>
            <w:tcW w:w="0" w:type="auto"/>
            <w:tcBorders>
              <w:top w:val="single" w:sz="18" w:space="0" w:color="auto"/>
              <w:left w:val="single" w:sz="18" w:space="0" w:color="auto"/>
              <w:bottom w:val="single" w:sz="4" w:space="0" w:color="auto"/>
              <w:right w:val="single" w:sz="18" w:space="0" w:color="auto"/>
            </w:tcBorders>
            <w:vAlign w:val="center"/>
          </w:tcPr>
          <w:p w14:paraId="18892163"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0" w:type="auto"/>
            <w:tcBorders>
              <w:left w:val="single" w:sz="18" w:space="0" w:color="auto"/>
              <w:bottom w:val="single" w:sz="4" w:space="0" w:color="auto"/>
            </w:tcBorders>
            <w:vAlign w:val="center"/>
          </w:tcPr>
          <w:p w14:paraId="5FD28F2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256</w:t>
            </w:r>
          </w:p>
        </w:tc>
        <w:tc>
          <w:tcPr>
            <w:tcW w:w="0" w:type="auto"/>
            <w:vAlign w:val="center"/>
          </w:tcPr>
          <w:p w14:paraId="2BC9DFB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7A9883E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39</w:t>
            </w:r>
          </w:p>
        </w:tc>
        <w:tc>
          <w:tcPr>
            <w:tcW w:w="0" w:type="auto"/>
            <w:vAlign w:val="center"/>
          </w:tcPr>
          <w:p w14:paraId="48097B54"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196</w:t>
            </w:r>
          </w:p>
        </w:tc>
        <w:tc>
          <w:tcPr>
            <w:tcW w:w="0" w:type="auto"/>
            <w:vAlign w:val="center"/>
          </w:tcPr>
          <w:p w14:paraId="2ECD1EC2"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120</w:t>
            </w:r>
          </w:p>
        </w:tc>
        <w:tc>
          <w:tcPr>
            <w:tcW w:w="0" w:type="auto"/>
            <w:vAlign w:val="center"/>
          </w:tcPr>
          <w:p w14:paraId="0E21B8C5"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72</w:t>
            </w:r>
          </w:p>
        </w:tc>
        <w:tc>
          <w:tcPr>
            <w:tcW w:w="0" w:type="auto"/>
            <w:vAlign w:val="center"/>
          </w:tcPr>
          <w:p w14:paraId="3EBA0B33"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024C6EC2"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25</w:t>
            </w:r>
          </w:p>
        </w:tc>
      </w:tr>
      <w:tr w:rsidR="006F4FD2" w:rsidRPr="009B78DA" w14:paraId="16109AEB" w14:textId="77777777" w:rsidTr="00781A96">
        <w:tc>
          <w:tcPr>
            <w:tcW w:w="0" w:type="auto"/>
            <w:shd w:val="clear" w:color="auto" w:fill="DEEAF6" w:themeFill="accent1" w:themeFillTint="33"/>
            <w:vAlign w:val="center"/>
          </w:tcPr>
          <w:p w14:paraId="7BF0B900" w14:textId="77777777"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Sanok</w:t>
            </w:r>
          </w:p>
        </w:tc>
        <w:tc>
          <w:tcPr>
            <w:tcW w:w="0" w:type="auto"/>
            <w:vAlign w:val="center"/>
          </w:tcPr>
          <w:p w14:paraId="5CF61DE6"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223</w:t>
            </w:r>
          </w:p>
        </w:tc>
        <w:tc>
          <w:tcPr>
            <w:tcW w:w="0" w:type="auto"/>
            <w:vAlign w:val="center"/>
          </w:tcPr>
          <w:p w14:paraId="68E5E5C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212</w:t>
            </w:r>
          </w:p>
        </w:tc>
        <w:tc>
          <w:tcPr>
            <w:tcW w:w="0" w:type="auto"/>
            <w:vAlign w:val="center"/>
          </w:tcPr>
          <w:p w14:paraId="56AD12B4"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269</w:t>
            </w:r>
          </w:p>
        </w:tc>
        <w:tc>
          <w:tcPr>
            <w:tcW w:w="0" w:type="auto"/>
            <w:tcBorders>
              <w:top w:val="single" w:sz="4" w:space="0" w:color="auto"/>
              <w:right w:val="single" w:sz="18" w:space="0" w:color="auto"/>
            </w:tcBorders>
            <w:vAlign w:val="center"/>
          </w:tcPr>
          <w:p w14:paraId="48B3768E"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256</w:t>
            </w:r>
          </w:p>
        </w:tc>
        <w:tc>
          <w:tcPr>
            <w:tcW w:w="0" w:type="auto"/>
            <w:tcBorders>
              <w:top w:val="single" w:sz="4" w:space="0" w:color="auto"/>
              <w:left w:val="single" w:sz="18" w:space="0" w:color="auto"/>
              <w:bottom w:val="single" w:sz="18" w:space="0" w:color="auto"/>
              <w:right w:val="single" w:sz="18" w:space="0" w:color="auto"/>
            </w:tcBorders>
            <w:vAlign w:val="center"/>
          </w:tcPr>
          <w:p w14:paraId="27D80665"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0" w:type="auto"/>
            <w:tcBorders>
              <w:left w:val="single" w:sz="18" w:space="0" w:color="auto"/>
              <w:bottom w:val="single" w:sz="18" w:space="0" w:color="auto"/>
            </w:tcBorders>
            <w:vAlign w:val="center"/>
          </w:tcPr>
          <w:p w14:paraId="257A1E3E"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58E70A4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255</w:t>
            </w:r>
          </w:p>
        </w:tc>
        <w:tc>
          <w:tcPr>
            <w:tcW w:w="0" w:type="auto"/>
            <w:vAlign w:val="center"/>
          </w:tcPr>
          <w:p w14:paraId="32828396"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55</w:t>
            </w:r>
          </w:p>
        </w:tc>
        <w:tc>
          <w:tcPr>
            <w:tcW w:w="0" w:type="auto"/>
            <w:vAlign w:val="center"/>
          </w:tcPr>
          <w:p w14:paraId="53FEEF00"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432</w:t>
            </w:r>
          </w:p>
        </w:tc>
        <w:tc>
          <w:tcPr>
            <w:tcW w:w="0" w:type="auto"/>
            <w:vAlign w:val="center"/>
          </w:tcPr>
          <w:p w14:paraId="7623C736"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460</w:t>
            </w:r>
          </w:p>
        </w:tc>
        <w:tc>
          <w:tcPr>
            <w:tcW w:w="0" w:type="auto"/>
            <w:vAlign w:val="center"/>
          </w:tcPr>
          <w:p w14:paraId="559E584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36AC965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164</w:t>
            </w:r>
          </w:p>
        </w:tc>
      </w:tr>
      <w:tr w:rsidR="006F4FD2" w:rsidRPr="009B78DA" w14:paraId="3B3A0297" w14:textId="77777777" w:rsidTr="00781A96">
        <w:tc>
          <w:tcPr>
            <w:tcW w:w="0" w:type="auto"/>
            <w:shd w:val="clear" w:color="auto" w:fill="DEEAF6" w:themeFill="accent1" w:themeFillTint="33"/>
            <w:vAlign w:val="center"/>
          </w:tcPr>
          <w:p w14:paraId="1613E0E5" w14:textId="77777777"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Lesko</w:t>
            </w:r>
          </w:p>
        </w:tc>
        <w:tc>
          <w:tcPr>
            <w:tcW w:w="0" w:type="auto"/>
            <w:vAlign w:val="center"/>
          </w:tcPr>
          <w:p w14:paraId="13A77B86"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1B3A7E5A"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2E0DFECA"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69F458C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tcBorders>
              <w:top w:val="single" w:sz="18" w:space="0" w:color="auto"/>
              <w:right w:val="single" w:sz="18" w:space="0" w:color="auto"/>
            </w:tcBorders>
            <w:vAlign w:val="center"/>
          </w:tcPr>
          <w:p w14:paraId="5DFEE2D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tcBorders>
              <w:top w:val="single" w:sz="18" w:space="0" w:color="auto"/>
              <w:left w:val="single" w:sz="18" w:space="0" w:color="auto"/>
              <w:bottom w:val="single" w:sz="18" w:space="0" w:color="auto"/>
              <w:right w:val="single" w:sz="18" w:space="0" w:color="auto"/>
            </w:tcBorders>
            <w:vAlign w:val="center"/>
          </w:tcPr>
          <w:p w14:paraId="165171C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0" w:type="auto"/>
            <w:tcBorders>
              <w:left w:val="single" w:sz="18" w:space="0" w:color="auto"/>
              <w:bottom w:val="single" w:sz="18" w:space="0" w:color="auto"/>
            </w:tcBorders>
            <w:vAlign w:val="center"/>
          </w:tcPr>
          <w:p w14:paraId="4D86BC0E"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44E939FB"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4262244E"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4A17A12C"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078EF0DA"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11BA82D6"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r>
      <w:tr w:rsidR="006F4FD2" w:rsidRPr="009B78DA" w14:paraId="4778B4F6" w14:textId="77777777" w:rsidTr="00781A96">
        <w:tc>
          <w:tcPr>
            <w:tcW w:w="0" w:type="auto"/>
            <w:shd w:val="clear" w:color="auto" w:fill="DEEAF6" w:themeFill="accent1" w:themeFillTint="33"/>
            <w:vAlign w:val="center"/>
          </w:tcPr>
          <w:p w14:paraId="3B823332" w14:textId="77777777"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Przemyśl</w:t>
            </w:r>
          </w:p>
        </w:tc>
        <w:tc>
          <w:tcPr>
            <w:tcW w:w="0" w:type="auto"/>
            <w:vAlign w:val="center"/>
          </w:tcPr>
          <w:p w14:paraId="0CF2E4ED"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94</w:t>
            </w:r>
          </w:p>
        </w:tc>
        <w:tc>
          <w:tcPr>
            <w:tcW w:w="0" w:type="auto"/>
            <w:vAlign w:val="center"/>
          </w:tcPr>
          <w:p w14:paraId="5D4510D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95</w:t>
            </w:r>
          </w:p>
        </w:tc>
        <w:tc>
          <w:tcPr>
            <w:tcW w:w="0" w:type="auto"/>
            <w:vAlign w:val="center"/>
          </w:tcPr>
          <w:p w14:paraId="3DA30F06"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29</w:t>
            </w:r>
          </w:p>
        </w:tc>
        <w:tc>
          <w:tcPr>
            <w:tcW w:w="0" w:type="auto"/>
            <w:vAlign w:val="center"/>
          </w:tcPr>
          <w:p w14:paraId="33841EA4"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39</w:t>
            </w:r>
          </w:p>
        </w:tc>
        <w:tc>
          <w:tcPr>
            <w:tcW w:w="0" w:type="auto"/>
            <w:vAlign w:val="center"/>
          </w:tcPr>
          <w:p w14:paraId="6E983BAA"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255</w:t>
            </w:r>
          </w:p>
        </w:tc>
        <w:tc>
          <w:tcPr>
            <w:tcW w:w="0" w:type="auto"/>
            <w:tcBorders>
              <w:top w:val="single" w:sz="18" w:space="0" w:color="auto"/>
              <w:right w:val="single" w:sz="18" w:space="0" w:color="auto"/>
            </w:tcBorders>
            <w:vAlign w:val="center"/>
          </w:tcPr>
          <w:p w14:paraId="6135CA8A"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tcBorders>
              <w:top w:val="single" w:sz="18" w:space="0" w:color="auto"/>
              <w:left w:val="single" w:sz="18" w:space="0" w:color="auto"/>
              <w:bottom w:val="single" w:sz="18" w:space="0" w:color="auto"/>
              <w:right w:val="single" w:sz="18" w:space="0" w:color="auto"/>
            </w:tcBorders>
            <w:vAlign w:val="center"/>
          </w:tcPr>
          <w:p w14:paraId="67A7EB9E"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0" w:type="auto"/>
            <w:tcBorders>
              <w:left w:val="single" w:sz="18" w:space="0" w:color="auto"/>
              <w:bottom w:val="single" w:sz="18" w:space="0" w:color="auto"/>
            </w:tcBorders>
            <w:vAlign w:val="center"/>
          </w:tcPr>
          <w:p w14:paraId="3007044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247</w:t>
            </w:r>
          </w:p>
        </w:tc>
        <w:tc>
          <w:tcPr>
            <w:tcW w:w="0" w:type="auto"/>
            <w:vAlign w:val="center"/>
          </w:tcPr>
          <w:p w14:paraId="183C2FFA"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162</w:t>
            </w:r>
          </w:p>
        </w:tc>
        <w:tc>
          <w:tcPr>
            <w:tcW w:w="0" w:type="auto"/>
            <w:vAlign w:val="center"/>
          </w:tcPr>
          <w:p w14:paraId="580939EC"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126</w:t>
            </w:r>
          </w:p>
        </w:tc>
        <w:tc>
          <w:tcPr>
            <w:tcW w:w="0" w:type="auto"/>
            <w:vAlign w:val="center"/>
          </w:tcPr>
          <w:p w14:paraId="7500041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1CAA2C7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68</w:t>
            </w:r>
          </w:p>
        </w:tc>
      </w:tr>
      <w:tr w:rsidR="006F4FD2" w:rsidRPr="009B78DA" w14:paraId="30F5E469" w14:textId="77777777" w:rsidTr="00781A96">
        <w:tc>
          <w:tcPr>
            <w:tcW w:w="0" w:type="auto"/>
            <w:shd w:val="clear" w:color="auto" w:fill="DEEAF6" w:themeFill="accent1" w:themeFillTint="33"/>
            <w:vAlign w:val="center"/>
          </w:tcPr>
          <w:p w14:paraId="7CC31223" w14:textId="77777777"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Krosno</w:t>
            </w:r>
          </w:p>
        </w:tc>
        <w:tc>
          <w:tcPr>
            <w:tcW w:w="0" w:type="auto"/>
            <w:vAlign w:val="center"/>
          </w:tcPr>
          <w:p w14:paraId="629BC193"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166</w:t>
            </w:r>
          </w:p>
        </w:tc>
        <w:tc>
          <w:tcPr>
            <w:tcW w:w="0" w:type="auto"/>
            <w:vAlign w:val="center"/>
          </w:tcPr>
          <w:p w14:paraId="0C5DFDCC"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155</w:t>
            </w:r>
          </w:p>
        </w:tc>
        <w:tc>
          <w:tcPr>
            <w:tcW w:w="0" w:type="auto"/>
            <w:vAlign w:val="center"/>
          </w:tcPr>
          <w:p w14:paraId="0CDE22FA"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207</w:t>
            </w:r>
          </w:p>
        </w:tc>
        <w:tc>
          <w:tcPr>
            <w:tcW w:w="0" w:type="auto"/>
            <w:vAlign w:val="center"/>
          </w:tcPr>
          <w:p w14:paraId="40F07636"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196</w:t>
            </w:r>
          </w:p>
        </w:tc>
        <w:tc>
          <w:tcPr>
            <w:tcW w:w="0" w:type="auto"/>
            <w:vAlign w:val="center"/>
          </w:tcPr>
          <w:p w14:paraId="63F3C19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55</w:t>
            </w:r>
          </w:p>
        </w:tc>
        <w:tc>
          <w:tcPr>
            <w:tcW w:w="0" w:type="auto"/>
            <w:vAlign w:val="center"/>
          </w:tcPr>
          <w:p w14:paraId="1956C51B"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tcBorders>
              <w:top w:val="single" w:sz="18" w:space="0" w:color="auto"/>
              <w:right w:val="single" w:sz="18" w:space="0" w:color="auto"/>
            </w:tcBorders>
            <w:vAlign w:val="center"/>
          </w:tcPr>
          <w:p w14:paraId="30D44AF7"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247</w:t>
            </w:r>
          </w:p>
        </w:tc>
        <w:tc>
          <w:tcPr>
            <w:tcW w:w="0" w:type="auto"/>
            <w:tcBorders>
              <w:top w:val="single" w:sz="18" w:space="0" w:color="auto"/>
              <w:left w:val="single" w:sz="18" w:space="0" w:color="auto"/>
              <w:bottom w:val="single" w:sz="18" w:space="0" w:color="auto"/>
              <w:right w:val="single" w:sz="18" w:space="0" w:color="auto"/>
            </w:tcBorders>
            <w:vAlign w:val="center"/>
          </w:tcPr>
          <w:p w14:paraId="5B4CBB5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0" w:type="auto"/>
            <w:tcBorders>
              <w:left w:val="single" w:sz="18" w:space="0" w:color="auto"/>
              <w:bottom w:val="single" w:sz="18" w:space="0" w:color="auto"/>
            </w:tcBorders>
            <w:vAlign w:val="center"/>
          </w:tcPr>
          <w:p w14:paraId="29BD1CF4"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434</w:t>
            </w:r>
          </w:p>
        </w:tc>
        <w:tc>
          <w:tcPr>
            <w:tcW w:w="0" w:type="auto"/>
            <w:vAlign w:val="center"/>
          </w:tcPr>
          <w:p w14:paraId="570C96A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403</w:t>
            </w:r>
          </w:p>
        </w:tc>
        <w:tc>
          <w:tcPr>
            <w:tcW w:w="0" w:type="auto"/>
            <w:vAlign w:val="center"/>
          </w:tcPr>
          <w:p w14:paraId="18FB7E1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0321563C"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107</w:t>
            </w:r>
          </w:p>
        </w:tc>
      </w:tr>
      <w:tr w:rsidR="006F4FD2" w:rsidRPr="009B78DA" w14:paraId="4F7C1026" w14:textId="77777777" w:rsidTr="00781A96">
        <w:tc>
          <w:tcPr>
            <w:tcW w:w="0" w:type="auto"/>
            <w:shd w:val="clear" w:color="auto" w:fill="DEEAF6" w:themeFill="accent1" w:themeFillTint="33"/>
            <w:vAlign w:val="center"/>
          </w:tcPr>
          <w:p w14:paraId="644854DB" w14:textId="77777777"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Tarnobrzeg</w:t>
            </w:r>
          </w:p>
        </w:tc>
        <w:tc>
          <w:tcPr>
            <w:tcW w:w="0" w:type="auto"/>
            <w:vAlign w:val="center"/>
          </w:tcPr>
          <w:p w14:paraId="45EC35B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117</w:t>
            </w:r>
          </w:p>
        </w:tc>
        <w:tc>
          <w:tcPr>
            <w:tcW w:w="0" w:type="auto"/>
            <w:vAlign w:val="center"/>
          </w:tcPr>
          <w:p w14:paraId="11D4A2DE"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127</w:t>
            </w:r>
          </w:p>
        </w:tc>
        <w:tc>
          <w:tcPr>
            <w:tcW w:w="0" w:type="auto"/>
            <w:vAlign w:val="center"/>
          </w:tcPr>
          <w:p w14:paraId="2578D0C7"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130</w:t>
            </w:r>
          </w:p>
        </w:tc>
        <w:tc>
          <w:tcPr>
            <w:tcW w:w="0" w:type="auto"/>
            <w:vAlign w:val="center"/>
          </w:tcPr>
          <w:p w14:paraId="26EE29A0"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120</w:t>
            </w:r>
          </w:p>
        </w:tc>
        <w:tc>
          <w:tcPr>
            <w:tcW w:w="0" w:type="auto"/>
            <w:vAlign w:val="center"/>
          </w:tcPr>
          <w:p w14:paraId="19BFB5F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432</w:t>
            </w:r>
          </w:p>
        </w:tc>
        <w:tc>
          <w:tcPr>
            <w:tcW w:w="0" w:type="auto"/>
            <w:vAlign w:val="center"/>
          </w:tcPr>
          <w:p w14:paraId="6AB4B293"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3133962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162</w:t>
            </w:r>
          </w:p>
        </w:tc>
        <w:tc>
          <w:tcPr>
            <w:tcW w:w="0" w:type="auto"/>
            <w:tcBorders>
              <w:top w:val="single" w:sz="18" w:space="0" w:color="auto"/>
              <w:right w:val="single" w:sz="18" w:space="0" w:color="auto"/>
            </w:tcBorders>
            <w:vAlign w:val="center"/>
          </w:tcPr>
          <w:p w14:paraId="2315485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434</w:t>
            </w:r>
          </w:p>
        </w:tc>
        <w:tc>
          <w:tcPr>
            <w:tcW w:w="0" w:type="auto"/>
            <w:tcBorders>
              <w:top w:val="single" w:sz="18" w:space="0" w:color="auto"/>
              <w:left w:val="single" w:sz="18" w:space="0" w:color="auto"/>
              <w:bottom w:val="single" w:sz="18" w:space="0" w:color="auto"/>
              <w:right w:val="single" w:sz="18" w:space="0" w:color="auto"/>
            </w:tcBorders>
            <w:vAlign w:val="center"/>
          </w:tcPr>
          <w:p w14:paraId="02840A9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0" w:type="auto"/>
            <w:tcBorders>
              <w:left w:val="single" w:sz="18" w:space="0" w:color="auto"/>
              <w:bottom w:val="single" w:sz="18" w:space="0" w:color="auto"/>
            </w:tcBorders>
            <w:vAlign w:val="center"/>
          </w:tcPr>
          <w:p w14:paraId="1E97216B"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36</w:t>
            </w:r>
          </w:p>
        </w:tc>
        <w:tc>
          <w:tcPr>
            <w:tcW w:w="0" w:type="auto"/>
            <w:vAlign w:val="center"/>
          </w:tcPr>
          <w:p w14:paraId="26E9C23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70CBA4BE"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85</w:t>
            </w:r>
          </w:p>
        </w:tc>
      </w:tr>
      <w:tr w:rsidR="006F4FD2" w:rsidRPr="009B78DA" w14:paraId="6D999300" w14:textId="77777777" w:rsidTr="00781A96">
        <w:tc>
          <w:tcPr>
            <w:tcW w:w="0" w:type="auto"/>
            <w:shd w:val="clear" w:color="auto" w:fill="DEEAF6" w:themeFill="accent1" w:themeFillTint="33"/>
            <w:vAlign w:val="center"/>
          </w:tcPr>
          <w:p w14:paraId="658456D9" w14:textId="77777777"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Stalowa Wola</w:t>
            </w:r>
          </w:p>
        </w:tc>
        <w:tc>
          <w:tcPr>
            <w:tcW w:w="0" w:type="auto"/>
            <w:vAlign w:val="center"/>
          </w:tcPr>
          <w:p w14:paraId="2104A2E4"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147</w:t>
            </w:r>
          </w:p>
        </w:tc>
        <w:tc>
          <w:tcPr>
            <w:tcW w:w="0" w:type="auto"/>
            <w:vAlign w:val="center"/>
          </w:tcPr>
          <w:p w14:paraId="49E9D96C"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146</w:t>
            </w:r>
          </w:p>
        </w:tc>
        <w:tc>
          <w:tcPr>
            <w:tcW w:w="0" w:type="auto"/>
            <w:vAlign w:val="center"/>
          </w:tcPr>
          <w:p w14:paraId="2B46E0D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86</w:t>
            </w:r>
          </w:p>
        </w:tc>
        <w:tc>
          <w:tcPr>
            <w:tcW w:w="0" w:type="auto"/>
            <w:vAlign w:val="center"/>
          </w:tcPr>
          <w:p w14:paraId="592CABCA"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72</w:t>
            </w:r>
          </w:p>
        </w:tc>
        <w:tc>
          <w:tcPr>
            <w:tcW w:w="0" w:type="auto"/>
            <w:vAlign w:val="center"/>
          </w:tcPr>
          <w:p w14:paraId="21C73EC0"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460</w:t>
            </w:r>
          </w:p>
        </w:tc>
        <w:tc>
          <w:tcPr>
            <w:tcW w:w="0" w:type="auto"/>
            <w:vAlign w:val="center"/>
          </w:tcPr>
          <w:p w14:paraId="73BF017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01A861DE"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126</w:t>
            </w:r>
          </w:p>
        </w:tc>
        <w:tc>
          <w:tcPr>
            <w:tcW w:w="0" w:type="auto"/>
            <w:vAlign w:val="center"/>
          </w:tcPr>
          <w:p w14:paraId="33BF2C22"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403</w:t>
            </w:r>
          </w:p>
        </w:tc>
        <w:tc>
          <w:tcPr>
            <w:tcW w:w="0" w:type="auto"/>
            <w:tcBorders>
              <w:top w:val="single" w:sz="18" w:space="0" w:color="auto"/>
              <w:right w:val="single" w:sz="18" w:space="0" w:color="auto"/>
            </w:tcBorders>
            <w:vAlign w:val="center"/>
          </w:tcPr>
          <w:p w14:paraId="480CEDD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36</w:t>
            </w:r>
          </w:p>
        </w:tc>
        <w:tc>
          <w:tcPr>
            <w:tcW w:w="0" w:type="auto"/>
            <w:tcBorders>
              <w:top w:val="single" w:sz="18" w:space="0" w:color="auto"/>
              <w:left w:val="single" w:sz="18" w:space="0" w:color="auto"/>
              <w:bottom w:val="single" w:sz="18" w:space="0" w:color="auto"/>
              <w:right w:val="single" w:sz="18" w:space="0" w:color="auto"/>
            </w:tcBorders>
            <w:vAlign w:val="center"/>
          </w:tcPr>
          <w:p w14:paraId="330C4B9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0" w:type="auto"/>
            <w:tcBorders>
              <w:left w:val="single" w:sz="18" w:space="0" w:color="auto"/>
              <w:bottom w:val="single" w:sz="18" w:space="0" w:color="auto"/>
            </w:tcBorders>
            <w:vAlign w:val="center"/>
          </w:tcPr>
          <w:p w14:paraId="79BDE913"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05A387B3"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110</w:t>
            </w:r>
          </w:p>
        </w:tc>
      </w:tr>
      <w:tr w:rsidR="006F4FD2" w:rsidRPr="009B78DA" w14:paraId="6013137F" w14:textId="77777777" w:rsidTr="00781A96">
        <w:tc>
          <w:tcPr>
            <w:tcW w:w="0" w:type="auto"/>
            <w:shd w:val="clear" w:color="auto" w:fill="DEEAF6" w:themeFill="accent1" w:themeFillTint="33"/>
            <w:vAlign w:val="center"/>
          </w:tcPr>
          <w:p w14:paraId="37A950F3" w14:textId="77777777"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Mielec</w:t>
            </w:r>
          </w:p>
        </w:tc>
        <w:tc>
          <w:tcPr>
            <w:tcW w:w="0" w:type="auto"/>
            <w:vAlign w:val="center"/>
          </w:tcPr>
          <w:p w14:paraId="75934E1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2F28DEEB"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4DFCA753"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70ABFFB4"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117D9374"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198E94B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0DED216E"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5D283BB8"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6B87FBF9"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tcBorders>
              <w:top w:val="single" w:sz="18" w:space="0" w:color="auto"/>
              <w:right w:val="single" w:sz="18" w:space="0" w:color="auto"/>
            </w:tcBorders>
            <w:vAlign w:val="center"/>
          </w:tcPr>
          <w:p w14:paraId="5ADA8281"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tcBorders>
              <w:top w:val="single" w:sz="18" w:space="0" w:color="auto"/>
              <w:left w:val="single" w:sz="18" w:space="0" w:color="auto"/>
              <w:bottom w:val="single" w:sz="18" w:space="0" w:color="auto"/>
              <w:right w:val="single" w:sz="18" w:space="0" w:color="auto"/>
            </w:tcBorders>
            <w:vAlign w:val="center"/>
          </w:tcPr>
          <w:p w14:paraId="0BCD833B"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0" w:type="auto"/>
            <w:tcBorders>
              <w:left w:val="single" w:sz="18" w:space="0" w:color="auto"/>
              <w:bottom w:val="single" w:sz="18" w:space="0" w:color="auto"/>
            </w:tcBorders>
            <w:vAlign w:val="center"/>
          </w:tcPr>
          <w:p w14:paraId="66302547"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r>
      <w:tr w:rsidR="006F4FD2" w:rsidRPr="009B78DA" w14:paraId="6298C7DC" w14:textId="77777777" w:rsidTr="00781A96">
        <w:tc>
          <w:tcPr>
            <w:tcW w:w="0" w:type="auto"/>
            <w:shd w:val="clear" w:color="auto" w:fill="DEEAF6" w:themeFill="accent1" w:themeFillTint="33"/>
            <w:vAlign w:val="center"/>
          </w:tcPr>
          <w:p w14:paraId="56DFCEE5" w14:textId="77777777" w:rsidR="00B43CA6" w:rsidRPr="009B78DA" w:rsidRDefault="00B43CA6" w:rsidP="00354781">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Rzeszów</w:t>
            </w:r>
          </w:p>
        </w:tc>
        <w:tc>
          <w:tcPr>
            <w:tcW w:w="0" w:type="auto"/>
            <w:vAlign w:val="center"/>
          </w:tcPr>
          <w:p w14:paraId="63110646"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23</w:t>
            </w:r>
          </w:p>
        </w:tc>
        <w:tc>
          <w:tcPr>
            <w:tcW w:w="0" w:type="auto"/>
            <w:vAlign w:val="center"/>
          </w:tcPr>
          <w:p w14:paraId="1F2A9887"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22</w:t>
            </w:r>
          </w:p>
        </w:tc>
        <w:tc>
          <w:tcPr>
            <w:tcW w:w="0" w:type="auto"/>
            <w:vAlign w:val="center"/>
          </w:tcPr>
          <w:p w14:paraId="402A3880"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34</w:t>
            </w:r>
          </w:p>
        </w:tc>
        <w:tc>
          <w:tcPr>
            <w:tcW w:w="0" w:type="auto"/>
            <w:vAlign w:val="center"/>
          </w:tcPr>
          <w:p w14:paraId="2EC66EF4"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25</w:t>
            </w:r>
          </w:p>
        </w:tc>
        <w:tc>
          <w:tcPr>
            <w:tcW w:w="0" w:type="auto"/>
            <w:vAlign w:val="center"/>
          </w:tcPr>
          <w:p w14:paraId="0D9B4210"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164</w:t>
            </w:r>
          </w:p>
        </w:tc>
        <w:tc>
          <w:tcPr>
            <w:tcW w:w="0" w:type="auto"/>
            <w:vAlign w:val="center"/>
          </w:tcPr>
          <w:p w14:paraId="184214DD"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3A272CD7"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68</w:t>
            </w:r>
          </w:p>
        </w:tc>
        <w:tc>
          <w:tcPr>
            <w:tcW w:w="0" w:type="auto"/>
            <w:vAlign w:val="center"/>
          </w:tcPr>
          <w:p w14:paraId="0BF003A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107</w:t>
            </w:r>
          </w:p>
        </w:tc>
        <w:tc>
          <w:tcPr>
            <w:tcW w:w="0" w:type="auto"/>
            <w:vAlign w:val="center"/>
          </w:tcPr>
          <w:p w14:paraId="11CA004F"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85</w:t>
            </w:r>
          </w:p>
        </w:tc>
        <w:tc>
          <w:tcPr>
            <w:tcW w:w="0" w:type="auto"/>
            <w:vAlign w:val="center"/>
          </w:tcPr>
          <w:p w14:paraId="0D7A7EDD"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110</w:t>
            </w:r>
          </w:p>
        </w:tc>
        <w:tc>
          <w:tcPr>
            <w:tcW w:w="0" w:type="auto"/>
            <w:tcBorders>
              <w:top w:val="single" w:sz="18" w:space="0" w:color="auto"/>
              <w:right w:val="single" w:sz="18" w:space="0" w:color="auto"/>
            </w:tcBorders>
            <w:vAlign w:val="center"/>
          </w:tcPr>
          <w:p w14:paraId="2F61A58D"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0" w:type="auto"/>
            <w:tcBorders>
              <w:top w:val="single" w:sz="18" w:space="0" w:color="auto"/>
              <w:left w:val="single" w:sz="18" w:space="0" w:color="auto"/>
              <w:bottom w:val="single" w:sz="18" w:space="0" w:color="auto"/>
              <w:right w:val="single" w:sz="18" w:space="0" w:color="auto"/>
            </w:tcBorders>
            <w:vAlign w:val="center"/>
          </w:tcPr>
          <w:p w14:paraId="5018CDB7" w14:textId="77777777" w:rsidR="00B43CA6" w:rsidRPr="009B78DA" w:rsidRDefault="00B43CA6" w:rsidP="00D90B3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r>
    </w:tbl>
    <w:p w14:paraId="1A382FB8" w14:textId="0033A5C2" w:rsidR="00931866" w:rsidRPr="009B78DA" w:rsidRDefault="00931866" w:rsidP="00460A88">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Pr="009B78DA">
        <w:rPr>
          <w:rFonts w:ascii="Arial" w:hAnsi="Arial" w:cs="Arial"/>
          <w:i/>
          <w:color w:val="000000" w:themeColor="text1"/>
          <w:sz w:val="22"/>
          <w:szCs w:val="22"/>
        </w:rPr>
        <w:t>Diagnoza stanu systemu transportowego w województwie podkarpackim</w:t>
      </w:r>
      <w:r w:rsidRPr="009B78DA">
        <w:rPr>
          <w:rFonts w:ascii="Arial" w:hAnsi="Arial" w:cs="Arial"/>
          <w:color w:val="000000" w:themeColor="text1"/>
          <w:sz w:val="22"/>
          <w:szCs w:val="22"/>
        </w:rPr>
        <w:t>, PBPP w Rzeszowie, 2020</w:t>
      </w:r>
      <w:r w:rsidR="001E00EE" w:rsidRPr="009B78DA">
        <w:rPr>
          <w:rFonts w:ascii="Arial" w:hAnsi="Arial" w:cs="Arial"/>
          <w:color w:val="000000" w:themeColor="text1"/>
          <w:sz w:val="22"/>
          <w:szCs w:val="22"/>
        </w:rPr>
        <w:t>/2021</w:t>
      </w:r>
      <w:r w:rsidRPr="009B78DA">
        <w:rPr>
          <w:rFonts w:ascii="Arial" w:hAnsi="Arial" w:cs="Arial"/>
          <w:color w:val="000000" w:themeColor="text1"/>
          <w:sz w:val="22"/>
          <w:szCs w:val="22"/>
        </w:rPr>
        <w:t>.</w:t>
      </w:r>
    </w:p>
    <w:p w14:paraId="788B75CA" w14:textId="77777777" w:rsidR="00931866" w:rsidRPr="009B78DA" w:rsidRDefault="00931866" w:rsidP="00460A88">
      <w:pPr>
        <w:pStyle w:val="Akapitzlist"/>
        <w:numPr>
          <w:ilvl w:val="0"/>
          <w:numId w:val="32"/>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Mimo prac modernizacyjnych transport szynowy nie stanowi atrakcyjnej alternatywny dla transportu indywidualnego.</w:t>
      </w:r>
    </w:p>
    <w:p w14:paraId="1932BF52" w14:textId="40E6433B" w:rsidR="00931866" w:rsidRPr="009B78DA" w:rsidRDefault="00931866" w:rsidP="00460A88">
      <w:pPr>
        <w:pStyle w:val="Akapitzlist"/>
        <w:numPr>
          <w:ilvl w:val="0"/>
          <w:numId w:val="32"/>
        </w:numPr>
        <w:spacing w:before="120" w:line="276" w:lineRule="auto"/>
        <w:ind w:left="714" w:hanging="357"/>
        <w:rPr>
          <w:rFonts w:ascii="Arial" w:hAnsi="Arial" w:cs="Arial"/>
          <w:color w:val="000000" w:themeColor="text1"/>
          <w:sz w:val="22"/>
          <w:szCs w:val="22"/>
        </w:rPr>
        <w:sectPr w:rsidR="00931866" w:rsidRPr="009B78DA" w:rsidSect="007B4AEF">
          <w:pgSz w:w="16838" w:h="11906" w:orient="landscape"/>
          <w:pgMar w:top="720" w:right="720" w:bottom="720" w:left="720" w:header="708" w:footer="708" w:gutter="0"/>
          <w:cols w:space="708"/>
          <w:docGrid w:linePitch="360"/>
        </w:sectPr>
      </w:pPr>
      <w:r w:rsidRPr="009B78DA">
        <w:rPr>
          <w:rFonts w:ascii="Arial" w:hAnsi="Arial" w:cs="Arial"/>
          <w:color w:val="000000" w:themeColor="text1"/>
          <w:sz w:val="22"/>
          <w:szCs w:val="22"/>
        </w:rPr>
        <w:t>W kontekście rozwoju kolei duże znaczenie ma również lokalizowanie Zintegrowanych Węzłów Przesiadkowych, będących punktami integracyjnymi, wspierającymi podróże kombinowane, mobilność pasażerów, a także bezpośrednio system przesiadkowy</w:t>
      </w:r>
      <w:r w:rsidR="00C65154" w:rsidRPr="009B78DA">
        <w:rPr>
          <w:rFonts w:ascii="Arial" w:hAnsi="Arial" w:cs="Arial"/>
          <w:color w:val="000000" w:themeColor="text1"/>
          <w:sz w:val="22"/>
          <w:szCs w:val="22"/>
        </w:rPr>
        <w:t>.</w:t>
      </w:r>
    </w:p>
    <w:p w14:paraId="4AE266DC" w14:textId="77777777" w:rsidR="00931866" w:rsidRPr="009B78DA" w:rsidRDefault="00931866" w:rsidP="00460A88">
      <w:pPr>
        <w:pStyle w:val="Akapitzlist"/>
        <w:numPr>
          <w:ilvl w:val="2"/>
          <w:numId w:val="24"/>
        </w:numPr>
        <w:spacing w:before="120" w:line="276" w:lineRule="auto"/>
        <w:ind w:left="907" w:hanging="907"/>
        <w:rPr>
          <w:rFonts w:ascii="Arial" w:hAnsi="Arial" w:cs="Arial"/>
          <w:b/>
          <w:color w:val="000000" w:themeColor="text1"/>
          <w:sz w:val="22"/>
          <w:szCs w:val="22"/>
        </w:rPr>
      </w:pPr>
      <w:r w:rsidRPr="009B78DA">
        <w:rPr>
          <w:rFonts w:ascii="Arial" w:hAnsi="Arial" w:cs="Arial"/>
          <w:b/>
          <w:color w:val="000000" w:themeColor="text1"/>
          <w:sz w:val="22"/>
          <w:szCs w:val="22"/>
        </w:rPr>
        <w:t>Dostępność wewnętrzna miejskich obszarów funkcjonalnych</w:t>
      </w:r>
    </w:p>
    <w:p w14:paraId="6A90D6FE" w14:textId="77777777" w:rsidR="00931866" w:rsidRPr="009B78DA" w:rsidRDefault="00931866" w:rsidP="00460A88">
      <w:pPr>
        <w:pStyle w:val="Akapitzlist"/>
        <w:numPr>
          <w:ilvl w:val="3"/>
          <w:numId w:val="24"/>
        </w:numPr>
        <w:spacing w:before="120" w:line="276" w:lineRule="auto"/>
        <w:ind w:left="680" w:hanging="680"/>
        <w:rPr>
          <w:rFonts w:ascii="Arial" w:hAnsi="Arial" w:cs="Arial"/>
          <w:b/>
          <w:color w:val="000000" w:themeColor="text1"/>
          <w:sz w:val="22"/>
          <w:szCs w:val="22"/>
        </w:rPr>
      </w:pPr>
      <w:r w:rsidRPr="009B78DA">
        <w:rPr>
          <w:rFonts w:ascii="Arial" w:hAnsi="Arial" w:cs="Arial"/>
          <w:b/>
          <w:color w:val="000000" w:themeColor="text1"/>
          <w:sz w:val="22"/>
          <w:szCs w:val="22"/>
        </w:rPr>
        <w:t>Rzeszowski Obszar Funkcjonalny</w:t>
      </w:r>
    </w:p>
    <w:p w14:paraId="5194BCA4" w14:textId="77777777" w:rsidR="00931866" w:rsidRPr="009B78DA" w:rsidRDefault="00931866" w:rsidP="00460A88">
      <w:pPr>
        <w:pStyle w:val="Akapitzlist"/>
        <w:numPr>
          <w:ilvl w:val="0"/>
          <w:numId w:val="33"/>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Najlepsze relacje komunikacyjne wewnętrzne występują na terenie Rzeszowskiego Obszaru Funkcjonalnego ze względu na pełne powiązanie z układem drogowym - autostrada A4, drogi krajowe, wojewódzkie oraz uzupełniające - niższego rzędu. </w:t>
      </w:r>
    </w:p>
    <w:p w14:paraId="5215CEC5" w14:textId="77777777" w:rsidR="00931866" w:rsidRPr="009B78DA" w:rsidRDefault="00931866" w:rsidP="00460A88">
      <w:pPr>
        <w:pStyle w:val="Akapitzlist"/>
        <w:numPr>
          <w:ilvl w:val="0"/>
          <w:numId w:val="33"/>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Najlepsze powiązania wewnątrz ROF-u występują w układzie północ-południe oraz wschód-zachód - w sąsiedztwie ważnych korytarzy drogowych.</w:t>
      </w:r>
    </w:p>
    <w:p w14:paraId="29AA4AB0" w14:textId="77777777" w:rsidR="00931866" w:rsidRPr="009B78DA" w:rsidRDefault="00931866" w:rsidP="00460A88">
      <w:pPr>
        <w:pStyle w:val="Akapitzlist"/>
        <w:numPr>
          <w:ilvl w:val="0"/>
          <w:numId w:val="33"/>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Najsłabsze powiązania drogowe z rdzeniem ROF-u mają: północna część gminy Głogów Małopolski, gmina Czarna północny-wschód obszaru), Chmielnik (południowy wschód), Lubenia (południe). </w:t>
      </w:r>
    </w:p>
    <w:p w14:paraId="1A27DA23" w14:textId="7265E91E" w:rsidR="000770FD" w:rsidRPr="009B78DA" w:rsidRDefault="000770FD" w:rsidP="00460A88">
      <w:pPr>
        <w:pStyle w:val="Legenda"/>
        <w:keepNext/>
        <w:rPr>
          <w:rFonts w:ascii="Arial" w:hAnsi="Arial" w:cs="Arial"/>
          <w:i w:val="0"/>
          <w:color w:val="000000" w:themeColor="text1"/>
          <w:sz w:val="22"/>
          <w:szCs w:val="22"/>
        </w:rPr>
      </w:pPr>
      <w:bookmarkStart w:id="92" w:name="_Toc146785644"/>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15</w:t>
      </w:r>
      <w:r w:rsidRPr="009B78DA">
        <w:rPr>
          <w:rFonts w:ascii="Arial" w:hAnsi="Arial" w:cs="Arial"/>
          <w:b/>
          <w:i w:val="0"/>
          <w:color w:val="000000" w:themeColor="text1"/>
          <w:sz w:val="22"/>
          <w:szCs w:val="22"/>
        </w:rPr>
        <w:fldChar w:fldCharType="end"/>
      </w:r>
      <w:r w:rsidRPr="009B78DA">
        <w:rPr>
          <w:rFonts w:ascii="Arial" w:hAnsi="Arial" w:cs="Arial"/>
          <w:color w:val="000000" w:themeColor="text1"/>
          <w:sz w:val="22"/>
          <w:szCs w:val="22"/>
        </w:rPr>
        <w:t xml:space="preserve"> </w:t>
      </w:r>
      <w:r w:rsidRPr="009B78DA">
        <w:rPr>
          <w:rFonts w:ascii="Arial" w:hAnsi="Arial" w:cs="Arial"/>
          <w:i w:val="0"/>
          <w:color w:val="000000" w:themeColor="text1"/>
          <w:sz w:val="22"/>
          <w:szCs w:val="22"/>
        </w:rPr>
        <w:t>Sieć transportowa w Rzeszowskim Obszarze Funkcjonalnym</w:t>
      </w:r>
      <w:bookmarkEnd w:id="92"/>
    </w:p>
    <w:p w14:paraId="6C9BBC7A" w14:textId="51F2E69D" w:rsidR="00B43CA6" w:rsidRPr="009B78DA" w:rsidRDefault="00CD29EF"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3ACA7C7" wp14:editId="39D7EF10">
            <wp:extent cx="3825505" cy="4554326"/>
            <wp:effectExtent l="0" t="0" r="3810" b="0"/>
            <wp:docPr id="83" name="Obraz 83" descr="Na głównym planie widać obszar zaznaczony kolorem szarym, są to gminy strefy zewnętrznej obszaru funkcjonalnego. Od góry Głogów Małopolski, Trzebownisko, Czarna, Świlcza, Krasne, Łańcut, Boguchwała, Tyczyn, Chmielnik, Łańcut, Czudec, Lubenia. Na ciemno szary widać rdzeń obszaru funkcjonalnego, obszar Rzeszowa. Ponadto na czerwono została oznaczona Autostrada A4 z głównymi węzłami, Rzeszów Zachód, Rzeszów Północ, Rzeszów Wschód. Na czerwono drogę ekspresową S19 z węzłami Jasionka. Na czerwono drogę ekspresową S19 z węzłami w realizacji Rzeszów Południe. Na czerwono drogi krajowe nr. 94, 9, 19. Na żółto drogi wojewódzkie 869, 878, 881, 877, 882, 883. Przerywaną biało czarna linia linie kolejowe E30, 106, 71. " title="Rysunek 15 Sieć transportowa w Rzeszowskim Obszarze Funkcjonal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Obraz 83"/>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825505" cy="4554326"/>
                    </a:xfrm>
                    <a:prstGeom prst="rect">
                      <a:avLst/>
                    </a:prstGeom>
                  </pic:spPr>
                </pic:pic>
              </a:graphicData>
            </a:graphic>
          </wp:inline>
        </w:drawing>
      </w:r>
    </w:p>
    <w:p w14:paraId="7B9ABAAA" w14:textId="7F0AFF0E" w:rsidR="00CD29EF" w:rsidRPr="009B78DA" w:rsidRDefault="00CD29EF" w:rsidP="00460A88">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bookmarkStart w:id="93" w:name="_Hlk121738192"/>
      <w:r w:rsidR="0093483D" w:rsidRPr="009B78DA">
        <w:rPr>
          <w:rFonts w:ascii="Arial" w:hAnsi="Arial" w:cs="Arial"/>
          <w:color w:val="000000" w:themeColor="text1"/>
          <w:sz w:val="22"/>
          <w:szCs w:val="22"/>
        </w:rPr>
        <w:t>Opracowanie własne.</w:t>
      </w:r>
      <w:bookmarkEnd w:id="93"/>
    </w:p>
    <w:p w14:paraId="1B35AD67" w14:textId="77777777" w:rsidR="00745057" w:rsidRPr="009B78DA" w:rsidRDefault="00745057"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Czterokierunkowy węzeł kolejowy na terenie Rzeszowskiego Obszaru Funkcjonalnego umożliwia skomunikowanie strefy zewnętrznej z rdzeniem.</w:t>
      </w:r>
    </w:p>
    <w:p w14:paraId="7549FFB6" w14:textId="2BFAFE93" w:rsidR="00745057" w:rsidRPr="009B78DA" w:rsidRDefault="00745057"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Połączenia kolejowe wewnątrz ROF-u funkcjonują najlepiej na trasie linii kolejowej </w:t>
      </w:r>
      <w:r w:rsidR="00460A88">
        <w:rPr>
          <w:rFonts w:ascii="Arial" w:hAnsi="Arial" w:cs="Arial"/>
          <w:color w:val="000000" w:themeColor="text1"/>
          <w:sz w:val="22"/>
          <w:szCs w:val="22"/>
        </w:rPr>
        <w:br/>
      </w:r>
      <w:r w:rsidRPr="009B78DA">
        <w:rPr>
          <w:rFonts w:ascii="Arial" w:hAnsi="Arial" w:cs="Arial"/>
          <w:color w:val="000000" w:themeColor="text1"/>
          <w:sz w:val="22"/>
          <w:szCs w:val="22"/>
        </w:rPr>
        <w:t>nr 91 - (gmina Świlcza, Krasne, Łańcut), 106 (Boguchwała i Czudec) oraz 71 (Głogów Małopolski).</w:t>
      </w:r>
    </w:p>
    <w:p w14:paraId="32E3EB45" w14:textId="77777777" w:rsidR="00745057" w:rsidRPr="009B78DA" w:rsidRDefault="00745057"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Bardzo istotną inwestycją, usprawniającą przepływ ludności wewnątrz miejskich obszarów funkcjonalnych, a szczególnie na obszarze ROF-u będzie </w:t>
      </w:r>
      <w:r w:rsidR="005516A2" w:rsidRPr="009B78DA">
        <w:rPr>
          <w:rFonts w:ascii="Arial" w:hAnsi="Arial" w:cs="Arial"/>
          <w:color w:val="000000" w:themeColor="text1"/>
          <w:sz w:val="22"/>
          <w:szCs w:val="22"/>
        </w:rPr>
        <w:t xml:space="preserve">rozbudowa </w:t>
      </w:r>
      <w:r w:rsidRPr="009B78DA">
        <w:rPr>
          <w:rFonts w:ascii="Arial" w:hAnsi="Arial" w:cs="Arial"/>
          <w:color w:val="000000" w:themeColor="text1"/>
          <w:sz w:val="22"/>
          <w:szCs w:val="22"/>
        </w:rPr>
        <w:t>uruchomi</w:t>
      </w:r>
      <w:r w:rsidR="005516A2" w:rsidRPr="009B78DA">
        <w:rPr>
          <w:rFonts w:ascii="Arial" w:hAnsi="Arial" w:cs="Arial"/>
          <w:color w:val="000000" w:themeColor="text1"/>
          <w:sz w:val="22"/>
          <w:szCs w:val="22"/>
        </w:rPr>
        <w:t>onego</w:t>
      </w:r>
      <w:r w:rsidRPr="009B78DA">
        <w:rPr>
          <w:rFonts w:ascii="Arial" w:hAnsi="Arial" w:cs="Arial"/>
          <w:color w:val="000000" w:themeColor="text1"/>
          <w:sz w:val="22"/>
          <w:szCs w:val="22"/>
        </w:rPr>
        <w:t xml:space="preserve"> systemu szybkiej kolei podmiejskiej - Podmiejskiej Kolei Aglomeracyjnej - PKA.</w:t>
      </w:r>
    </w:p>
    <w:p w14:paraId="6CC57D2C" w14:textId="77777777" w:rsidR="00745057" w:rsidRPr="009B78DA" w:rsidRDefault="00745057"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Dzięki realizacji projektu ruch pasażerski zostanie znacząco ułatwiony na następujących kierunkach (w korytarzach linii istniejących): Rzeszów – Kolbuszowa - Rzeszów (linia 71), Rzeszów – Przeworsk – Rzeszów (linia 91), Rzeszów – Dębica – Rzeszów (linia 91), Rzeszów – Strzyżów – Rzeszów (linia 106).</w:t>
      </w:r>
    </w:p>
    <w:p w14:paraId="6F5FE948" w14:textId="77777777" w:rsidR="00745057" w:rsidRPr="009B78DA" w:rsidRDefault="00745057"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W ramach realizacji inwestycji PKA zostanie również wybudowana nowa linia kolejowa do Portu Lotniczego "Rzeszów-Jasionka", co znacząco poprawi integrację całego systemu komunikacji na terenie ROF-u.</w:t>
      </w:r>
    </w:p>
    <w:p w14:paraId="4D85695D" w14:textId="1CFC3F00" w:rsidR="00745057" w:rsidRPr="009B78DA" w:rsidRDefault="00745057"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Rzeszów jako największy ośrodek miejski w regionie wykazuje znaczny zasięg oddziaływania grawitacyjnego oraz wzmożoną mobilność ludności. Zauważalny jest także odpływ pasażerów z systemu transportu publicznego do indywidualnego</w:t>
      </w:r>
      <w:r w:rsidR="004569CD" w:rsidRPr="009B78DA">
        <w:rPr>
          <w:rFonts w:ascii="Arial" w:hAnsi="Arial" w:cs="Arial"/>
          <w:color w:val="000000" w:themeColor="text1"/>
          <w:sz w:val="22"/>
          <w:szCs w:val="22"/>
        </w:rPr>
        <w:t xml:space="preserve">. Zmniejszenie ilości pasażerów w ciągu ostatnich 2 lat spowodowane jest trwającą pandemią COVID-19 i związanymi z nią ograniczeniami w zakresie maksymalnej ilości pasażerów oraz z tzw. lockdownami. W celu odwrócenia trendu konieczne jest stosowanie zachęt wobec pasażerów polegających m.in. </w:t>
      </w:r>
      <w:r w:rsidR="00CA33BB" w:rsidRPr="009B78DA">
        <w:rPr>
          <w:rFonts w:ascii="Arial" w:hAnsi="Arial" w:cs="Arial"/>
          <w:color w:val="000000" w:themeColor="text1"/>
          <w:sz w:val="22"/>
          <w:szCs w:val="22"/>
        </w:rPr>
        <w:t xml:space="preserve">na </w:t>
      </w:r>
      <w:r w:rsidR="004569CD" w:rsidRPr="009B78DA">
        <w:rPr>
          <w:rFonts w:ascii="Arial" w:hAnsi="Arial" w:cs="Arial"/>
          <w:color w:val="000000" w:themeColor="text1"/>
          <w:sz w:val="22"/>
          <w:szCs w:val="22"/>
        </w:rPr>
        <w:t xml:space="preserve">poprawie </w:t>
      </w:r>
      <w:r w:rsidRPr="009B78DA">
        <w:rPr>
          <w:rFonts w:ascii="Arial" w:hAnsi="Arial" w:cs="Arial"/>
          <w:color w:val="000000" w:themeColor="text1"/>
          <w:sz w:val="22"/>
          <w:szCs w:val="22"/>
        </w:rPr>
        <w:t>stan</w:t>
      </w:r>
      <w:r w:rsidR="00E77B00" w:rsidRPr="009B78DA">
        <w:rPr>
          <w:rFonts w:ascii="Arial" w:hAnsi="Arial" w:cs="Arial"/>
          <w:color w:val="000000" w:themeColor="text1"/>
          <w:sz w:val="22"/>
          <w:szCs w:val="22"/>
        </w:rPr>
        <w:t>u</w:t>
      </w:r>
      <w:r w:rsidRPr="009B78DA">
        <w:rPr>
          <w:rFonts w:ascii="Arial" w:hAnsi="Arial" w:cs="Arial"/>
          <w:color w:val="000000" w:themeColor="text1"/>
          <w:sz w:val="22"/>
          <w:szCs w:val="22"/>
        </w:rPr>
        <w:t xml:space="preserve"> techniczn</w:t>
      </w:r>
      <w:r w:rsidR="00E77B00" w:rsidRPr="009B78DA">
        <w:rPr>
          <w:rFonts w:ascii="Arial" w:hAnsi="Arial" w:cs="Arial"/>
          <w:color w:val="000000" w:themeColor="text1"/>
          <w:sz w:val="22"/>
          <w:szCs w:val="22"/>
        </w:rPr>
        <w:t>ego</w:t>
      </w:r>
      <w:r w:rsidRPr="009B78DA">
        <w:rPr>
          <w:rFonts w:ascii="Arial" w:hAnsi="Arial" w:cs="Arial"/>
          <w:color w:val="000000" w:themeColor="text1"/>
          <w:sz w:val="22"/>
          <w:szCs w:val="22"/>
        </w:rPr>
        <w:t xml:space="preserve"> taboru</w:t>
      </w:r>
      <w:r w:rsidR="00973085" w:rsidRPr="009B78DA">
        <w:rPr>
          <w:rFonts w:ascii="Arial" w:hAnsi="Arial" w:cs="Arial"/>
          <w:color w:val="000000" w:themeColor="text1"/>
          <w:sz w:val="22"/>
          <w:szCs w:val="22"/>
        </w:rPr>
        <w:t>, zwiększaniu częstotliwości kursów</w:t>
      </w:r>
      <w:r w:rsidR="00E77B00" w:rsidRPr="009B78DA">
        <w:rPr>
          <w:rFonts w:ascii="Arial" w:hAnsi="Arial" w:cs="Arial"/>
          <w:color w:val="000000" w:themeColor="text1"/>
          <w:sz w:val="22"/>
          <w:szCs w:val="22"/>
        </w:rPr>
        <w:t>. Ponadto konieczne jest</w:t>
      </w:r>
      <w:r w:rsidRPr="009B78DA">
        <w:rPr>
          <w:rFonts w:ascii="Arial" w:hAnsi="Arial" w:cs="Arial"/>
          <w:color w:val="000000" w:themeColor="text1"/>
          <w:sz w:val="22"/>
          <w:szCs w:val="22"/>
        </w:rPr>
        <w:t xml:space="preserve"> </w:t>
      </w:r>
      <w:r w:rsidR="00E77B00" w:rsidRPr="009B78DA">
        <w:rPr>
          <w:rFonts w:ascii="Arial" w:hAnsi="Arial" w:cs="Arial"/>
          <w:color w:val="000000" w:themeColor="text1"/>
          <w:sz w:val="22"/>
          <w:szCs w:val="22"/>
        </w:rPr>
        <w:t>zwiększeni</w:t>
      </w:r>
      <w:r w:rsidR="00CA33BB"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efektywnoś</w:t>
      </w:r>
      <w:r w:rsidR="00E77B00" w:rsidRPr="009B78DA">
        <w:rPr>
          <w:rFonts w:ascii="Arial" w:hAnsi="Arial" w:cs="Arial"/>
          <w:color w:val="000000" w:themeColor="text1"/>
          <w:sz w:val="22"/>
          <w:szCs w:val="22"/>
        </w:rPr>
        <w:t>ci</w:t>
      </w:r>
      <w:r w:rsidRPr="009B78DA">
        <w:rPr>
          <w:rFonts w:ascii="Arial" w:hAnsi="Arial" w:cs="Arial"/>
          <w:color w:val="000000" w:themeColor="text1"/>
          <w:sz w:val="22"/>
          <w:szCs w:val="22"/>
        </w:rPr>
        <w:t xml:space="preserve"> ekonomiczn</w:t>
      </w:r>
      <w:r w:rsidR="00E77B00" w:rsidRPr="009B78DA">
        <w:rPr>
          <w:rFonts w:ascii="Arial" w:hAnsi="Arial" w:cs="Arial"/>
          <w:color w:val="000000" w:themeColor="text1"/>
          <w:sz w:val="22"/>
          <w:szCs w:val="22"/>
        </w:rPr>
        <w:t>ej</w:t>
      </w:r>
      <w:r w:rsidRPr="009B78DA">
        <w:rPr>
          <w:rFonts w:ascii="Arial" w:hAnsi="Arial" w:cs="Arial"/>
          <w:color w:val="000000" w:themeColor="text1"/>
          <w:sz w:val="22"/>
          <w:szCs w:val="22"/>
        </w:rPr>
        <w:t xml:space="preserve"> transportu publicznego oraz możliwości monitorowania natężeń ruchu osób i pojazdów.</w:t>
      </w:r>
    </w:p>
    <w:p w14:paraId="1227F885" w14:textId="57050500" w:rsidR="00745057" w:rsidRPr="009B78DA" w:rsidRDefault="00745057"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Na terenie Rzeszowa realizowany jest </w:t>
      </w:r>
      <w:r w:rsidR="00326FC4" w:rsidRPr="009B78DA">
        <w:rPr>
          <w:rFonts w:ascii="Arial" w:hAnsi="Arial" w:cs="Arial"/>
          <w:color w:val="000000" w:themeColor="text1"/>
          <w:sz w:val="22"/>
          <w:szCs w:val="22"/>
        </w:rPr>
        <w:t xml:space="preserve">Rzeszowski Program Transportowy (RPT), który uzyskał dofinansowanie ze środków Unii Europejskiej w ramach PO RPW </w:t>
      </w:r>
      <w:r w:rsidR="00460A88">
        <w:rPr>
          <w:rFonts w:ascii="Arial" w:hAnsi="Arial" w:cs="Arial"/>
          <w:color w:val="000000" w:themeColor="text1"/>
          <w:sz w:val="22"/>
          <w:szCs w:val="22"/>
        </w:rPr>
        <w:br/>
      </w:r>
      <w:r w:rsidR="00326FC4" w:rsidRPr="009B78DA">
        <w:rPr>
          <w:rFonts w:ascii="Arial" w:hAnsi="Arial" w:cs="Arial"/>
          <w:color w:val="000000" w:themeColor="text1"/>
          <w:sz w:val="22"/>
          <w:szCs w:val="22"/>
        </w:rPr>
        <w:t>i POIiŚ (2007-2013) oraz PO PW (2014-2020).</w:t>
      </w:r>
    </w:p>
    <w:p w14:paraId="76B18CA4" w14:textId="1D589AB3" w:rsidR="00326FC4" w:rsidRPr="009B78DA" w:rsidRDefault="00745057"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W ramach R</w:t>
      </w:r>
      <w:r w:rsidR="0057395F" w:rsidRPr="009B78DA">
        <w:rPr>
          <w:rFonts w:ascii="Arial" w:hAnsi="Arial" w:cs="Arial"/>
          <w:color w:val="000000" w:themeColor="text1"/>
          <w:sz w:val="22"/>
          <w:szCs w:val="22"/>
        </w:rPr>
        <w:t>PT</w:t>
      </w:r>
      <w:r w:rsidRPr="009B78DA">
        <w:rPr>
          <w:rFonts w:ascii="Arial" w:hAnsi="Arial" w:cs="Arial"/>
          <w:color w:val="000000" w:themeColor="text1"/>
          <w:sz w:val="22"/>
          <w:szCs w:val="22"/>
        </w:rPr>
        <w:t xml:space="preserve"> m.in.: </w:t>
      </w:r>
      <w:r w:rsidR="0057395F" w:rsidRPr="009B78DA">
        <w:rPr>
          <w:rFonts w:ascii="Arial" w:hAnsi="Arial" w:cs="Arial"/>
          <w:color w:val="000000" w:themeColor="text1"/>
          <w:sz w:val="22"/>
          <w:szCs w:val="22"/>
        </w:rPr>
        <w:t>p</w:t>
      </w:r>
      <w:r w:rsidR="00326FC4" w:rsidRPr="009B78DA">
        <w:rPr>
          <w:rFonts w:ascii="Arial" w:hAnsi="Arial" w:cs="Arial"/>
          <w:color w:val="000000" w:themeColor="text1"/>
          <w:sz w:val="22"/>
          <w:szCs w:val="22"/>
        </w:rPr>
        <w:t>rzebudowano i rozbudowano lokalny układ komunikacyjny</w:t>
      </w:r>
      <w:r w:rsidR="0057395F" w:rsidRPr="009B78DA">
        <w:rPr>
          <w:rFonts w:ascii="Arial" w:hAnsi="Arial" w:cs="Arial"/>
          <w:color w:val="000000" w:themeColor="text1"/>
          <w:sz w:val="22"/>
          <w:szCs w:val="22"/>
        </w:rPr>
        <w:t xml:space="preserve"> (</w:t>
      </w:r>
      <w:r w:rsidR="00326FC4" w:rsidRPr="009B78DA">
        <w:rPr>
          <w:rFonts w:ascii="Arial" w:hAnsi="Arial" w:cs="Arial"/>
          <w:color w:val="000000" w:themeColor="text1"/>
          <w:sz w:val="22"/>
          <w:szCs w:val="22"/>
        </w:rPr>
        <w:t>rozbudowano 16 km głównych arterii komunikacyjnych miasta, zmodernizowano skrzyżowania, przebudowano zatoki i wykonano pętle autobusowe, wydzielono buspasy na ulicach o łącznej długości 6 km</w:t>
      </w:r>
      <w:r w:rsidR="0057395F" w:rsidRPr="009B78DA">
        <w:rPr>
          <w:rFonts w:ascii="Arial" w:hAnsi="Arial" w:cs="Arial"/>
          <w:color w:val="000000" w:themeColor="text1"/>
          <w:sz w:val="22"/>
          <w:szCs w:val="22"/>
        </w:rPr>
        <w:t>), z</w:t>
      </w:r>
      <w:r w:rsidR="00326FC4" w:rsidRPr="009B78DA">
        <w:rPr>
          <w:rFonts w:ascii="Arial" w:hAnsi="Arial" w:cs="Arial"/>
          <w:color w:val="000000" w:themeColor="text1"/>
          <w:sz w:val="22"/>
          <w:szCs w:val="22"/>
        </w:rPr>
        <w:t>akupiono nowoczesny tabor autobusowy (190 szt. w tym 10 pojazdów o napędzie elektrycznym), spełniający surowe normy środowiskowe</w:t>
      </w:r>
      <w:r w:rsidR="0057395F" w:rsidRPr="009B78DA">
        <w:rPr>
          <w:rFonts w:ascii="Arial" w:hAnsi="Arial" w:cs="Arial"/>
          <w:color w:val="000000" w:themeColor="text1"/>
          <w:sz w:val="22"/>
          <w:szCs w:val="22"/>
        </w:rPr>
        <w:t>, z</w:t>
      </w:r>
      <w:r w:rsidR="00326FC4" w:rsidRPr="009B78DA">
        <w:rPr>
          <w:rFonts w:ascii="Arial" w:hAnsi="Arial" w:cs="Arial"/>
          <w:color w:val="000000" w:themeColor="text1"/>
          <w:sz w:val="22"/>
          <w:szCs w:val="22"/>
        </w:rPr>
        <w:t>aprojektowano i wdrożono Rzeszowski Inteligentny System Transportowy (RIST), obejmujący m.in. systemy</w:t>
      </w:r>
      <w:r w:rsidR="0057395F" w:rsidRPr="009B78DA">
        <w:rPr>
          <w:rFonts w:ascii="Arial" w:hAnsi="Arial" w:cs="Arial"/>
          <w:color w:val="000000" w:themeColor="text1"/>
          <w:sz w:val="22"/>
          <w:szCs w:val="22"/>
        </w:rPr>
        <w:t xml:space="preserve"> </w:t>
      </w:r>
      <w:r w:rsidR="00326FC4" w:rsidRPr="009B78DA">
        <w:rPr>
          <w:rFonts w:ascii="Arial" w:hAnsi="Arial" w:cs="Arial"/>
          <w:color w:val="000000" w:themeColor="text1"/>
          <w:sz w:val="22"/>
          <w:szCs w:val="22"/>
        </w:rPr>
        <w:t>zarządzania transportem publicznym, informacj</w:t>
      </w:r>
      <w:r w:rsidR="0057395F" w:rsidRPr="009B78DA">
        <w:rPr>
          <w:rFonts w:ascii="Arial" w:hAnsi="Arial" w:cs="Arial"/>
          <w:color w:val="000000" w:themeColor="text1"/>
          <w:sz w:val="22"/>
          <w:szCs w:val="22"/>
        </w:rPr>
        <w:t>ą</w:t>
      </w:r>
      <w:r w:rsidR="00326FC4" w:rsidRPr="009B78DA">
        <w:rPr>
          <w:rFonts w:ascii="Arial" w:hAnsi="Arial" w:cs="Arial"/>
          <w:color w:val="000000" w:themeColor="text1"/>
          <w:sz w:val="22"/>
          <w:szCs w:val="22"/>
        </w:rPr>
        <w:t xml:space="preserve"> pasażersk</w:t>
      </w:r>
      <w:r w:rsidR="0057395F" w:rsidRPr="009B78DA">
        <w:rPr>
          <w:rFonts w:ascii="Arial" w:hAnsi="Arial" w:cs="Arial"/>
          <w:color w:val="000000" w:themeColor="text1"/>
          <w:sz w:val="22"/>
          <w:szCs w:val="22"/>
        </w:rPr>
        <w:t xml:space="preserve">ą, </w:t>
      </w:r>
      <w:r w:rsidR="00326FC4" w:rsidRPr="009B78DA">
        <w:rPr>
          <w:rFonts w:ascii="Arial" w:hAnsi="Arial" w:cs="Arial"/>
          <w:color w:val="000000" w:themeColor="text1"/>
          <w:sz w:val="22"/>
          <w:szCs w:val="22"/>
        </w:rPr>
        <w:t>bilet</w:t>
      </w:r>
      <w:r w:rsidR="0057395F" w:rsidRPr="009B78DA">
        <w:rPr>
          <w:rFonts w:ascii="Arial" w:hAnsi="Arial" w:cs="Arial"/>
          <w:color w:val="000000" w:themeColor="text1"/>
          <w:sz w:val="22"/>
          <w:szCs w:val="22"/>
        </w:rPr>
        <w:t>em</w:t>
      </w:r>
      <w:r w:rsidR="00326FC4" w:rsidRPr="009B78DA">
        <w:rPr>
          <w:rFonts w:ascii="Arial" w:hAnsi="Arial" w:cs="Arial"/>
          <w:color w:val="000000" w:themeColor="text1"/>
          <w:sz w:val="22"/>
          <w:szCs w:val="22"/>
        </w:rPr>
        <w:t xml:space="preserve"> elektroniczn</w:t>
      </w:r>
      <w:r w:rsidR="0057395F" w:rsidRPr="009B78DA">
        <w:rPr>
          <w:rFonts w:ascii="Arial" w:hAnsi="Arial" w:cs="Arial"/>
          <w:color w:val="000000" w:themeColor="text1"/>
          <w:sz w:val="22"/>
          <w:szCs w:val="22"/>
        </w:rPr>
        <w:t>ym</w:t>
      </w:r>
      <w:r w:rsidR="00326FC4" w:rsidRPr="009B78DA">
        <w:rPr>
          <w:rFonts w:ascii="Arial" w:hAnsi="Arial" w:cs="Arial"/>
          <w:color w:val="000000" w:themeColor="text1"/>
          <w:sz w:val="22"/>
          <w:szCs w:val="22"/>
        </w:rPr>
        <w:t xml:space="preserve"> komunikacji miejskiej,</w:t>
      </w:r>
      <w:r w:rsidR="0057395F" w:rsidRPr="009B78DA">
        <w:rPr>
          <w:rFonts w:ascii="Arial" w:hAnsi="Arial" w:cs="Arial"/>
          <w:color w:val="000000" w:themeColor="text1"/>
          <w:sz w:val="22"/>
          <w:szCs w:val="22"/>
        </w:rPr>
        <w:t xml:space="preserve"> </w:t>
      </w:r>
      <w:r w:rsidR="00326FC4" w:rsidRPr="009B78DA">
        <w:rPr>
          <w:rFonts w:ascii="Arial" w:hAnsi="Arial" w:cs="Arial"/>
          <w:color w:val="000000" w:themeColor="text1"/>
          <w:sz w:val="22"/>
          <w:szCs w:val="22"/>
        </w:rPr>
        <w:t>obszarow</w:t>
      </w:r>
      <w:r w:rsidR="0057395F" w:rsidRPr="009B78DA">
        <w:rPr>
          <w:rFonts w:ascii="Arial" w:hAnsi="Arial" w:cs="Arial"/>
          <w:color w:val="000000" w:themeColor="text1"/>
          <w:sz w:val="22"/>
          <w:szCs w:val="22"/>
        </w:rPr>
        <w:t>ym</w:t>
      </w:r>
      <w:r w:rsidR="00326FC4" w:rsidRPr="009B78DA">
        <w:rPr>
          <w:rFonts w:ascii="Arial" w:hAnsi="Arial" w:cs="Arial"/>
          <w:color w:val="000000" w:themeColor="text1"/>
          <w:sz w:val="22"/>
          <w:szCs w:val="22"/>
        </w:rPr>
        <w:t xml:space="preserve"> sterowani</w:t>
      </w:r>
      <w:r w:rsidR="0057395F" w:rsidRPr="009B78DA">
        <w:rPr>
          <w:rFonts w:ascii="Arial" w:hAnsi="Arial" w:cs="Arial"/>
          <w:color w:val="000000" w:themeColor="text1"/>
          <w:sz w:val="22"/>
          <w:szCs w:val="22"/>
        </w:rPr>
        <w:t>em</w:t>
      </w:r>
      <w:r w:rsidR="00326FC4" w:rsidRPr="009B78DA">
        <w:rPr>
          <w:rFonts w:ascii="Arial" w:hAnsi="Arial" w:cs="Arial"/>
          <w:color w:val="000000" w:themeColor="text1"/>
          <w:sz w:val="22"/>
          <w:szCs w:val="22"/>
        </w:rPr>
        <w:t xml:space="preserve"> ruch</w:t>
      </w:r>
      <w:r w:rsidR="00BC3DC9" w:rsidRPr="009B78DA">
        <w:rPr>
          <w:rFonts w:ascii="Arial" w:hAnsi="Arial" w:cs="Arial"/>
          <w:color w:val="000000" w:themeColor="text1"/>
          <w:sz w:val="22"/>
          <w:szCs w:val="22"/>
        </w:rPr>
        <w:t>em</w:t>
      </w:r>
      <w:r w:rsidR="00326FC4" w:rsidRPr="009B78DA">
        <w:rPr>
          <w:rFonts w:ascii="Arial" w:hAnsi="Arial" w:cs="Arial"/>
          <w:color w:val="000000" w:themeColor="text1"/>
          <w:sz w:val="22"/>
          <w:szCs w:val="22"/>
        </w:rPr>
        <w:t xml:space="preserve"> drogow</w:t>
      </w:r>
      <w:r w:rsidR="00BC3DC9" w:rsidRPr="009B78DA">
        <w:rPr>
          <w:rFonts w:ascii="Arial" w:hAnsi="Arial" w:cs="Arial"/>
          <w:color w:val="000000" w:themeColor="text1"/>
          <w:sz w:val="22"/>
          <w:szCs w:val="22"/>
        </w:rPr>
        <w:t>ym, a także</w:t>
      </w:r>
      <w:r w:rsidR="0057395F" w:rsidRPr="009B78DA">
        <w:rPr>
          <w:rFonts w:ascii="Arial" w:hAnsi="Arial" w:cs="Arial"/>
          <w:color w:val="000000" w:themeColor="text1"/>
          <w:sz w:val="22"/>
          <w:szCs w:val="22"/>
        </w:rPr>
        <w:t xml:space="preserve"> </w:t>
      </w:r>
      <w:r w:rsidR="00326FC4" w:rsidRPr="009B78DA">
        <w:rPr>
          <w:rFonts w:ascii="Arial" w:hAnsi="Arial" w:cs="Arial"/>
          <w:color w:val="000000" w:themeColor="text1"/>
          <w:sz w:val="22"/>
          <w:szCs w:val="22"/>
        </w:rPr>
        <w:t>zarządzani</w:t>
      </w:r>
      <w:r w:rsidR="0057395F" w:rsidRPr="009B78DA">
        <w:rPr>
          <w:rFonts w:ascii="Arial" w:hAnsi="Arial" w:cs="Arial"/>
          <w:color w:val="000000" w:themeColor="text1"/>
          <w:sz w:val="22"/>
          <w:szCs w:val="22"/>
        </w:rPr>
        <w:t>e</w:t>
      </w:r>
      <w:r w:rsidR="00326FC4" w:rsidRPr="009B78DA">
        <w:rPr>
          <w:rFonts w:ascii="Arial" w:hAnsi="Arial" w:cs="Arial"/>
          <w:color w:val="000000" w:themeColor="text1"/>
          <w:sz w:val="22"/>
          <w:szCs w:val="22"/>
        </w:rPr>
        <w:t xml:space="preserve"> strefą płatnego parkowania</w:t>
      </w:r>
      <w:r w:rsidR="0057395F" w:rsidRPr="009B78DA">
        <w:rPr>
          <w:rFonts w:ascii="Arial" w:hAnsi="Arial" w:cs="Arial"/>
          <w:color w:val="000000" w:themeColor="text1"/>
          <w:sz w:val="22"/>
          <w:szCs w:val="22"/>
        </w:rPr>
        <w:t>.</w:t>
      </w:r>
    </w:p>
    <w:p w14:paraId="16DF80F5" w14:textId="17630741" w:rsidR="00BC3DC9" w:rsidRPr="009B78DA" w:rsidRDefault="00BC3DC9"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Dzięki zmianom wprowadzonym w wyniku realizacji RPT wystąpił kilkuprocentowy wzrost liczby pasażerów komunikacji miejskiej, poprawiło się również wykorzystanie taboru autobusowego. Nastąpił także wzrost poziomu komfortu podróży pasażerów, wynikający ze znaczącego ograniczenia opóźnień komunikacji miejskiej oraz zastosowania płatności elektronicznych.</w:t>
      </w:r>
    </w:p>
    <w:p w14:paraId="449B3F7E" w14:textId="349F30A0" w:rsidR="00745057" w:rsidRPr="009B78DA" w:rsidRDefault="00BC3DC9"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Organizatorem komunikacji na obszarze miasta, a także w obrębie kilku okolicznych gmin (na mocy międzygminnych porozumień) jest Miasto Rzeszów reprezentowan</w:t>
      </w:r>
      <w:r w:rsidR="008E63EF">
        <w:rPr>
          <w:rFonts w:ascii="Arial" w:hAnsi="Arial" w:cs="Arial"/>
          <w:color w:val="000000" w:themeColor="text1"/>
          <w:sz w:val="22"/>
          <w:szCs w:val="22"/>
        </w:rPr>
        <w:t>e</w:t>
      </w:r>
      <w:r w:rsidRPr="009B78DA">
        <w:rPr>
          <w:rFonts w:ascii="Arial" w:hAnsi="Arial" w:cs="Arial"/>
          <w:color w:val="000000" w:themeColor="text1"/>
          <w:sz w:val="22"/>
          <w:szCs w:val="22"/>
        </w:rPr>
        <w:t xml:space="preserve"> przez Zarząd Transportu Miejskiego (ZTM) w Rzeszowie.</w:t>
      </w:r>
    </w:p>
    <w:p w14:paraId="12DF8C09" w14:textId="18681A86" w:rsidR="00745057" w:rsidRPr="009B78DA" w:rsidRDefault="00651632"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Przewóz pasażerów zapewnia Miejskie Przedsiębiorstwo Komunikacyjne – Rzeszów Sp. z o.o. (MPK), które obsługuje 64 linii o długości 854 km (288 km czynnych tras), wykorzystując w tym celu 225 autobusów. Większość kursów odbywa się wewnątrz granic Rzeszowa, natomiast część z nich (19 linii) ma punkty początkowe i/lub końcowe poza granicami miasta i zatrzymuje się na przystankach w sąsiednich gminach. Ważnymi punktami, do których realizowane są przejazdy autobusów są Port Lotniczy „Rzeszów-Jasionka”, Podkarpacki Park Naukowo-Technologiczny AEROPOLIS w gminie Trzebownisko oraz Specjalna Strefa Ekonomiczna Euro-Parku Mielec w Gminie Trzebownisko i w Gminie Głogów Małopolski.</w:t>
      </w:r>
    </w:p>
    <w:p w14:paraId="250BDEC8" w14:textId="77777777" w:rsidR="00745057" w:rsidRPr="009B78DA" w:rsidRDefault="00745057" w:rsidP="00460A88">
      <w:pPr>
        <w:pStyle w:val="Akapitzlist"/>
        <w:numPr>
          <w:ilvl w:val="0"/>
          <w:numId w:val="34"/>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Przewóz osób na terenie Rzeszowskiego Obszaru Funkcjonalnego realizowany jest przez międzygminny Związek Gmin Podkarpacka Komunikacja Samochodowa. Zrzesza on 9 gmin ROF-u, przez które przebiega 39 tras autobusowych.</w:t>
      </w:r>
    </w:p>
    <w:p w14:paraId="443EC97B" w14:textId="3DFFBBDA" w:rsidR="00107163" w:rsidRPr="00460A88" w:rsidRDefault="00745057" w:rsidP="00460A88">
      <w:pPr>
        <w:pStyle w:val="Akapitzlist"/>
        <w:numPr>
          <w:ilvl w:val="0"/>
          <w:numId w:val="34"/>
        </w:numPr>
        <w:spacing w:after="120"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Uzupełnieniem komunikacji zbiorowej ROF-u są połączenia realizowane przez PKS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w Rzeszowie, PKS Leżajsk jak i pozostałych przewoźników prywatnych.</w:t>
      </w:r>
    </w:p>
    <w:p w14:paraId="4DEF4A61" w14:textId="77777777" w:rsidR="00745057" w:rsidRPr="009B78DA" w:rsidRDefault="00745057" w:rsidP="00460A88">
      <w:pPr>
        <w:pStyle w:val="Akapitzlist"/>
        <w:numPr>
          <w:ilvl w:val="3"/>
          <w:numId w:val="24"/>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Obszar Funkcjonalny Przemyśl</w:t>
      </w:r>
    </w:p>
    <w:p w14:paraId="4CB856F9" w14:textId="4E90FB7C" w:rsidR="00B8754E" w:rsidRPr="009B78DA" w:rsidRDefault="00B8754E" w:rsidP="00460A88">
      <w:pPr>
        <w:pStyle w:val="Akapitzlist"/>
        <w:numPr>
          <w:ilvl w:val="0"/>
          <w:numId w:val="35"/>
        </w:numPr>
        <w:spacing w:before="120" w:line="276" w:lineRule="auto"/>
        <w:rPr>
          <w:rFonts w:ascii="Arial" w:hAnsi="Arial" w:cs="Arial"/>
          <w:color w:val="000000" w:themeColor="text1"/>
          <w:sz w:val="22"/>
          <w:szCs w:val="22"/>
        </w:rPr>
      </w:pPr>
      <w:bookmarkStart w:id="94" w:name="_Hlk92555909"/>
      <w:r w:rsidRPr="009B78DA">
        <w:rPr>
          <w:rFonts w:ascii="Arial" w:hAnsi="Arial" w:cs="Arial"/>
          <w:color w:val="000000" w:themeColor="text1"/>
          <w:sz w:val="22"/>
          <w:szCs w:val="22"/>
        </w:rPr>
        <w:t>Obszar funkcjonalny charakteryzuje się przygranicznym położeniem oraz występowaniem przejść granicznych</w:t>
      </w:r>
      <w:r w:rsidR="00CA33BB" w:rsidRPr="009B78DA">
        <w:rPr>
          <w:rFonts w:ascii="Arial" w:hAnsi="Arial" w:cs="Arial"/>
          <w:color w:val="000000" w:themeColor="text1"/>
          <w:sz w:val="22"/>
          <w:szCs w:val="22"/>
        </w:rPr>
        <w:t>.</w:t>
      </w:r>
    </w:p>
    <w:bookmarkEnd w:id="94"/>
    <w:p w14:paraId="7005545C" w14:textId="3945FAEE" w:rsidR="00745057" w:rsidRPr="009B78DA" w:rsidRDefault="00745057" w:rsidP="00460A88">
      <w:pPr>
        <w:pStyle w:val="Akapitzlist"/>
        <w:numPr>
          <w:ilvl w:val="0"/>
          <w:numId w:val="3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Głównymi szlakami drogowymi na terenie obszaru funkcjonalnego Przemyśl są autostrada A4 (na północy obszaru), drogi krajowe DK77 i DK28, a także uzupełniające układ, drogi wojewódzkie DW881, DW884 oraz DW885.</w:t>
      </w:r>
    </w:p>
    <w:p w14:paraId="168A0BAB" w14:textId="77777777" w:rsidR="00973085" w:rsidRPr="009B78DA" w:rsidRDefault="00973085" w:rsidP="00460A88">
      <w:pPr>
        <w:pStyle w:val="Akapitzlist"/>
        <w:numPr>
          <w:ilvl w:val="0"/>
          <w:numId w:val="3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Najlepiej z rdzeniem skomunikowane są gminy: Przemyśl, Orły, Krasiczyn oraz Medyka (w kierunku przejścia granicznego z Ukrainą w Medyce).</w:t>
      </w:r>
    </w:p>
    <w:p w14:paraId="48EE6B9F" w14:textId="77777777" w:rsidR="00973085" w:rsidRPr="009B78DA" w:rsidRDefault="00973085" w:rsidP="00460A88">
      <w:pPr>
        <w:pStyle w:val="Akapitzlist"/>
        <w:numPr>
          <w:ilvl w:val="0"/>
          <w:numId w:val="3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 terenie obszaru funkcjonalnego Przemyśl istnieją obszary o niskim stopniu skomunikowania z miastem-rdzeniem. Są to: wschodnia część gminy Żurawica, </w:t>
      </w:r>
      <w:r w:rsidRPr="009B78DA">
        <w:rPr>
          <w:rFonts w:ascii="Arial" w:hAnsi="Arial" w:cs="Arial"/>
          <w:color w:val="000000" w:themeColor="text1"/>
          <w:sz w:val="22"/>
          <w:szCs w:val="22"/>
        </w:rPr>
        <w:br/>
        <w:t>a także północna część gminy Medyka.</w:t>
      </w:r>
    </w:p>
    <w:p w14:paraId="7DC61BFE" w14:textId="77777777" w:rsidR="00D7456A" w:rsidRPr="009B78DA" w:rsidRDefault="00973085" w:rsidP="00460A88">
      <w:pPr>
        <w:pStyle w:val="Akapitzlist"/>
        <w:numPr>
          <w:ilvl w:val="0"/>
          <w:numId w:val="3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Przemyślu występuje drugi co do wielkości węzeł kolejowy na Podkarpaciu.</w:t>
      </w:r>
      <w:r w:rsidR="00D7456A" w:rsidRPr="009B78DA">
        <w:rPr>
          <w:rFonts w:ascii="Arial" w:hAnsi="Arial" w:cs="Arial"/>
          <w:color w:val="000000" w:themeColor="text1"/>
          <w:sz w:val="22"/>
          <w:szCs w:val="22"/>
        </w:rPr>
        <w:t xml:space="preserve"> </w:t>
      </w:r>
    </w:p>
    <w:p w14:paraId="56F634E8" w14:textId="692528C0" w:rsidR="000770FD" w:rsidRPr="009B78DA" w:rsidRDefault="000770FD" w:rsidP="00460A88">
      <w:pPr>
        <w:pStyle w:val="Legenda"/>
        <w:keepNext/>
        <w:rPr>
          <w:rFonts w:ascii="Arial" w:hAnsi="Arial" w:cs="Arial"/>
          <w:i w:val="0"/>
          <w:color w:val="000000" w:themeColor="text1"/>
          <w:sz w:val="22"/>
          <w:szCs w:val="22"/>
        </w:rPr>
      </w:pPr>
      <w:bookmarkStart w:id="95" w:name="_Toc146785645"/>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Sieć transportowa w obszarze funkcjonalnym Przemyśl</w:t>
      </w:r>
      <w:bookmarkEnd w:id="95"/>
    </w:p>
    <w:p w14:paraId="7BFFEF6B" w14:textId="2E9D4E8E" w:rsidR="00745057" w:rsidRPr="009B78DA" w:rsidRDefault="00745057"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5C094B7C" wp14:editId="59585F11">
            <wp:extent cx="4556508" cy="4316094"/>
            <wp:effectExtent l="0" t="0" r="0" b="8890"/>
            <wp:docPr id="15" name="Obraz 15" descr="Na głównym planie widać obszar zaznaczony kolorem szarym, są to gminy strefy zewnętrznej obszaru funkcjonalnego. Od góry Orły, Przemyśl, Żurawica, Medyka, Krasiczyn. Na ciemno szary widać rdzeń obszaru funkcjonalnego, obszar Przemyśla. Ponadto na czerwono została oznaczona Autostrada A4 z węzłem Przemyśl. Na czerwono drogi krajowe 28, 77. Na żółto drogi wojewódzkie 881, 884, 885. Przerywaną biało czarna linia linie kolejowe E30 i 102. Zaznaczono również drogi powiatowe jasno szara linią. Od wschodu zaznaczono szeroka czarna linia granice państwa z Ukrainą.  " title="Rysunek 16 Sieć transportowa w obszarze funkcjonalnym Przemyś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556508" cy="4316094"/>
                    </a:xfrm>
                    <a:prstGeom prst="rect">
                      <a:avLst/>
                    </a:prstGeom>
                    <a:noFill/>
                  </pic:spPr>
                </pic:pic>
              </a:graphicData>
            </a:graphic>
          </wp:inline>
        </w:drawing>
      </w:r>
    </w:p>
    <w:p w14:paraId="2490DE19" w14:textId="4E3BBEA3" w:rsidR="00745057" w:rsidRPr="009B78DA" w:rsidRDefault="00745057" w:rsidP="00460A88">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4A563E" w:rsidRPr="009B78DA">
        <w:rPr>
          <w:rFonts w:ascii="Arial" w:hAnsi="Arial" w:cs="Arial"/>
          <w:color w:val="000000" w:themeColor="text1"/>
          <w:sz w:val="22"/>
          <w:szCs w:val="22"/>
        </w:rPr>
        <w:t>Opracowanie własne.</w:t>
      </w:r>
    </w:p>
    <w:p w14:paraId="5092F694" w14:textId="6699CD07" w:rsidR="00745057" w:rsidRPr="009B78DA" w:rsidRDefault="00745057" w:rsidP="00460A88">
      <w:pPr>
        <w:pStyle w:val="Akapitzlist"/>
        <w:numPr>
          <w:ilvl w:val="0"/>
          <w:numId w:val="36"/>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Połączenia kolejowe wewnątrz MOF Przemyśl na osi północ-południe</w:t>
      </w:r>
      <w:r w:rsidR="00F45E35" w:rsidRPr="009B78DA">
        <w:rPr>
          <w:rFonts w:ascii="Arial" w:hAnsi="Arial" w:cs="Arial"/>
          <w:color w:val="000000" w:themeColor="text1"/>
          <w:sz w:val="22"/>
          <w:szCs w:val="22"/>
        </w:rPr>
        <w:t xml:space="preserve"> oraz </w:t>
      </w:r>
      <w:r w:rsidR="00460A88">
        <w:rPr>
          <w:rFonts w:ascii="Arial" w:hAnsi="Arial" w:cs="Arial"/>
          <w:color w:val="000000" w:themeColor="text1"/>
          <w:sz w:val="22"/>
          <w:szCs w:val="22"/>
        </w:rPr>
        <w:br/>
      </w:r>
      <w:r w:rsidRPr="009B78DA">
        <w:rPr>
          <w:rFonts w:ascii="Arial" w:hAnsi="Arial" w:cs="Arial"/>
          <w:color w:val="000000" w:themeColor="text1"/>
          <w:sz w:val="22"/>
          <w:szCs w:val="22"/>
        </w:rPr>
        <w:t>w kierunku wschodnim występują dzięki przebiegającej linii kolejowej nr 91 (E30) relacji Kraków – Rzeszów – Medyka oraz linii nr 102.</w:t>
      </w:r>
    </w:p>
    <w:p w14:paraId="310A63CF" w14:textId="77777777" w:rsidR="00745057" w:rsidRPr="009B78DA" w:rsidRDefault="00745057" w:rsidP="00460A88">
      <w:pPr>
        <w:pStyle w:val="Akapitzlist"/>
        <w:numPr>
          <w:ilvl w:val="0"/>
          <w:numId w:val="36"/>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Najlepsza dostępność kolejowa względem ośrodka centralnego występuje w gminach Orły i Żurawica oraz na obszarze przygranicznym z Ukrainą.</w:t>
      </w:r>
    </w:p>
    <w:p w14:paraId="76A3C015" w14:textId="77777777" w:rsidR="00745057" w:rsidRPr="009B78DA" w:rsidRDefault="00745057" w:rsidP="00460A88">
      <w:pPr>
        <w:pStyle w:val="Akapitzlist"/>
        <w:numPr>
          <w:ilvl w:val="0"/>
          <w:numId w:val="36"/>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Operatorem świadczonych usług w zakresie komunikacji zbiorowej jest Miejski Zakład Komunikacji w Przemyślu.</w:t>
      </w:r>
    </w:p>
    <w:p w14:paraId="364482AF" w14:textId="0A271DC1" w:rsidR="00973085" w:rsidRPr="00460A88" w:rsidRDefault="00745057" w:rsidP="00460A88">
      <w:pPr>
        <w:pStyle w:val="Akapitzlist"/>
        <w:numPr>
          <w:ilvl w:val="0"/>
          <w:numId w:val="36"/>
        </w:numPr>
        <w:spacing w:after="120"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Przewóz osób realizowany jest w rdzeniu obszaru funkcjonalnego - Przemyślu oraz pozostałych gminach strefy zewnętrznej z wył</w:t>
      </w:r>
      <w:r w:rsidR="00F45E35" w:rsidRPr="009B78DA">
        <w:rPr>
          <w:rFonts w:ascii="Arial" w:hAnsi="Arial" w:cs="Arial"/>
          <w:color w:val="000000" w:themeColor="text1"/>
          <w:sz w:val="22"/>
          <w:szCs w:val="22"/>
        </w:rPr>
        <w:t xml:space="preserve">ączeniem gmin Orły </w:t>
      </w:r>
      <w:r w:rsidRPr="009B78DA">
        <w:rPr>
          <w:rFonts w:ascii="Arial" w:hAnsi="Arial" w:cs="Arial"/>
          <w:color w:val="000000" w:themeColor="text1"/>
          <w:sz w:val="22"/>
          <w:szCs w:val="22"/>
        </w:rPr>
        <w:t>i Medyka. Obsługiwan</w:t>
      </w:r>
      <w:r w:rsidR="00CA33BB" w:rsidRPr="009B78DA">
        <w:rPr>
          <w:rFonts w:ascii="Arial" w:hAnsi="Arial" w:cs="Arial"/>
          <w:color w:val="000000" w:themeColor="text1"/>
          <w:sz w:val="22"/>
          <w:szCs w:val="22"/>
        </w:rPr>
        <w:t>ych</w:t>
      </w:r>
      <w:r w:rsidRPr="009B78DA">
        <w:rPr>
          <w:rFonts w:ascii="Arial" w:hAnsi="Arial" w:cs="Arial"/>
          <w:color w:val="000000" w:themeColor="text1"/>
          <w:sz w:val="22"/>
          <w:szCs w:val="22"/>
        </w:rPr>
        <w:t xml:space="preserve"> jest 1</w:t>
      </w:r>
      <w:r w:rsidR="00CA33BB" w:rsidRPr="009B78DA">
        <w:rPr>
          <w:rFonts w:ascii="Arial" w:hAnsi="Arial" w:cs="Arial"/>
          <w:color w:val="000000" w:themeColor="text1"/>
          <w:sz w:val="22"/>
          <w:szCs w:val="22"/>
        </w:rPr>
        <w:t>6</w:t>
      </w:r>
      <w:r w:rsidRPr="009B78DA">
        <w:rPr>
          <w:rFonts w:ascii="Arial" w:hAnsi="Arial" w:cs="Arial"/>
          <w:color w:val="000000" w:themeColor="text1"/>
          <w:sz w:val="22"/>
          <w:szCs w:val="22"/>
        </w:rPr>
        <w:t xml:space="preserve"> linii, w tym 9 poza granicę miasta.</w:t>
      </w:r>
    </w:p>
    <w:p w14:paraId="1E5BCAD7" w14:textId="77777777" w:rsidR="00745057" w:rsidRPr="009B78DA" w:rsidRDefault="00745057" w:rsidP="00460A88">
      <w:pPr>
        <w:pStyle w:val="Akapitzlist"/>
        <w:numPr>
          <w:ilvl w:val="3"/>
          <w:numId w:val="24"/>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Obszar Funkcjonalny Krosno</w:t>
      </w:r>
    </w:p>
    <w:p w14:paraId="42814E42" w14:textId="3C67EF52" w:rsidR="00745057" w:rsidRPr="009B78DA" w:rsidRDefault="00745057" w:rsidP="00460A88">
      <w:pPr>
        <w:pStyle w:val="Akapitzlist"/>
        <w:numPr>
          <w:ilvl w:val="0"/>
          <w:numId w:val="3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Podstawą układu sieci drogowej na terenie obszaru funkcjonalnego Krosno są drogi krajowe DK19 i DK28, a także uzupełniające: wojewódzkie DW990 oraz DW991.</w:t>
      </w:r>
    </w:p>
    <w:p w14:paraId="7A54EA43" w14:textId="42FF217F" w:rsidR="00973085" w:rsidRPr="009B78DA" w:rsidRDefault="00973085" w:rsidP="00460A88">
      <w:pPr>
        <w:pStyle w:val="Akapitzlist"/>
        <w:numPr>
          <w:ilvl w:val="0"/>
          <w:numId w:val="3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większym stopniu na obszarze funkcjonalnym Krosno skomunikowane są gminy położone na wschodzie i północy regionu.</w:t>
      </w:r>
    </w:p>
    <w:p w14:paraId="4938BD3D" w14:textId="7192602F" w:rsidR="000770FD" w:rsidRPr="009B78DA" w:rsidRDefault="000770FD" w:rsidP="00460A88">
      <w:pPr>
        <w:pStyle w:val="Legenda"/>
        <w:keepNext/>
        <w:rPr>
          <w:rFonts w:ascii="Arial" w:hAnsi="Arial" w:cs="Arial"/>
          <w:i w:val="0"/>
          <w:color w:val="000000" w:themeColor="text1"/>
          <w:sz w:val="22"/>
          <w:szCs w:val="22"/>
        </w:rPr>
      </w:pPr>
      <w:bookmarkStart w:id="96" w:name="_Toc146785646"/>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17</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Sieć transportowa w obszarze funkcjonalnym Krosno</w:t>
      </w:r>
      <w:bookmarkEnd w:id="96"/>
    </w:p>
    <w:p w14:paraId="32B8A92D" w14:textId="609643E0" w:rsidR="00745057" w:rsidRPr="009B78DA" w:rsidRDefault="001F44B0"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1D3B9140" wp14:editId="53CF5FC2">
            <wp:extent cx="4424527" cy="4679999"/>
            <wp:effectExtent l="0" t="0" r="0" b="6350"/>
            <wp:docPr id="85" name="Obraz 85" descr="Na głównym planie widać obszar zaznaczony kolorem szarym, są to gminy strefy zewnętrznej obszaru funkcjonalnego. Od góry Wojaszówka, Jedlicze, Korczyna, Krościenko Wyżne, Chorkówka, Miejsce Piastowe. Na ciemno szary widać rdzeń obszaru funkcjonalnego, obszar Krosno. Ponadto na czerwono została oznaczona droga ekspresowa S19 z węzłami w realizacji. Na czerwono drogi krajowe 28 i 19. Na żółto drogi wojewódzkie 990, 991. Przerywaną biało czarna linia linie kolejowe 106, 108. Zaznaczono również drogi powiatowe jasno szara linią." title="Rysunek 17 Sieć transportowa w obszarze funkcjonalnym Kros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az 8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24527" cy="4679999"/>
                    </a:xfrm>
                    <a:prstGeom prst="rect">
                      <a:avLst/>
                    </a:prstGeom>
                  </pic:spPr>
                </pic:pic>
              </a:graphicData>
            </a:graphic>
          </wp:inline>
        </w:drawing>
      </w:r>
    </w:p>
    <w:p w14:paraId="14B9B6DD" w14:textId="07061335" w:rsidR="001F44B0" w:rsidRPr="009B78DA" w:rsidRDefault="001F44B0" w:rsidP="00460A88">
      <w:pPr>
        <w:spacing w:line="276" w:lineRule="auto"/>
        <w:rPr>
          <w:rFonts w:ascii="Arial" w:hAnsi="Arial" w:cs="Arial"/>
          <w:color w:val="000000" w:themeColor="text1"/>
          <w:sz w:val="22"/>
          <w:szCs w:val="22"/>
        </w:rPr>
      </w:pPr>
      <w:bookmarkStart w:id="97" w:name="_Hlk92213017"/>
      <w:r w:rsidRPr="009B78DA">
        <w:rPr>
          <w:rFonts w:ascii="Arial" w:hAnsi="Arial" w:cs="Arial"/>
          <w:color w:val="000000" w:themeColor="text1"/>
          <w:sz w:val="22"/>
          <w:szCs w:val="22"/>
        </w:rPr>
        <w:t xml:space="preserve">Źródło: </w:t>
      </w:r>
      <w:r w:rsidR="004A563E" w:rsidRPr="009B78DA">
        <w:rPr>
          <w:rFonts w:ascii="Arial" w:hAnsi="Arial" w:cs="Arial"/>
          <w:color w:val="000000" w:themeColor="text1"/>
          <w:sz w:val="22"/>
          <w:szCs w:val="22"/>
        </w:rPr>
        <w:t>Opracowanie własne.</w:t>
      </w:r>
    </w:p>
    <w:bookmarkEnd w:id="97"/>
    <w:p w14:paraId="61113E46" w14:textId="77777777" w:rsidR="008F42A8" w:rsidRPr="009B78DA" w:rsidRDefault="008F42A8" w:rsidP="00460A88">
      <w:pPr>
        <w:pStyle w:val="Akapitzlist"/>
        <w:numPr>
          <w:ilvl w:val="0"/>
          <w:numId w:val="38"/>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Najsłabiej skomunikowaną gminą obszaru funkcjonalnego Krosno jest gmina Chorkówka.</w:t>
      </w:r>
    </w:p>
    <w:p w14:paraId="6D8EF9AA" w14:textId="77777777" w:rsidR="008F42A8" w:rsidRPr="009B78DA" w:rsidRDefault="008F42A8" w:rsidP="00460A88">
      <w:pPr>
        <w:pStyle w:val="Akapitzlist"/>
        <w:numPr>
          <w:ilvl w:val="0"/>
          <w:numId w:val="38"/>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Inwestycją, która znacząco wpłynie na poprawę dostępności drogowej będzie realizacja odcinka drogi ekspresowej S19 z węzłami, jednak w przypadku obszaru funkcjonalnego Krosno inwestycja ta ma charakter zewnętrzny.</w:t>
      </w:r>
    </w:p>
    <w:p w14:paraId="210CE0BA" w14:textId="77777777" w:rsidR="008F42A8" w:rsidRPr="009B78DA" w:rsidRDefault="008F42A8" w:rsidP="00460A88">
      <w:pPr>
        <w:pStyle w:val="Akapitzlist"/>
        <w:numPr>
          <w:ilvl w:val="0"/>
          <w:numId w:val="38"/>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Pod kątem połączeń kolejowych niski poziom dostępności względem Krosna jest wyraźnie zauważalny na terenie gmin Wojaszówka, Chorkówka czy Korczyna.</w:t>
      </w:r>
    </w:p>
    <w:p w14:paraId="0615FDB1" w14:textId="3D48D1EE" w:rsidR="008F42A8" w:rsidRPr="009B78DA" w:rsidRDefault="008F42A8" w:rsidP="00460A88">
      <w:pPr>
        <w:pStyle w:val="Akapitzlist"/>
        <w:numPr>
          <w:ilvl w:val="0"/>
          <w:numId w:val="38"/>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Jedyna, przechodząca przez miasto-rdzeń linia kolejowa nr 108</w:t>
      </w:r>
      <w:r w:rsidR="003C5E5B"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przebiega po przekątnej na kierunku Nowy Sąc</w:t>
      </w:r>
      <w:r w:rsidR="003C5E5B" w:rsidRPr="009B78DA">
        <w:rPr>
          <w:rFonts w:ascii="Arial" w:hAnsi="Arial" w:cs="Arial"/>
          <w:color w:val="000000" w:themeColor="text1"/>
          <w:sz w:val="22"/>
          <w:szCs w:val="22"/>
        </w:rPr>
        <w:t xml:space="preserve">z </w:t>
      </w:r>
      <w:r w:rsidR="003521DC" w:rsidRPr="009B78DA">
        <w:rPr>
          <w:rFonts w:ascii="Arial" w:hAnsi="Arial" w:cs="Arial"/>
          <w:color w:val="000000" w:themeColor="text1"/>
          <w:sz w:val="22"/>
          <w:szCs w:val="22"/>
        </w:rPr>
        <w:t>-</w:t>
      </w:r>
      <w:r w:rsidR="003C5E5B"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Sanok. Mimo, że linia łączy z rdzeniem obszaru jedynie dwie sąsiednie gminy</w:t>
      </w:r>
      <w:r w:rsidR="003C5E5B" w:rsidRPr="009B78DA">
        <w:rPr>
          <w:rFonts w:ascii="Arial" w:hAnsi="Arial" w:cs="Arial"/>
          <w:color w:val="000000" w:themeColor="text1"/>
          <w:sz w:val="22"/>
          <w:szCs w:val="22"/>
        </w:rPr>
        <w:t xml:space="preserve"> </w:t>
      </w:r>
      <w:r w:rsidR="003521DC"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Jedlicze i Miejsce Piastowe, to jest istotnym połączeniem kolejowym stolicy województwa z Bieszczadami.</w:t>
      </w:r>
    </w:p>
    <w:p w14:paraId="14B212AB" w14:textId="1554535C" w:rsidR="008F42A8" w:rsidRPr="009B78DA" w:rsidRDefault="008F42A8" w:rsidP="00460A88">
      <w:pPr>
        <w:pStyle w:val="Akapitzlist"/>
        <w:numPr>
          <w:ilvl w:val="0"/>
          <w:numId w:val="38"/>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Przez gminy Wojaszówka i Jedlicze przechodzi również linia kolejowa nr 106, jednak nie odgrywa ona znaczącej roli w kontekście podróży realizowanych wewnątrz całego obszaru</w:t>
      </w:r>
      <w:r w:rsidR="003521DC" w:rsidRPr="009B78DA">
        <w:rPr>
          <w:rFonts w:ascii="Arial" w:hAnsi="Arial" w:cs="Arial"/>
          <w:color w:val="000000" w:themeColor="text1"/>
          <w:sz w:val="22"/>
          <w:szCs w:val="22"/>
        </w:rPr>
        <w:t>.</w:t>
      </w:r>
      <w:r w:rsidR="00443421" w:rsidRPr="009B78DA">
        <w:rPr>
          <w:rFonts w:ascii="Arial" w:hAnsi="Arial" w:cs="Arial"/>
          <w:color w:val="000000" w:themeColor="text1"/>
          <w:sz w:val="22"/>
          <w:szCs w:val="22"/>
        </w:rPr>
        <w:t xml:space="preserve"> </w:t>
      </w:r>
      <w:bookmarkStart w:id="98" w:name="_Hlk92556233"/>
      <w:r w:rsidR="00443421" w:rsidRPr="009B78DA">
        <w:rPr>
          <w:rFonts w:ascii="Arial" w:hAnsi="Arial" w:cs="Arial"/>
          <w:color w:val="000000" w:themeColor="text1"/>
          <w:sz w:val="22"/>
          <w:szCs w:val="22"/>
        </w:rPr>
        <w:t>Sytuację może zmie</w:t>
      </w:r>
      <w:r w:rsidR="003521DC" w:rsidRPr="009B78DA">
        <w:rPr>
          <w:rFonts w:ascii="Arial" w:hAnsi="Arial" w:cs="Arial"/>
          <w:color w:val="000000" w:themeColor="text1"/>
          <w:sz w:val="22"/>
          <w:szCs w:val="22"/>
        </w:rPr>
        <w:t>nić</w:t>
      </w:r>
      <w:r w:rsidR="00443421" w:rsidRPr="009B78DA">
        <w:rPr>
          <w:rFonts w:ascii="Arial" w:hAnsi="Arial" w:cs="Arial"/>
          <w:color w:val="000000" w:themeColor="text1"/>
          <w:sz w:val="22"/>
          <w:szCs w:val="22"/>
        </w:rPr>
        <w:t xml:space="preserve"> łącznica kolejowa, która poprawi dostępność do Rzeszowa.</w:t>
      </w:r>
      <w:bookmarkEnd w:id="98"/>
    </w:p>
    <w:p w14:paraId="0E82F9C6" w14:textId="4C4793A8" w:rsidR="008F42A8" w:rsidRPr="009B78DA" w:rsidRDefault="008F42A8" w:rsidP="00460A88">
      <w:pPr>
        <w:pStyle w:val="Akapitzlist"/>
        <w:numPr>
          <w:ilvl w:val="0"/>
          <w:numId w:val="38"/>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 terenie Krosna oraz wszystkich gmin obszaru funkcjonalnego Krosno operatorem publicznego transportu zbiorowego jest Miejska Komunikacja Samochodowa </w:t>
      </w:r>
      <w:r w:rsidR="00460A88">
        <w:rPr>
          <w:rFonts w:ascii="Arial" w:hAnsi="Arial" w:cs="Arial"/>
          <w:color w:val="000000" w:themeColor="text1"/>
          <w:sz w:val="22"/>
          <w:szCs w:val="22"/>
        </w:rPr>
        <w:br/>
      </w:r>
      <w:r w:rsidRPr="009B78DA">
        <w:rPr>
          <w:rFonts w:ascii="Arial" w:hAnsi="Arial" w:cs="Arial"/>
          <w:color w:val="000000" w:themeColor="text1"/>
          <w:sz w:val="22"/>
          <w:szCs w:val="22"/>
        </w:rPr>
        <w:t>Sp. z o.o.</w:t>
      </w:r>
    </w:p>
    <w:p w14:paraId="51B4D7A0" w14:textId="77777777" w:rsidR="008F42A8" w:rsidRPr="009B78DA" w:rsidRDefault="008F42A8" w:rsidP="00460A88">
      <w:pPr>
        <w:pStyle w:val="Akapitzlist"/>
        <w:numPr>
          <w:ilvl w:val="0"/>
          <w:numId w:val="38"/>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Połączenia w ramach organizowanego transportu zbiorowego są realizowane na 19 liniach, w tym 5 z nich wewnątrz samego Krosna. Obsługiwany teren podzielony jest na cztery strefy.</w:t>
      </w:r>
    </w:p>
    <w:p w14:paraId="664FCEAD" w14:textId="5879FE23" w:rsidR="00973085" w:rsidRPr="00460A88" w:rsidRDefault="008F42A8" w:rsidP="00460A88">
      <w:pPr>
        <w:pStyle w:val="Akapitzlist"/>
        <w:numPr>
          <w:ilvl w:val="0"/>
          <w:numId w:val="38"/>
        </w:numPr>
        <w:spacing w:after="120"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Transport zbiorowy autobusowy jest t</w:t>
      </w:r>
      <w:r w:rsidR="003521DC" w:rsidRPr="009B78DA">
        <w:rPr>
          <w:rFonts w:ascii="Arial" w:hAnsi="Arial" w:cs="Arial"/>
          <w:color w:val="000000" w:themeColor="text1"/>
          <w:sz w:val="22"/>
          <w:szCs w:val="22"/>
        </w:rPr>
        <w:t>akże</w:t>
      </w:r>
      <w:r w:rsidRPr="009B78DA">
        <w:rPr>
          <w:rFonts w:ascii="Arial" w:hAnsi="Arial" w:cs="Arial"/>
          <w:color w:val="000000" w:themeColor="text1"/>
          <w:sz w:val="22"/>
          <w:szCs w:val="22"/>
        </w:rPr>
        <w:t xml:space="preserve"> realizowany przez przewoźników prywatnych.</w:t>
      </w:r>
    </w:p>
    <w:p w14:paraId="050BE3D5" w14:textId="77777777" w:rsidR="008F42A8" w:rsidRPr="009B78DA" w:rsidRDefault="008F42A8" w:rsidP="00460A88">
      <w:pPr>
        <w:pStyle w:val="Akapitzlist"/>
        <w:numPr>
          <w:ilvl w:val="3"/>
          <w:numId w:val="24"/>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Obszar Funkcjonalny Jasło</w:t>
      </w:r>
    </w:p>
    <w:p w14:paraId="34301A5A" w14:textId="689E06C6" w:rsidR="008F42A8" w:rsidRPr="009B78DA" w:rsidRDefault="008F42A8" w:rsidP="00460A88">
      <w:pPr>
        <w:pStyle w:val="Akapitzlist"/>
        <w:numPr>
          <w:ilvl w:val="0"/>
          <w:numId w:val="3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Głównymi szlakami drogowymi na terenie obszaru funkcjonalnego Jasło są drogi krajowe DK28 i DK73, a także uzupełniające układ, drogi wojewódzkie DW992 oraz DW988.</w:t>
      </w:r>
    </w:p>
    <w:p w14:paraId="14A9FDE9" w14:textId="77777777" w:rsidR="00973085" w:rsidRPr="009B78DA" w:rsidRDefault="00973085" w:rsidP="00460A88">
      <w:pPr>
        <w:pStyle w:val="Akapitzlist"/>
        <w:numPr>
          <w:ilvl w:val="0"/>
          <w:numId w:val="3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Obszarami o największej dostępności drogowej względem rdzenia są gminy Skołyszyn oraz Jasło.</w:t>
      </w:r>
    </w:p>
    <w:p w14:paraId="587E8C37" w14:textId="77777777" w:rsidR="00973085" w:rsidRPr="009B78DA" w:rsidRDefault="00973085" w:rsidP="00460A88">
      <w:pPr>
        <w:pStyle w:val="Akapitzlist"/>
        <w:numPr>
          <w:ilvl w:val="0"/>
          <w:numId w:val="3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Obszarem o najmniejszym stopniu powiązania z rdzeniem jest gmina Kołaczyce.</w:t>
      </w:r>
    </w:p>
    <w:p w14:paraId="09D5F925" w14:textId="7ACEBBAB" w:rsidR="00973085" w:rsidRPr="009B78DA" w:rsidRDefault="00973085" w:rsidP="00460A88">
      <w:pPr>
        <w:pStyle w:val="Akapitzlist"/>
        <w:numPr>
          <w:ilvl w:val="0"/>
          <w:numId w:val="3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Istotne dla funkcjonowania obszaru funkcjonalnego Jasło są przebiegające </w:t>
      </w:r>
      <w:r w:rsidR="00B07B8D">
        <w:rPr>
          <w:rFonts w:ascii="Arial" w:hAnsi="Arial" w:cs="Arial"/>
          <w:color w:val="000000" w:themeColor="text1"/>
          <w:sz w:val="22"/>
          <w:szCs w:val="22"/>
        </w:rPr>
        <w:br/>
      </w:r>
      <w:r w:rsidRPr="009B78DA">
        <w:rPr>
          <w:rFonts w:ascii="Arial" w:hAnsi="Arial" w:cs="Arial"/>
          <w:color w:val="000000" w:themeColor="text1"/>
          <w:sz w:val="22"/>
          <w:szCs w:val="22"/>
        </w:rPr>
        <w:t>w układzie wschód-zachód linie kolejowe nr 106 oraz 108, komunikujące gminy Tarnowiec, Jasło i Skołyszyn z rdzeniem.</w:t>
      </w:r>
    </w:p>
    <w:p w14:paraId="70C3A7C7" w14:textId="77777777" w:rsidR="00973085" w:rsidRPr="009B78DA" w:rsidRDefault="00973085" w:rsidP="00460A88">
      <w:pPr>
        <w:pStyle w:val="Akapitzlist"/>
        <w:numPr>
          <w:ilvl w:val="0"/>
          <w:numId w:val="3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Północna część obszaru pozostaje mniej skomunikowana z miastem rdzeniem </w:t>
      </w:r>
      <w:r w:rsidRPr="009B78DA">
        <w:rPr>
          <w:rFonts w:ascii="Arial" w:hAnsi="Arial" w:cs="Arial"/>
          <w:color w:val="000000" w:themeColor="text1"/>
          <w:sz w:val="22"/>
          <w:szCs w:val="22"/>
        </w:rPr>
        <w:br/>
        <w:t>w porównaniu z jego południową częścią.</w:t>
      </w:r>
    </w:p>
    <w:p w14:paraId="1176C681" w14:textId="659B0494" w:rsidR="00973085" w:rsidRPr="00460A88" w:rsidRDefault="00973085" w:rsidP="00460A88">
      <w:pPr>
        <w:pStyle w:val="Akapitzlist"/>
        <w:numPr>
          <w:ilvl w:val="0"/>
          <w:numId w:val="3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Oficjalnym przewoźnikiem realizującym przewozy osób na terenie Jasła jest Miejska Komunikacja Samochodowa w Jaśle Sp. z o. o. MKS organizuje transport publiczny na 8 liniach miejskich, a także 26 pozamiejskich wewnątrz powiatu jasielskiego.</w:t>
      </w:r>
    </w:p>
    <w:p w14:paraId="52428B75" w14:textId="0FCBE9EB" w:rsidR="000770FD" w:rsidRPr="009B78DA" w:rsidRDefault="000770FD" w:rsidP="00460A88">
      <w:pPr>
        <w:pStyle w:val="Legenda"/>
        <w:keepNext/>
        <w:rPr>
          <w:rFonts w:ascii="Arial" w:hAnsi="Arial" w:cs="Arial"/>
          <w:i w:val="0"/>
          <w:color w:val="000000" w:themeColor="text1"/>
          <w:sz w:val="22"/>
          <w:szCs w:val="22"/>
        </w:rPr>
      </w:pPr>
      <w:bookmarkStart w:id="99" w:name="_Toc146785647"/>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Sieć transportowa w obszarze funkcjonalnym Jasło</w:t>
      </w:r>
      <w:bookmarkEnd w:id="99"/>
    </w:p>
    <w:p w14:paraId="3D9E3643" w14:textId="31A9D4C7" w:rsidR="008F42A8" w:rsidRPr="009B78DA" w:rsidRDefault="008F42A8"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12A67E75" wp14:editId="3A1E4FE8">
            <wp:extent cx="4478510" cy="4737099"/>
            <wp:effectExtent l="0" t="0" r="0" b="6985"/>
            <wp:docPr id="17" name="Obraz 17" descr="Na głównym planie widać obszar zaznaczony kolorem szarym, są to gminy strefy zewnętrznej obszaru funkcjonalnego. Od góry Kołaczyce, Skołyszyn, Jasło. Na ciemno szary widać rdzeń obszaru funkcjonalnego, obszar Jasło. Na czerwono drogi krajowe 28, 73. Na żółto drogi wojewódzkie 992, 988. Przerywaną biało czarna linia linie kolejowe 106, 108. Zaznaczono również drogi powiatowe jasno szara linią." title="Rysunek 18 Sieć transportowa w obszarze funkcjonalnym Jasł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478510" cy="4737099"/>
                    </a:xfrm>
                    <a:prstGeom prst="rect">
                      <a:avLst/>
                    </a:prstGeom>
                    <a:noFill/>
                  </pic:spPr>
                </pic:pic>
              </a:graphicData>
            </a:graphic>
          </wp:inline>
        </w:drawing>
      </w:r>
    </w:p>
    <w:p w14:paraId="66D72C2D" w14:textId="01D922A7" w:rsidR="00973085" w:rsidRPr="009B78DA" w:rsidRDefault="008F42A8" w:rsidP="00460A88">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4A563E" w:rsidRPr="009B78DA">
        <w:rPr>
          <w:rFonts w:ascii="Arial" w:hAnsi="Arial" w:cs="Arial"/>
          <w:color w:val="000000" w:themeColor="text1"/>
          <w:sz w:val="22"/>
          <w:szCs w:val="22"/>
        </w:rPr>
        <w:t>Opracowanie własne.</w:t>
      </w:r>
    </w:p>
    <w:p w14:paraId="18EDA070" w14:textId="77777777" w:rsidR="008F42A8" w:rsidRPr="009B78DA" w:rsidRDefault="008F42A8" w:rsidP="00460A88">
      <w:pPr>
        <w:pStyle w:val="Akapitzlist"/>
        <w:numPr>
          <w:ilvl w:val="3"/>
          <w:numId w:val="24"/>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Obszar Funkcjonalny Tarnobrzeg</w:t>
      </w:r>
    </w:p>
    <w:p w14:paraId="6F30A214" w14:textId="77777777" w:rsidR="008F42A8" w:rsidRPr="009B78DA" w:rsidRDefault="008F42A8" w:rsidP="00460A88">
      <w:pPr>
        <w:pStyle w:val="Akapitzlist"/>
        <w:numPr>
          <w:ilvl w:val="0"/>
          <w:numId w:val="4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Podstawą układu sieci drogowej na terenie obszaru funkcjonalnego Tarnobrzeg są drogi krajowe DK77 i DK9, a także uzupełniające: wojewódzkie DW723, DW758, DW854, DW871, DW872 oraz DW985.</w:t>
      </w:r>
    </w:p>
    <w:p w14:paraId="37C6DEB7" w14:textId="77777777" w:rsidR="008F42A8" w:rsidRPr="009B78DA" w:rsidRDefault="008F42A8" w:rsidP="00460A88">
      <w:pPr>
        <w:pStyle w:val="Akapitzlist"/>
        <w:numPr>
          <w:ilvl w:val="0"/>
          <w:numId w:val="4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Układ sieci drogowej i kolejowej skoncentrowany jest w zachodnim rejonie obszaru funkcjonalnego Tarnobrzeg. </w:t>
      </w:r>
    </w:p>
    <w:p w14:paraId="635AD949" w14:textId="5C9AB2BB" w:rsidR="008F42A8" w:rsidRPr="009B78DA" w:rsidRDefault="008F42A8" w:rsidP="00460A88">
      <w:pPr>
        <w:pStyle w:val="Akapitzlist"/>
        <w:numPr>
          <w:ilvl w:val="0"/>
          <w:numId w:val="4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Dobrze skomunikowane względem rdzenia są gminy Baranów Sandomierski, Nowa Dęba (pod kątem połączenia z województwem świętokrzyskim, Radomiem </w:t>
      </w:r>
      <w:r w:rsidR="00C641A4" w:rsidRPr="009B78DA">
        <w:rPr>
          <w:rFonts w:ascii="Arial" w:hAnsi="Arial" w:cs="Arial"/>
          <w:color w:val="000000" w:themeColor="text1"/>
          <w:sz w:val="22"/>
          <w:szCs w:val="22"/>
        </w:rPr>
        <w:br/>
      </w:r>
      <w:r w:rsidRPr="009B78DA">
        <w:rPr>
          <w:rFonts w:ascii="Arial" w:hAnsi="Arial" w:cs="Arial"/>
          <w:color w:val="000000" w:themeColor="text1"/>
          <w:sz w:val="22"/>
          <w:szCs w:val="22"/>
        </w:rPr>
        <w:t>i Rzeszowem) oraz Gorzyce (pod kątem przepływu w kierunku Stalowej Woli).</w:t>
      </w:r>
    </w:p>
    <w:p w14:paraId="2F4EB850" w14:textId="77777777" w:rsidR="008F42A8" w:rsidRPr="009B78DA" w:rsidRDefault="008F42A8" w:rsidP="00460A88">
      <w:pPr>
        <w:pStyle w:val="Akapitzlist"/>
        <w:numPr>
          <w:ilvl w:val="0"/>
          <w:numId w:val="4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Obszarem o mniejszej dostępności drogowej względem miasta rdzenia jest część wschodnia obszaru funkcjonalnego Tarnobrzeg.</w:t>
      </w:r>
    </w:p>
    <w:p w14:paraId="7A019306" w14:textId="313CBADB" w:rsidR="008F42A8" w:rsidRPr="00460A88" w:rsidRDefault="008F42A8" w:rsidP="00460A88">
      <w:pPr>
        <w:pStyle w:val="Akapitzlist"/>
        <w:numPr>
          <w:ilvl w:val="0"/>
          <w:numId w:val="42"/>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Zauważalne są silne powiązania Tarnob</w:t>
      </w:r>
      <w:r w:rsidR="00F45E35" w:rsidRPr="009B78DA">
        <w:rPr>
          <w:rFonts w:ascii="Arial" w:hAnsi="Arial" w:cs="Arial"/>
          <w:color w:val="000000" w:themeColor="text1"/>
          <w:sz w:val="22"/>
          <w:szCs w:val="22"/>
        </w:rPr>
        <w:t xml:space="preserve">rzega ze Stalową Wolą, ale też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z Sandomierzem (woj. świętokrzyskie).</w:t>
      </w:r>
      <w:r w:rsidR="00A8637D" w:rsidRPr="009B78DA">
        <w:rPr>
          <w:rFonts w:ascii="Arial" w:hAnsi="Arial" w:cs="Arial"/>
          <w:color w:val="000000" w:themeColor="text1"/>
          <w:sz w:val="22"/>
          <w:szCs w:val="22"/>
        </w:rPr>
        <w:t xml:space="preserve"> </w:t>
      </w:r>
      <w:bookmarkStart w:id="100" w:name="_Hlk92203379"/>
      <w:r w:rsidR="00A8637D" w:rsidRPr="009B78DA">
        <w:rPr>
          <w:rFonts w:ascii="Arial" w:hAnsi="Arial" w:cs="Arial"/>
          <w:color w:val="000000" w:themeColor="text1"/>
          <w:sz w:val="22"/>
          <w:szCs w:val="22"/>
        </w:rPr>
        <w:t xml:space="preserve">Koncentracja miejsc pracy </w:t>
      </w:r>
      <w:r w:rsidR="005A4131" w:rsidRPr="009B78DA">
        <w:rPr>
          <w:rFonts w:ascii="Arial" w:hAnsi="Arial" w:cs="Arial"/>
          <w:color w:val="000000" w:themeColor="text1"/>
          <w:sz w:val="22"/>
          <w:szCs w:val="22"/>
        </w:rPr>
        <w:t>w ramach tzw. Czwórmiasta</w:t>
      </w:r>
      <w:r w:rsidR="00A8637D" w:rsidRPr="009B78DA">
        <w:rPr>
          <w:rFonts w:ascii="Arial" w:hAnsi="Arial" w:cs="Arial"/>
          <w:color w:val="000000" w:themeColor="text1"/>
          <w:sz w:val="22"/>
          <w:szCs w:val="22"/>
        </w:rPr>
        <w:t xml:space="preserve"> wymaga rozwoju kolei komunikującej </w:t>
      </w:r>
      <w:r w:rsidR="005A4131" w:rsidRPr="009B78DA">
        <w:rPr>
          <w:rFonts w:ascii="Arial" w:hAnsi="Arial" w:cs="Arial"/>
          <w:color w:val="000000" w:themeColor="text1"/>
          <w:sz w:val="22"/>
          <w:szCs w:val="22"/>
        </w:rPr>
        <w:t xml:space="preserve">ww. </w:t>
      </w:r>
      <w:r w:rsidR="00A8637D" w:rsidRPr="009B78DA">
        <w:rPr>
          <w:rFonts w:ascii="Arial" w:hAnsi="Arial" w:cs="Arial"/>
          <w:color w:val="000000" w:themeColor="text1"/>
          <w:sz w:val="22"/>
          <w:szCs w:val="22"/>
        </w:rPr>
        <w:t>obszary aktywności gospodarczej oraz północną część województwa.</w:t>
      </w:r>
      <w:bookmarkEnd w:id="100"/>
    </w:p>
    <w:p w14:paraId="297255B3" w14:textId="77777777" w:rsidR="008F42A8" w:rsidRPr="009B78DA" w:rsidRDefault="008F42A8" w:rsidP="00460A88">
      <w:pPr>
        <w:pStyle w:val="Akapitzlist"/>
        <w:numPr>
          <w:ilvl w:val="0"/>
          <w:numId w:val="4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rejonie obszaru funkcjonalnego Tarnobrzeg usytuowany jest pięciokierunkowy węzeł kolejowy.</w:t>
      </w:r>
    </w:p>
    <w:p w14:paraId="224E8C12" w14:textId="77777777" w:rsidR="008F42A8" w:rsidRPr="009B78DA" w:rsidRDefault="008F42A8" w:rsidP="00460A88">
      <w:pPr>
        <w:pStyle w:val="Akapitzlist"/>
        <w:numPr>
          <w:ilvl w:val="0"/>
          <w:numId w:val="4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Największa gęstość sieci kolejowej widoczna jest w północnej, zachodniej oraz południowej części obszaru funkcjonalnego.</w:t>
      </w:r>
    </w:p>
    <w:p w14:paraId="3A60526D" w14:textId="77777777" w:rsidR="008F42A8" w:rsidRPr="009B78DA" w:rsidRDefault="008F42A8" w:rsidP="00460A88">
      <w:pPr>
        <w:pStyle w:val="Akapitzlist"/>
        <w:numPr>
          <w:ilvl w:val="0"/>
          <w:numId w:val="4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Jedynie gmina Grębów nie posiada połączenia kolejowego z miastem-rdzeniem.</w:t>
      </w:r>
    </w:p>
    <w:p w14:paraId="1C46E8CE" w14:textId="1FB0FBF1" w:rsidR="008F42A8" w:rsidRPr="009B78DA" w:rsidRDefault="008F42A8" w:rsidP="00460A88">
      <w:pPr>
        <w:pStyle w:val="Akapitzlist"/>
        <w:numPr>
          <w:ilvl w:val="0"/>
          <w:numId w:val="4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Tarnobrzegu miejskie linie autobusowe obsługiwane są przez firmę Polkar MPK Tarnobrzeg oraz przedsiębiorstwo Miejskiej Komunikacji Samochodowej Sp. z o.o. Obsługiwanych jest 11 tras, które przebiegają wewnątrz granic administracyjnych miasta oraz jedna w kierunku Sandomierza.</w:t>
      </w:r>
    </w:p>
    <w:p w14:paraId="675DEC11" w14:textId="77777777" w:rsidR="008F42A8" w:rsidRPr="009B78DA" w:rsidRDefault="008F42A8" w:rsidP="00460A88">
      <w:pPr>
        <w:pStyle w:val="Akapitzlist"/>
        <w:numPr>
          <w:ilvl w:val="0"/>
          <w:numId w:val="4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Wewnątrz obszaru funkcjonalnego Tarnobrzeg działalność prowadzą także inni, prywatni operatorzy.</w:t>
      </w:r>
    </w:p>
    <w:p w14:paraId="4A66ECB0" w14:textId="7ED68BC4" w:rsidR="000770FD" w:rsidRPr="009B78DA" w:rsidRDefault="000770FD" w:rsidP="00460A88">
      <w:pPr>
        <w:pStyle w:val="Legenda"/>
        <w:keepNext/>
        <w:tabs>
          <w:tab w:val="left" w:pos="1019"/>
          <w:tab w:val="center" w:pos="4536"/>
        </w:tabs>
        <w:rPr>
          <w:rFonts w:ascii="Arial" w:hAnsi="Arial" w:cs="Arial"/>
          <w:i w:val="0"/>
          <w:color w:val="000000" w:themeColor="text1"/>
          <w:sz w:val="22"/>
          <w:szCs w:val="22"/>
        </w:rPr>
      </w:pPr>
      <w:bookmarkStart w:id="101" w:name="_Toc146785648"/>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19</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Sieć transportowa w obszarze funkcjonalnym Tarnobrzeg</w:t>
      </w:r>
      <w:bookmarkEnd w:id="101"/>
    </w:p>
    <w:p w14:paraId="51920DC6" w14:textId="67E3F95B" w:rsidR="008F42A8" w:rsidRPr="009B78DA" w:rsidRDefault="008F42A8"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02D455B0" wp14:editId="31F08D19">
            <wp:extent cx="4163694" cy="5141924"/>
            <wp:effectExtent l="0" t="0" r="8890" b="1905"/>
            <wp:docPr id="18" name="Obraz 18" descr="Na głównym planie widać obszar zaznaczony kolorem szarym, są to gminy strefy zewnętrznej obszaru funkcjonalnego. Od góry Gorzyce, Grębów, Baranów Sandomierski, Nowa Dęba. Na ciemno szary widać rdzeń obszaru funkcjonalnego, obszar Tarnobrzeg. Na czerwono drogi krajowe 9, 77. Na żółto drogi wojewódzkie 854, 723, 758, 871, 985, 872. Przerywaną biało czarna linia linie kolejowe 25, 78, 74, 71 i LHS - Linia Hutnicza Szerokotorowa. Zaznaczono również drogi powiatowe jasno szara linią." title="Rysunek 19 Sieć transportowa w obszarze funkcjonalnym Tarnobrz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163694" cy="5141924"/>
                    </a:xfrm>
                    <a:prstGeom prst="rect">
                      <a:avLst/>
                    </a:prstGeom>
                    <a:noFill/>
                  </pic:spPr>
                </pic:pic>
              </a:graphicData>
            </a:graphic>
          </wp:inline>
        </w:drawing>
      </w:r>
    </w:p>
    <w:p w14:paraId="5B5E6E7A" w14:textId="7461B512" w:rsidR="005A4131" w:rsidRPr="009B78DA" w:rsidRDefault="008F42A8" w:rsidP="009B10A1">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0409E8" w:rsidRPr="009B78DA">
        <w:rPr>
          <w:rFonts w:ascii="Arial" w:hAnsi="Arial" w:cs="Arial"/>
          <w:color w:val="000000" w:themeColor="text1"/>
          <w:sz w:val="22"/>
          <w:szCs w:val="22"/>
        </w:rPr>
        <w:t>Opracowanie własne.</w:t>
      </w:r>
    </w:p>
    <w:p w14:paraId="5BB11C76" w14:textId="77777777" w:rsidR="008F42A8" w:rsidRPr="009B78DA" w:rsidRDefault="008F42A8" w:rsidP="009B10A1">
      <w:pPr>
        <w:pStyle w:val="Akapitzlist"/>
        <w:numPr>
          <w:ilvl w:val="3"/>
          <w:numId w:val="24"/>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Obszar Funkcjonalny Stalowa Wola</w:t>
      </w:r>
    </w:p>
    <w:p w14:paraId="349DC1E5" w14:textId="77777777" w:rsidR="008F42A8" w:rsidRPr="009B78DA" w:rsidRDefault="008F42A8" w:rsidP="009B10A1">
      <w:pPr>
        <w:pStyle w:val="Akapitzlist"/>
        <w:numPr>
          <w:ilvl w:val="0"/>
          <w:numId w:val="41"/>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Układ drogowy wewnątrz obszaru funkcjonalnego Stalowa Wola jest dość rozbudowany.</w:t>
      </w:r>
    </w:p>
    <w:p w14:paraId="23243EAB" w14:textId="23D3AEC6" w:rsidR="008F42A8" w:rsidRPr="009B78DA" w:rsidRDefault="008F42A8" w:rsidP="009B10A1">
      <w:pPr>
        <w:pStyle w:val="Akapitzlist"/>
        <w:numPr>
          <w:ilvl w:val="0"/>
          <w:numId w:val="41"/>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Głównymi ciągami drogowymi na terenie obszaru funkcjonalnego Stalowa Wola są drogi krajowe DK19 i DK77, a także uzupełniające układ, drogi wojewódzkie DW871,</w:t>
      </w:r>
      <w:r w:rsidR="003521DC"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DW872, DW858 oraz DW855.</w:t>
      </w:r>
    </w:p>
    <w:p w14:paraId="4084DCBE" w14:textId="77777777" w:rsidR="008F42A8" w:rsidRPr="009B78DA" w:rsidRDefault="008F42A8" w:rsidP="009B10A1">
      <w:pPr>
        <w:pStyle w:val="Akapitzlist"/>
        <w:numPr>
          <w:ilvl w:val="0"/>
          <w:numId w:val="41"/>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Gminy obszaru funkcjonalnego Stalowa Wola są ze sobą wyraźnie powiązane.</w:t>
      </w:r>
    </w:p>
    <w:p w14:paraId="44154ED2" w14:textId="77777777" w:rsidR="008F42A8" w:rsidRPr="009B78DA" w:rsidRDefault="008F42A8" w:rsidP="009B10A1">
      <w:pPr>
        <w:pStyle w:val="Akapitzlist"/>
        <w:numPr>
          <w:ilvl w:val="0"/>
          <w:numId w:val="41"/>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Jedynie gmina Pysznica jest skomunikowana w nieco mniejszym stopniu.</w:t>
      </w:r>
    </w:p>
    <w:p w14:paraId="007DBA6A" w14:textId="77777777" w:rsidR="008F42A8" w:rsidRPr="009B78DA" w:rsidRDefault="008F42A8" w:rsidP="009B10A1">
      <w:pPr>
        <w:pStyle w:val="Akapitzlist"/>
        <w:numPr>
          <w:ilvl w:val="0"/>
          <w:numId w:val="41"/>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Poprawa dostępności wewnątrz obszaru będzie możliwa dzięki oddaniu do użytku drogi ekspresowej S19 z węzłami, a także obwodnicy Niska i Stalowej Woli. Na terenie obszaru funkcjonalnego Stalowa Wola funkcjonuje czterokierunkowy węzeł kolejowy.</w:t>
      </w:r>
    </w:p>
    <w:p w14:paraId="642486CB" w14:textId="354BA3A3" w:rsidR="005A2F38" w:rsidRPr="009B78DA" w:rsidRDefault="005A2F38" w:rsidP="009B10A1">
      <w:pPr>
        <w:pStyle w:val="Legenda"/>
        <w:keepNext/>
        <w:rPr>
          <w:rFonts w:ascii="Arial" w:hAnsi="Arial" w:cs="Arial"/>
          <w:i w:val="0"/>
          <w:color w:val="000000" w:themeColor="text1"/>
          <w:sz w:val="22"/>
          <w:szCs w:val="22"/>
        </w:rPr>
      </w:pPr>
      <w:bookmarkStart w:id="102" w:name="_Toc146785649"/>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20</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Sieć transportowa w obszarze funkcjonalnym Stalowa Wola</w:t>
      </w:r>
      <w:bookmarkEnd w:id="102"/>
    </w:p>
    <w:p w14:paraId="2E59D91C" w14:textId="2A1F11BB" w:rsidR="008F42A8" w:rsidRPr="009B78DA" w:rsidRDefault="008F42A8"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2C788E19" wp14:editId="27D8F704">
            <wp:extent cx="4501322" cy="4761229"/>
            <wp:effectExtent l="0" t="0" r="0" b="1905"/>
            <wp:docPr id="19" name="Obraz 19" descr="Na głównym planie widać obszar zaznaczony kolorem szarym, są to gminy strefy zewnętrznej obszaru funkcjonalnego. Od góry Gorzyce, Grębów, Baranów Sandomierski, Nowa Dęba. Na ciemno szary widać rdzeń obszaru funkcjonalnego, obszar Tarnobrzeg. Na czerwono drogi krajowe 9, 77. Na żółto drogi wojewódzkie 854, 723, 758, 871, 985, 872. Przerywaną biało czarna linia linie kolejowe 25, 78, 74, 71 i LHS - Linia Hutnicza Szerokotorowa. Zaznaczono również drogi powiatowe jasno szara linią." title="Rysunek 20 Sieć transportowa w obszarze funkcjonalnym Stalowa W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501322" cy="4761229"/>
                    </a:xfrm>
                    <a:prstGeom prst="rect">
                      <a:avLst/>
                    </a:prstGeom>
                    <a:noFill/>
                  </pic:spPr>
                </pic:pic>
              </a:graphicData>
            </a:graphic>
          </wp:inline>
        </w:drawing>
      </w:r>
    </w:p>
    <w:p w14:paraId="47EAC955" w14:textId="36DA7E46" w:rsidR="008F42A8" w:rsidRPr="009B78DA" w:rsidRDefault="008F42A8" w:rsidP="009B10A1">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0409E8" w:rsidRPr="009B78DA">
        <w:rPr>
          <w:rFonts w:ascii="Arial" w:hAnsi="Arial" w:cs="Arial"/>
          <w:color w:val="000000" w:themeColor="text1"/>
          <w:sz w:val="22"/>
          <w:szCs w:val="22"/>
        </w:rPr>
        <w:t>Opracowanie własne.</w:t>
      </w:r>
    </w:p>
    <w:p w14:paraId="153AAAA2" w14:textId="77777777" w:rsidR="008F42A8" w:rsidRPr="009B78DA" w:rsidRDefault="008F42A8" w:rsidP="009B10A1">
      <w:pPr>
        <w:pStyle w:val="Akapitzlist"/>
        <w:numPr>
          <w:ilvl w:val="0"/>
          <w:numId w:val="42"/>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 północy krzyżują się linie 74 (istotna dla gminy Zaleszany) oraz 68 (łącząca gminy strefy zewnętrznej obszaru z wyjątkiem gminy Pysznica).</w:t>
      </w:r>
    </w:p>
    <w:p w14:paraId="25897E67" w14:textId="77777777" w:rsidR="00A8637D" w:rsidRPr="009B78DA" w:rsidRDefault="00A8637D" w:rsidP="009B10A1">
      <w:pPr>
        <w:pStyle w:val="Akapitzlist"/>
        <w:numPr>
          <w:ilvl w:val="0"/>
          <w:numId w:val="42"/>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Przez gminę Nisko przechodzi także linia kolejowa nr 66 oraz 65 – fragment Linii Hutniczej Szerokotorowej w układzie równoleżnikowym.</w:t>
      </w:r>
    </w:p>
    <w:p w14:paraId="1E52DD18" w14:textId="402F7CBC" w:rsidR="005E5AE2" w:rsidRPr="009B78DA" w:rsidRDefault="00A8637D" w:rsidP="009B10A1">
      <w:pPr>
        <w:pStyle w:val="Akapitzlist"/>
        <w:numPr>
          <w:ilvl w:val="0"/>
          <w:numId w:val="42"/>
        </w:numPr>
        <w:spacing w:before="120" w:line="276" w:lineRule="auto"/>
        <w:rPr>
          <w:rFonts w:ascii="Arial" w:hAnsi="Arial" w:cs="Arial"/>
          <w:color w:val="000000" w:themeColor="text1"/>
          <w:sz w:val="22"/>
          <w:szCs w:val="22"/>
        </w:rPr>
      </w:pPr>
      <w:bookmarkStart w:id="103" w:name="_Hlk92203418"/>
      <w:r w:rsidRPr="009B78DA">
        <w:rPr>
          <w:rFonts w:ascii="Arial" w:hAnsi="Arial" w:cs="Arial"/>
          <w:color w:val="000000" w:themeColor="text1"/>
          <w:sz w:val="22"/>
          <w:szCs w:val="22"/>
        </w:rPr>
        <w:t>Koncentracja miejsc pracy</w:t>
      </w:r>
      <w:r w:rsidR="005E5AE2" w:rsidRPr="009B78DA">
        <w:rPr>
          <w:rFonts w:ascii="Arial" w:hAnsi="Arial" w:cs="Arial"/>
          <w:color w:val="000000" w:themeColor="text1"/>
          <w:sz w:val="22"/>
          <w:szCs w:val="22"/>
        </w:rPr>
        <w:t xml:space="preserve"> w Stalowej </w:t>
      </w:r>
      <w:r w:rsidRPr="009B78DA">
        <w:rPr>
          <w:rFonts w:ascii="Arial" w:hAnsi="Arial" w:cs="Arial"/>
          <w:color w:val="000000" w:themeColor="text1"/>
          <w:sz w:val="22"/>
          <w:szCs w:val="22"/>
        </w:rPr>
        <w:t xml:space="preserve">Woli oraz Nisku wymaga </w:t>
      </w:r>
      <w:r w:rsidR="005E5AE2" w:rsidRPr="009B78DA">
        <w:rPr>
          <w:rFonts w:ascii="Arial" w:hAnsi="Arial" w:cs="Arial"/>
          <w:color w:val="000000" w:themeColor="text1"/>
          <w:sz w:val="22"/>
          <w:szCs w:val="22"/>
        </w:rPr>
        <w:t>rozw</w:t>
      </w:r>
      <w:r w:rsidRPr="009B78DA">
        <w:rPr>
          <w:rFonts w:ascii="Arial" w:hAnsi="Arial" w:cs="Arial"/>
          <w:color w:val="000000" w:themeColor="text1"/>
          <w:sz w:val="22"/>
          <w:szCs w:val="22"/>
        </w:rPr>
        <w:t>oju</w:t>
      </w:r>
      <w:r w:rsidR="005E5AE2" w:rsidRPr="009B78DA">
        <w:rPr>
          <w:rFonts w:ascii="Arial" w:hAnsi="Arial" w:cs="Arial"/>
          <w:color w:val="000000" w:themeColor="text1"/>
          <w:sz w:val="22"/>
          <w:szCs w:val="22"/>
        </w:rPr>
        <w:t xml:space="preserve"> kolei </w:t>
      </w:r>
      <w:r w:rsidR="00B07B8D">
        <w:rPr>
          <w:rFonts w:ascii="Arial" w:hAnsi="Arial" w:cs="Arial"/>
          <w:color w:val="000000" w:themeColor="text1"/>
          <w:sz w:val="22"/>
          <w:szCs w:val="22"/>
        </w:rPr>
        <w:br/>
      </w:r>
      <w:r w:rsidR="005E5AE2" w:rsidRPr="009B78DA">
        <w:rPr>
          <w:rFonts w:ascii="Arial" w:hAnsi="Arial" w:cs="Arial"/>
          <w:color w:val="000000" w:themeColor="text1"/>
          <w:sz w:val="22"/>
          <w:szCs w:val="22"/>
        </w:rPr>
        <w:t xml:space="preserve">w ramach tzw. Czwórmiasta </w:t>
      </w:r>
      <w:r w:rsidRPr="009B78DA">
        <w:rPr>
          <w:rFonts w:ascii="Arial" w:hAnsi="Arial" w:cs="Arial"/>
          <w:color w:val="000000" w:themeColor="text1"/>
          <w:sz w:val="22"/>
          <w:szCs w:val="22"/>
        </w:rPr>
        <w:t>komunikującej obszary aktywności gospodarczej oraz północną część województwa.</w:t>
      </w:r>
    </w:p>
    <w:bookmarkEnd w:id="103"/>
    <w:p w14:paraId="44D3F896" w14:textId="77777777" w:rsidR="008F42A8" w:rsidRPr="009B78DA" w:rsidRDefault="008F42A8" w:rsidP="009B10A1">
      <w:pPr>
        <w:pStyle w:val="Akapitzlist"/>
        <w:numPr>
          <w:ilvl w:val="0"/>
          <w:numId w:val="42"/>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celu poprawy funkcjonowania transportu publicznego na terenie obszaru funkcjonalnego Stalowa Wola realizowany został projekt Mobilny MOF Stalowej Woli, sfinansowany ze środków Regionalnego Programu Operacyjnego Województwa Podkarpackiego 2014-2020.</w:t>
      </w:r>
    </w:p>
    <w:p w14:paraId="12F45E8C" w14:textId="49892932" w:rsidR="008F42A8" w:rsidRPr="009B78DA" w:rsidRDefault="008F42A8" w:rsidP="009B10A1">
      <w:pPr>
        <w:pStyle w:val="Akapitzlist"/>
        <w:numPr>
          <w:ilvl w:val="0"/>
          <w:numId w:val="42"/>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ramach projektu m.in.: zakupiono autobusy elektryczne i niskoemisyjne, zainstalowano system dynamicznej informacji pasażerskiej, rozbudowano infrastrukturę drogową, utworzono nowe linie, a także powołano Centrum Kierowania Ruchem komunikacji miejskiej, w którym znajduje się podgląd z kamer zamontowanych na przystankach i w autobusach. W celu wspierania transportu publicznego wybudowano również: parkingi „Park&amp;Ride” oraz „Bike&amp;Ride”</w:t>
      </w:r>
      <w:r w:rsidR="003521DC" w:rsidRPr="009B78DA">
        <w:rPr>
          <w:rFonts w:ascii="Arial" w:hAnsi="Arial" w:cs="Arial"/>
          <w:color w:val="000000" w:themeColor="text1"/>
          <w:sz w:val="22"/>
          <w:szCs w:val="22"/>
        </w:rPr>
        <w:t xml:space="preserve"> czy</w:t>
      </w:r>
      <w:r w:rsidRPr="009B78DA">
        <w:rPr>
          <w:rFonts w:ascii="Arial" w:hAnsi="Arial" w:cs="Arial"/>
          <w:color w:val="000000" w:themeColor="text1"/>
          <w:sz w:val="22"/>
          <w:szCs w:val="22"/>
        </w:rPr>
        <w:t xml:space="preserve"> nowe wiaty przystankowe</w:t>
      </w:r>
      <w:r w:rsidR="003521DC" w:rsidRPr="009B78DA">
        <w:rPr>
          <w:rFonts w:ascii="Arial" w:hAnsi="Arial" w:cs="Arial"/>
          <w:color w:val="000000" w:themeColor="text1"/>
          <w:sz w:val="22"/>
          <w:szCs w:val="22"/>
        </w:rPr>
        <w:t>, które</w:t>
      </w:r>
      <w:r w:rsidRPr="009B78DA">
        <w:rPr>
          <w:rFonts w:ascii="Arial" w:hAnsi="Arial" w:cs="Arial"/>
          <w:color w:val="000000" w:themeColor="text1"/>
          <w:sz w:val="22"/>
          <w:szCs w:val="22"/>
        </w:rPr>
        <w:t xml:space="preserve"> wyposażono w stojaki na rowery oraz elementy małej architektury. Powstał również system ścieżek rowerowych, a także Centrum Przesiadkowe z zadaszonym Miejscem Obsługi Rowerzystów.</w:t>
      </w:r>
    </w:p>
    <w:p w14:paraId="43DBE259" w14:textId="77777777" w:rsidR="008F42A8" w:rsidRPr="009B78DA" w:rsidRDefault="008F42A8" w:rsidP="009B10A1">
      <w:pPr>
        <w:pStyle w:val="Akapitzlist"/>
        <w:numPr>
          <w:ilvl w:val="0"/>
          <w:numId w:val="42"/>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Za obsługę komunikacji miejskiej w Stalowej Woli odpowiedzialny jest Zakład Komunikacji Miejskiej. Transport miejski funkcjonuje w obrębie dwóch stref na terenie miasta, gminy Stalowa Wola, gmin obszaru funkcjonalnego: Pysznica, Zaleszany, Nisko oraz gminy Radomyśl nad Sanem. Gminy te obsługuje 15 stałych linii autobusowych.</w:t>
      </w:r>
    </w:p>
    <w:p w14:paraId="22B72311" w14:textId="1B585D15" w:rsidR="00973085" w:rsidRPr="009B10A1" w:rsidRDefault="008F42A8" w:rsidP="009B10A1">
      <w:pPr>
        <w:pStyle w:val="Akapitzlist"/>
        <w:numPr>
          <w:ilvl w:val="0"/>
          <w:numId w:val="42"/>
        </w:numPr>
        <w:spacing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Uzupełnieniem siatki połączeń obszaru funkcjonalnego Stalowa Wola są przejazdy oferowane przez Przedsiębio</w:t>
      </w:r>
      <w:r w:rsidR="00F45E35" w:rsidRPr="009B78DA">
        <w:rPr>
          <w:rFonts w:ascii="Arial" w:hAnsi="Arial" w:cs="Arial"/>
          <w:color w:val="000000" w:themeColor="text1"/>
          <w:sz w:val="22"/>
          <w:szCs w:val="22"/>
        </w:rPr>
        <w:t xml:space="preserve">rstwo Komunikacji Samochodowej </w:t>
      </w:r>
      <w:r w:rsidRPr="009B78DA">
        <w:rPr>
          <w:rFonts w:ascii="Arial" w:hAnsi="Arial" w:cs="Arial"/>
          <w:color w:val="000000" w:themeColor="text1"/>
          <w:sz w:val="22"/>
          <w:szCs w:val="22"/>
        </w:rPr>
        <w:t>w Stalowej Woli oraz innych, prywatnych przewoźników.</w:t>
      </w:r>
    </w:p>
    <w:p w14:paraId="10CB1BF4" w14:textId="77777777" w:rsidR="008F42A8" w:rsidRPr="009B78DA" w:rsidRDefault="008F42A8" w:rsidP="009B10A1">
      <w:pPr>
        <w:pStyle w:val="Akapitzlist"/>
        <w:numPr>
          <w:ilvl w:val="3"/>
          <w:numId w:val="24"/>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Obszar Funkcjonalny Lubaczów</w:t>
      </w:r>
    </w:p>
    <w:p w14:paraId="5AFC2732" w14:textId="77777777" w:rsidR="008F42A8" w:rsidRPr="009B78DA" w:rsidRDefault="008F42A8" w:rsidP="009B10A1">
      <w:pPr>
        <w:pStyle w:val="Akapitzlist"/>
        <w:numPr>
          <w:ilvl w:val="0"/>
          <w:numId w:val="4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obrębie obszaru funkcjonalnego Lubaczów występuje układ drogowy o niskiej gęstości.</w:t>
      </w:r>
    </w:p>
    <w:p w14:paraId="167894EA" w14:textId="42E1110C" w:rsidR="008F42A8" w:rsidRPr="009B78DA" w:rsidRDefault="008F42A8" w:rsidP="009B10A1">
      <w:pPr>
        <w:pStyle w:val="Akapitzlist"/>
        <w:numPr>
          <w:ilvl w:val="0"/>
          <w:numId w:val="4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Podstawą szkieletu układu są jedynie dwie drogi wojewódzkie: DW866, przebiegająca z północy w kierunku przejścia granicznego z Ukrainą w Budomierzu, oraz DW867, łącząca gminę Horyniec Zdrój z Lubaczowem.</w:t>
      </w:r>
    </w:p>
    <w:p w14:paraId="7693459A" w14:textId="77777777" w:rsidR="00973085" w:rsidRPr="009B78DA" w:rsidRDefault="00973085" w:rsidP="009B10A1">
      <w:pPr>
        <w:pStyle w:val="Akapitzlist"/>
        <w:numPr>
          <w:ilvl w:val="0"/>
          <w:numId w:val="4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Układ sieci kolejowej nie jest rozbudowany, jednak umożliwia połączenie obu gmin </w:t>
      </w:r>
      <w:r w:rsidRPr="009B78DA">
        <w:rPr>
          <w:rFonts w:ascii="Arial" w:hAnsi="Arial" w:cs="Arial"/>
          <w:color w:val="000000" w:themeColor="text1"/>
          <w:sz w:val="22"/>
          <w:szCs w:val="22"/>
        </w:rPr>
        <w:br/>
        <w:t>z rdzeniem (przebieg linii kolejowej nr 101 w kierunku północno-wschodnim).</w:t>
      </w:r>
    </w:p>
    <w:p w14:paraId="0AE22407" w14:textId="77777777" w:rsidR="00973085" w:rsidRPr="009B78DA" w:rsidRDefault="00973085" w:rsidP="009B10A1">
      <w:pPr>
        <w:pStyle w:val="Akapitzlist"/>
        <w:numPr>
          <w:ilvl w:val="0"/>
          <w:numId w:val="4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Obszar wymaga doinwestowania i interwencji w zakresie inwestycji drogowych </w:t>
      </w:r>
      <w:r w:rsidRPr="009B78DA">
        <w:rPr>
          <w:rFonts w:ascii="Arial" w:hAnsi="Arial" w:cs="Arial"/>
          <w:color w:val="000000" w:themeColor="text1"/>
          <w:sz w:val="22"/>
          <w:szCs w:val="22"/>
        </w:rPr>
        <w:br/>
        <w:t>i kolejowych.</w:t>
      </w:r>
    </w:p>
    <w:p w14:paraId="4F57CE54" w14:textId="4FE35E85" w:rsidR="00973085" w:rsidRPr="009B10A1" w:rsidRDefault="00973085" w:rsidP="009B10A1">
      <w:pPr>
        <w:pStyle w:val="Akapitzlist"/>
        <w:numPr>
          <w:ilvl w:val="0"/>
          <w:numId w:val="4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 terenie obszaru funkcjonalnego Lubaczów nie istnieje komunikacja miejska.</w:t>
      </w:r>
    </w:p>
    <w:p w14:paraId="26735387" w14:textId="78C6B754" w:rsidR="0008287A" w:rsidRPr="009B78DA" w:rsidRDefault="0008287A" w:rsidP="009B10A1">
      <w:pPr>
        <w:pStyle w:val="Legenda"/>
        <w:keepNext/>
        <w:rPr>
          <w:rFonts w:ascii="Arial" w:hAnsi="Arial" w:cs="Arial"/>
          <w:i w:val="0"/>
          <w:color w:val="000000" w:themeColor="text1"/>
          <w:sz w:val="22"/>
          <w:szCs w:val="22"/>
        </w:rPr>
      </w:pPr>
      <w:bookmarkStart w:id="104" w:name="_Toc146785650"/>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Sieć transportowa w obszarze funkcjonalnym Lubaczów</w:t>
      </w:r>
      <w:bookmarkEnd w:id="104"/>
    </w:p>
    <w:p w14:paraId="29A70187" w14:textId="40CFA42E" w:rsidR="008F42A8" w:rsidRPr="009B78DA" w:rsidRDefault="00CE7AF4"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3FB8B9C9" wp14:editId="153046A5">
            <wp:extent cx="4127499" cy="4365822"/>
            <wp:effectExtent l="0" t="0" r="6985" b="0"/>
            <wp:docPr id="20" name="Obraz 20" descr="Na głównym planie widać obszar zaznaczony kolorem szarym, są to gminy strefy zewnętrznej obszaru funkcjonalnego. Od góry Horyniec-Zdrój, Lubaczów. Na ciemno szary widać rdzeń obszaru funkcjonalnego, obszar Lubaczów. Na żółto drogi wojewódzkie 867, 866. Przerywaną biało czarna linia linie kolejowe 101. Zaznaczono również drogi powiatowe jasno szara linią." title="Rysunek 21 Sieć transportowa w obszarze funkcjonalnym Lubacz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4127499" cy="4365822"/>
                    </a:xfrm>
                    <a:prstGeom prst="rect">
                      <a:avLst/>
                    </a:prstGeom>
                    <a:noFill/>
                  </pic:spPr>
                </pic:pic>
              </a:graphicData>
            </a:graphic>
          </wp:inline>
        </w:drawing>
      </w:r>
    </w:p>
    <w:p w14:paraId="6E76F24C" w14:textId="7812D56B" w:rsidR="00973085" w:rsidRPr="009B78DA" w:rsidRDefault="00CE7AF4" w:rsidP="009B10A1">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0409E8" w:rsidRPr="009B78DA">
        <w:rPr>
          <w:rFonts w:ascii="Arial" w:hAnsi="Arial" w:cs="Arial"/>
          <w:color w:val="000000" w:themeColor="text1"/>
          <w:sz w:val="22"/>
          <w:szCs w:val="22"/>
        </w:rPr>
        <w:t>Opracowanie własne.</w:t>
      </w:r>
    </w:p>
    <w:p w14:paraId="1F62AC1D" w14:textId="77777777" w:rsidR="00CE7AF4" w:rsidRPr="009B78DA" w:rsidRDefault="00CE7AF4" w:rsidP="009B10A1">
      <w:pPr>
        <w:pStyle w:val="Akapitzlist"/>
        <w:numPr>
          <w:ilvl w:val="3"/>
          <w:numId w:val="24"/>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Obszar Funkcjonalny Mielec</w:t>
      </w:r>
    </w:p>
    <w:p w14:paraId="277189BC" w14:textId="56A316BB" w:rsidR="00CE7AF4" w:rsidRPr="009B78DA" w:rsidRDefault="00CE7AF4" w:rsidP="009B10A1">
      <w:pPr>
        <w:pStyle w:val="Akapitzlist"/>
        <w:numPr>
          <w:ilvl w:val="0"/>
          <w:numId w:val="44"/>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Sieć drogowa wewnątrz obszaru funkcjonalnego Mielec opiera się na szkielecie dróg wojewódzkich: DW985, DW875, DW984, DW983, DW986 oraz DW764.</w:t>
      </w:r>
    </w:p>
    <w:p w14:paraId="65449A1D" w14:textId="77777777" w:rsidR="00973085" w:rsidRPr="009B78DA" w:rsidRDefault="00973085" w:rsidP="009B10A1">
      <w:pPr>
        <w:pStyle w:val="Akapitzlist"/>
        <w:numPr>
          <w:ilvl w:val="0"/>
          <w:numId w:val="44"/>
        </w:numPr>
        <w:spacing w:before="120" w:after="0" w:line="276" w:lineRule="auto"/>
        <w:rPr>
          <w:rFonts w:ascii="Arial" w:hAnsi="Arial" w:cs="Arial"/>
          <w:color w:val="000000" w:themeColor="text1"/>
          <w:sz w:val="22"/>
          <w:szCs w:val="22"/>
        </w:rPr>
      </w:pPr>
      <w:r w:rsidRPr="009B78DA">
        <w:rPr>
          <w:rFonts w:ascii="Arial" w:hAnsi="Arial" w:cs="Arial"/>
          <w:color w:val="000000" w:themeColor="text1"/>
          <w:sz w:val="22"/>
          <w:szCs w:val="22"/>
        </w:rPr>
        <w:t>Większa część strefy zewnętrznej jest skomunikowana z rdzeniem obszaru – Mielcem.</w:t>
      </w:r>
    </w:p>
    <w:p w14:paraId="13D925BA" w14:textId="77777777" w:rsidR="00973085" w:rsidRPr="009B78DA" w:rsidRDefault="00973085" w:rsidP="009B10A1">
      <w:pPr>
        <w:pStyle w:val="Akapitzlist"/>
        <w:numPr>
          <w:ilvl w:val="0"/>
          <w:numId w:val="44"/>
        </w:numPr>
        <w:spacing w:before="120" w:after="0" w:line="276" w:lineRule="auto"/>
        <w:rPr>
          <w:rFonts w:ascii="Arial" w:hAnsi="Arial" w:cs="Arial"/>
          <w:color w:val="000000" w:themeColor="text1"/>
          <w:sz w:val="22"/>
          <w:szCs w:val="22"/>
        </w:rPr>
      </w:pPr>
      <w:r w:rsidRPr="009B78DA">
        <w:rPr>
          <w:rFonts w:ascii="Arial" w:hAnsi="Arial" w:cs="Arial"/>
          <w:color w:val="000000" w:themeColor="text1"/>
          <w:sz w:val="22"/>
          <w:szCs w:val="22"/>
        </w:rPr>
        <w:t>Jedynie południowo-zachodnia część obszaru nie ma połączenia z miastem-rdzeniem.</w:t>
      </w:r>
    </w:p>
    <w:p w14:paraId="0C890639" w14:textId="77777777" w:rsidR="00973085" w:rsidRPr="009B78DA" w:rsidRDefault="00973085" w:rsidP="009B10A1">
      <w:pPr>
        <w:pStyle w:val="Akapitzlist"/>
        <w:numPr>
          <w:ilvl w:val="0"/>
          <w:numId w:val="44"/>
        </w:numPr>
        <w:spacing w:before="120" w:after="0" w:line="276" w:lineRule="auto"/>
        <w:rPr>
          <w:rFonts w:ascii="Arial" w:hAnsi="Arial" w:cs="Arial"/>
          <w:color w:val="000000" w:themeColor="text1"/>
          <w:sz w:val="22"/>
          <w:szCs w:val="22"/>
        </w:rPr>
      </w:pPr>
      <w:r w:rsidRPr="009B78DA">
        <w:rPr>
          <w:rFonts w:ascii="Arial" w:hAnsi="Arial" w:cs="Arial"/>
          <w:color w:val="000000" w:themeColor="text1"/>
          <w:sz w:val="22"/>
          <w:szCs w:val="22"/>
        </w:rPr>
        <w:t>Przez obszar funkcjonalny Mielec przebiega linia kolejowa nr 25 o układzie południkowym. Użytkownicy transportu indywidualnego i autobusowego dzięki przeprowadzonym pracom rewitalizacyjnym</w:t>
      </w:r>
      <w:r w:rsidRPr="009B78DA">
        <w:rPr>
          <w:rStyle w:val="Odwoanieprzypisudolnego"/>
          <w:rFonts w:ascii="Arial" w:hAnsi="Arial" w:cs="Arial"/>
          <w:color w:val="000000" w:themeColor="text1"/>
          <w:sz w:val="22"/>
          <w:szCs w:val="22"/>
        </w:rPr>
        <w:footnoteReference w:id="15"/>
      </w:r>
      <w:r w:rsidRPr="009B78DA">
        <w:rPr>
          <w:rFonts w:ascii="Arial" w:hAnsi="Arial" w:cs="Arial"/>
          <w:color w:val="000000" w:themeColor="text1"/>
          <w:sz w:val="22"/>
          <w:szCs w:val="22"/>
        </w:rPr>
        <w:t>, mają alternatywę do zmiany środka transportowego na kolej.</w:t>
      </w:r>
    </w:p>
    <w:p w14:paraId="7FC06E47" w14:textId="77777777" w:rsidR="00973085" w:rsidRPr="009B78DA" w:rsidRDefault="00973085" w:rsidP="009B10A1">
      <w:pPr>
        <w:pStyle w:val="Akapitzlist"/>
        <w:numPr>
          <w:ilvl w:val="0"/>
          <w:numId w:val="44"/>
        </w:numPr>
        <w:spacing w:before="120" w:after="0" w:line="276" w:lineRule="auto"/>
        <w:rPr>
          <w:rFonts w:ascii="Arial" w:hAnsi="Arial" w:cs="Arial"/>
          <w:color w:val="000000" w:themeColor="text1"/>
          <w:sz w:val="22"/>
          <w:szCs w:val="22"/>
        </w:rPr>
      </w:pPr>
      <w:r w:rsidRPr="009B78DA">
        <w:rPr>
          <w:rFonts w:ascii="Arial" w:hAnsi="Arial" w:cs="Arial"/>
          <w:color w:val="000000" w:themeColor="text1"/>
          <w:sz w:val="22"/>
          <w:szCs w:val="22"/>
        </w:rPr>
        <w:t>W Mielcu operatorem komunikacji miejskiej jest Miejska Komunikacja Samochodowa Sp. z o. o.</w:t>
      </w:r>
    </w:p>
    <w:p w14:paraId="14539521" w14:textId="77777777" w:rsidR="00973085" w:rsidRPr="009B78DA" w:rsidRDefault="00973085" w:rsidP="009B10A1">
      <w:pPr>
        <w:pStyle w:val="Akapitzlist"/>
        <w:numPr>
          <w:ilvl w:val="0"/>
          <w:numId w:val="44"/>
        </w:numPr>
        <w:spacing w:before="120" w:after="0" w:line="276" w:lineRule="auto"/>
        <w:rPr>
          <w:rFonts w:ascii="Arial" w:hAnsi="Arial" w:cs="Arial"/>
          <w:color w:val="000000" w:themeColor="text1"/>
          <w:sz w:val="22"/>
          <w:szCs w:val="22"/>
        </w:rPr>
      </w:pPr>
      <w:r w:rsidRPr="009B78DA">
        <w:rPr>
          <w:rFonts w:ascii="Arial" w:hAnsi="Arial" w:cs="Arial"/>
          <w:color w:val="000000" w:themeColor="text1"/>
          <w:sz w:val="22"/>
          <w:szCs w:val="22"/>
        </w:rPr>
        <w:t>Spółka realizuje połączenia autobusowe na 29 trasach skategoryzowanych według czterech grup na obszarze dwóch stref. Dziesięć z nich to linie miejskie i szkolne, osiem to linie miejskie w kierunku Specjalnej Strefy Ekonomicznej Euro-Park Mielec, dwie to linie miejskie kursujące w święta, a pozostałe 5 tras to linie podmiejskie, funkcjonujące na terenie gmin należących do obszaru funkcjonalnego Mielec. Istnieje możliwość korzystania ze wspólnego biletu komunikacji miejskiej.</w:t>
      </w:r>
    </w:p>
    <w:p w14:paraId="658CC5DD" w14:textId="77777777" w:rsidR="00973085" w:rsidRPr="009B78DA" w:rsidRDefault="00973085" w:rsidP="009B10A1">
      <w:pPr>
        <w:pStyle w:val="Akapitzlist"/>
        <w:numPr>
          <w:ilvl w:val="0"/>
          <w:numId w:val="44"/>
        </w:numPr>
        <w:spacing w:before="120" w:after="0" w:line="276" w:lineRule="auto"/>
        <w:rPr>
          <w:rFonts w:ascii="Arial" w:hAnsi="Arial" w:cs="Arial"/>
          <w:color w:val="000000" w:themeColor="text1"/>
          <w:sz w:val="22"/>
          <w:szCs w:val="22"/>
        </w:rPr>
      </w:pPr>
      <w:r w:rsidRPr="009B78DA">
        <w:rPr>
          <w:rFonts w:ascii="Arial" w:hAnsi="Arial" w:cs="Arial"/>
          <w:color w:val="000000" w:themeColor="text1"/>
          <w:sz w:val="22"/>
          <w:szCs w:val="22"/>
        </w:rPr>
        <w:t>Na terenie obszaru funkcjonują także przewoźnicy komercyjni.</w:t>
      </w:r>
    </w:p>
    <w:p w14:paraId="18768348" w14:textId="67009240" w:rsidR="0008287A" w:rsidRPr="009B78DA" w:rsidRDefault="0008287A" w:rsidP="009B10A1">
      <w:pPr>
        <w:pStyle w:val="Legenda"/>
        <w:keepNext/>
        <w:rPr>
          <w:rFonts w:ascii="Arial" w:hAnsi="Arial" w:cs="Arial"/>
          <w:i w:val="0"/>
          <w:color w:val="000000" w:themeColor="text1"/>
          <w:sz w:val="22"/>
          <w:szCs w:val="22"/>
        </w:rPr>
      </w:pPr>
      <w:bookmarkStart w:id="105" w:name="_Toc146785651"/>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Sieć transportowa w obszarze funkcjonalnym Mielec</w:t>
      </w:r>
      <w:bookmarkEnd w:id="105"/>
    </w:p>
    <w:p w14:paraId="10F311B8" w14:textId="4D3F433A" w:rsidR="00CE7AF4" w:rsidRPr="009B78DA" w:rsidRDefault="00143787" w:rsidP="00C641A4">
      <w:pPr>
        <w:spacing w:before="120"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74FA417" wp14:editId="332B0451">
            <wp:extent cx="4323022" cy="4572634"/>
            <wp:effectExtent l="0" t="0" r="1905" b="0"/>
            <wp:docPr id="21" name="Obraz 21" descr="Na głównym planie widać obszar zaznaczony kolorem szarym, są to gminy strefy zewnętrznej obszaru funkcjonalnego. Od góry Tuszów Narodowy, Mielec, Przecław. Na ciemno szary widać rdzeń obszaru funkcjonalnego, obszar Mielec. Na czerwono drogi krajowe. Na żółto drogi wojewódzkie 962, 764, 985, 983, 984. Przerywaną biało czarna linia linie kolejowe 25. Zaznaczono również drogi powiatowe jasno szara linią." title="Rysunek 22 Sieć transportowa w obszarze funkcjonalnym Miel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4323022" cy="4572634"/>
                    </a:xfrm>
                    <a:prstGeom prst="rect">
                      <a:avLst/>
                    </a:prstGeom>
                    <a:noFill/>
                  </pic:spPr>
                </pic:pic>
              </a:graphicData>
            </a:graphic>
          </wp:inline>
        </w:drawing>
      </w:r>
    </w:p>
    <w:p w14:paraId="6A346AC6" w14:textId="37DEB5C6" w:rsidR="003C206F" w:rsidRPr="009B10A1" w:rsidRDefault="00143787" w:rsidP="009B10A1">
      <w:pPr>
        <w:spacing w:before="120"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0409E8" w:rsidRPr="009B78DA">
        <w:rPr>
          <w:rFonts w:ascii="Arial" w:hAnsi="Arial" w:cs="Arial"/>
          <w:color w:val="000000" w:themeColor="text1"/>
          <w:sz w:val="22"/>
          <w:szCs w:val="22"/>
        </w:rPr>
        <w:t>Opracowanie własne.</w:t>
      </w:r>
    </w:p>
    <w:p w14:paraId="3AB3EC35" w14:textId="77777777" w:rsidR="00143787" w:rsidRPr="009B78DA" w:rsidRDefault="00143787" w:rsidP="009B10A1">
      <w:pPr>
        <w:pStyle w:val="Akapitzlist"/>
        <w:numPr>
          <w:ilvl w:val="3"/>
          <w:numId w:val="24"/>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Duopol Dębica-Ropczyce z obszarem funkcjonalnym</w:t>
      </w:r>
    </w:p>
    <w:p w14:paraId="23799315" w14:textId="7E7CE850" w:rsidR="00143787" w:rsidRPr="009B78DA" w:rsidRDefault="00143787" w:rsidP="009B10A1">
      <w:pPr>
        <w:pStyle w:val="Akapitzlist"/>
        <w:numPr>
          <w:ilvl w:val="0"/>
          <w:numId w:val="4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Obszar funkcjonalny przecina autostrad</w:t>
      </w:r>
      <w:r w:rsidR="00F45E35" w:rsidRPr="009B78DA">
        <w:rPr>
          <w:rFonts w:ascii="Arial" w:hAnsi="Arial" w:cs="Arial"/>
          <w:color w:val="000000" w:themeColor="text1"/>
          <w:sz w:val="22"/>
          <w:szCs w:val="22"/>
        </w:rPr>
        <w:t xml:space="preserve">a A4 z węzłami zlokalizowanymi </w:t>
      </w:r>
      <w:r w:rsidRPr="009B78DA">
        <w:rPr>
          <w:rFonts w:ascii="Arial" w:hAnsi="Arial" w:cs="Arial"/>
          <w:color w:val="000000" w:themeColor="text1"/>
          <w:sz w:val="22"/>
          <w:szCs w:val="22"/>
        </w:rPr>
        <w:t>w Dębicy.</w:t>
      </w:r>
    </w:p>
    <w:p w14:paraId="49608473" w14:textId="77777777" w:rsidR="00973085" w:rsidRPr="009B78DA" w:rsidRDefault="00973085" w:rsidP="009B10A1">
      <w:pPr>
        <w:pStyle w:val="Akapitzlist"/>
        <w:numPr>
          <w:ilvl w:val="0"/>
          <w:numId w:val="4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Podstawowymi ciągami drogowymi na terenie obszaru funkcjonalnego Dębica-Ropczyce są: droga krajowa DK94, a także uzupełniające układ, drogi wojewódzkie DW985 i DW986.</w:t>
      </w:r>
    </w:p>
    <w:p w14:paraId="16C5FE74" w14:textId="77777777" w:rsidR="00973085" w:rsidRPr="009B78DA" w:rsidRDefault="00973085" w:rsidP="009B10A1">
      <w:pPr>
        <w:pStyle w:val="Akapitzlist"/>
        <w:numPr>
          <w:ilvl w:val="0"/>
          <w:numId w:val="4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Obszarami o niskiej dostępności względem rdzenia jest południowa oraz północno-zachodnia część obszaru funkcjonalnego.</w:t>
      </w:r>
    </w:p>
    <w:p w14:paraId="44BF7757" w14:textId="77777777" w:rsidR="00973085" w:rsidRPr="009B78DA" w:rsidRDefault="00973085" w:rsidP="009B10A1">
      <w:pPr>
        <w:pStyle w:val="Akapitzlist"/>
        <w:numPr>
          <w:ilvl w:val="0"/>
          <w:numId w:val="4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Najlepsze połączenie z rdzeniem posiadają obszary położone na osi wschód-zachód.</w:t>
      </w:r>
    </w:p>
    <w:p w14:paraId="00521E39" w14:textId="77777777" w:rsidR="00973085" w:rsidRPr="009B78DA" w:rsidRDefault="00973085" w:rsidP="009B10A1">
      <w:pPr>
        <w:pStyle w:val="Akapitzlist"/>
        <w:numPr>
          <w:ilvl w:val="0"/>
          <w:numId w:val="4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Sieć kolejowa opiera się na dwóch liniach. Kluczowy przebieg ma linia nr 91 (E30) relacji Kraków – Rzeszów – Medyka, ułatwiająca podróże pomiędzy rdzeniem obszaru funkcjonalnego a Ropczycami.</w:t>
      </w:r>
    </w:p>
    <w:p w14:paraId="695E2D79" w14:textId="43FBCBB6" w:rsidR="00973085" w:rsidRPr="009B78DA" w:rsidRDefault="00973085" w:rsidP="009B10A1">
      <w:pPr>
        <w:pStyle w:val="Akapitzlist"/>
        <w:numPr>
          <w:ilvl w:val="0"/>
          <w:numId w:val="4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Istotne połączenie kolejowe stanowi także linia nr 25 w kierunku Mielca, wychodząca z węzła w Dębicy.</w:t>
      </w:r>
    </w:p>
    <w:p w14:paraId="2DC2D2BF" w14:textId="75F04425" w:rsidR="0086081B" w:rsidRPr="009B78DA" w:rsidRDefault="0086081B" w:rsidP="009B10A1">
      <w:pPr>
        <w:pStyle w:val="Akapitzlist"/>
        <w:numPr>
          <w:ilvl w:val="0"/>
          <w:numId w:val="45"/>
        </w:numPr>
        <w:spacing w:before="120" w:line="276" w:lineRule="auto"/>
        <w:rPr>
          <w:rFonts w:ascii="Arial" w:hAnsi="Arial" w:cs="Arial"/>
          <w:color w:val="000000" w:themeColor="text1"/>
          <w:sz w:val="22"/>
          <w:szCs w:val="22"/>
        </w:rPr>
      </w:pPr>
      <w:bookmarkStart w:id="106" w:name="_Hlk92557184"/>
      <w:r w:rsidRPr="009B78DA">
        <w:rPr>
          <w:rFonts w:ascii="Arial" w:hAnsi="Arial" w:cs="Arial"/>
          <w:color w:val="000000" w:themeColor="text1"/>
          <w:sz w:val="22"/>
          <w:szCs w:val="22"/>
        </w:rPr>
        <w:t xml:space="preserve">Niezwykle ważne jest utworzenie Zintegrowanego Centrum Przesiadkowego </w:t>
      </w:r>
      <w:r w:rsidR="009B10A1">
        <w:rPr>
          <w:rFonts w:ascii="Arial" w:hAnsi="Arial" w:cs="Arial"/>
          <w:color w:val="000000" w:themeColor="text1"/>
          <w:sz w:val="22"/>
          <w:szCs w:val="22"/>
        </w:rPr>
        <w:br/>
      </w:r>
      <w:r w:rsidRPr="009B78DA">
        <w:rPr>
          <w:rFonts w:ascii="Arial" w:hAnsi="Arial" w:cs="Arial"/>
          <w:color w:val="000000" w:themeColor="text1"/>
          <w:sz w:val="22"/>
          <w:szCs w:val="22"/>
        </w:rPr>
        <w:t>w Dębicy, które stanowiłoby węzeł multimodalny.</w:t>
      </w:r>
    </w:p>
    <w:p w14:paraId="1E5B02AE" w14:textId="27059EBB" w:rsidR="001D3A5B" w:rsidRPr="009B78DA" w:rsidRDefault="003521DC" w:rsidP="009B10A1">
      <w:pPr>
        <w:pStyle w:val="Akapitzlist"/>
        <w:numPr>
          <w:ilvl w:val="0"/>
          <w:numId w:val="45"/>
        </w:numPr>
        <w:spacing w:before="120" w:line="276" w:lineRule="auto"/>
        <w:rPr>
          <w:rFonts w:ascii="Arial" w:hAnsi="Arial" w:cs="Arial"/>
          <w:color w:val="000000" w:themeColor="text1"/>
          <w:sz w:val="22"/>
          <w:szCs w:val="22"/>
        </w:rPr>
      </w:pPr>
      <w:bookmarkStart w:id="107" w:name="_Hlk92557546"/>
      <w:r w:rsidRPr="009B78DA">
        <w:rPr>
          <w:rFonts w:ascii="Arial" w:hAnsi="Arial" w:cs="Arial"/>
          <w:color w:val="000000" w:themeColor="text1"/>
          <w:sz w:val="22"/>
          <w:szCs w:val="22"/>
        </w:rPr>
        <w:t xml:space="preserve">Ważny punkt komunikacyjny obszaru funkcjonalnego </w:t>
      </w:r>
      <w:r w:rsidR="006E52EA" w:rsidRPr="009B78DA">
        <w:rPr>
          <w:rFonts w:ascii="Arial" w:hAnsi="Arial" w:cs="Arial"/>
          <w:color w:val="000000" w:themeColor="text1"/>
          <w:sz w:val="22"/>
          <w:szCs w:val="22"/>
        </w:rPr>
        <w:t xml:space="preserve">stanowi </w:t>
      </w:r>
      <w:r w:rsidR="001D3A5B" w:rsidRPr="009B78DA">
        <w:rPr>
          <w:rFonts w:ascii="Arial" w:hAnsi="Arial" w:cs="Arial"/>
          <w:color w:val="000000" w:themeColor="text1"/>
          <w:sz w:val="22"/>
          <w:szCs w:val="22"/>
        </w:rPr>
        <w:t>Uzdrowisko Latoszyn</w:t>
      </w:r>
      <w:r w:rsidR="006E52EA" w:rsidRPr="009B78DA">
        <w:rPr>
          <w:rFonts w:ascii="Arial" w:hAnsi="Arial" w:cs="Arial"/>
          <w:color w:val="000000" w:themeColor="text1"/>
          <w:sz w:val="22"/>
          <w:szCs w:val="22"/>
        </w:rPr>
        <w:t>.</w:t>
      </w:r>
    </w:p>
    <w:bookmarkEnd w:id="106"/>
    <w:bookmarkEnd w:id="107"/>
    <w:p w14:paraId="5D0360B6" w14:textId="77777777" w:rsidR="00973085" w:rsidRPr="009B78DA" w:rsidRDefault="00973085" w:rsidP="009B10A1">
      <w:pPr>
        <w:pStyle w:val="Akapitzlist"/>
        <w:numPr>
          <w:ilvl w:val="0"/>
          <w:numId w:val="4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Transportem publicznym na terenie duopolu Dębica-Ropczyce zajmuje się Miejska Komunikacja Samochodowa Sp. z o. o. Przewoźnik oferuje połączenia na dziesięciu liniach wewnątrz granic miasta, a także poza jego granicami.</w:t>
      </w:r>
    </w:p>
    <w:p w14:paraId="65A2019A" w14:textId="4545CFB9" w:rsidR="00973085" w:rsidRPr="009B78DA" w:rsidRDefault="00973085" w:rsidP="009B10A1">
      <w:pPr>
        <w:pStyle w:val="Akapitzlist"/>
        <w:numPr>
          <w:ilvl w:val="0"/>
          <w:numId w:val="4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Uzupełnienie usług świadczonych przez MKS na terenie obszaru oferują przewoźnicy prywatni.</w:t>
      </w:r>
    </w:p>
    <w:p w14:paraId="273BCC33" w14:textId="3265C9BE" w:rsidR="0008287A" w:rsidRPr="009B78DA" w:rsidRDefault="0008287A" w:rsidP="009B10A1">
      <w:pPr>
        <w:pStyle w:val="Legenda"/>
        <w:keepNext/>
        <w:rPr>
          <w:rFonts w:ascii="Arial" w:hAnsi="Arial" w:cs="Arial"/>
          <w:i w:val="0"/>
          <w:color w:val="000000" w:themeColor="text1"/>
          <w:sz w:val="22"/>
          <w:szCs w:val="22"/>
        </w:rPr>
      </w:pPr>
      <w:bookmarkStart w:id="108" w:name="_Toc146785652"/>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Sieć transportowa w obszarze funkcjonalnym Dębica – Ropczyce</w:t>
      </w:r>
      <w:bookmarkEnd w:id="108"/>
    </w:p>
    <w:p w14:paraId="17E6853A" w14:textId="41B3C4A3" w:rsidR="00143787" w:rsidRPr="009B78DA" w:rsidRDefault="00143787"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7FCCDC60" wp14:editId="781B6E38">
            <wp:extent cx="4022854" cy="4255134"/>
            <wp:effectExtent l="0" t="0" r="0" b="0"/>
            <wp:docPr id="22" name="Obraz 22" descr="Na głównym planie widać obszar zaznaczony kolorem szarym, są to gminy strefy zewnętrznej obszaru funkcjonalnego. Od góry Żyraków, Ropczyce, Dębica. Na ciemno szary widać rdzeń obszaru funkcjonalnego, obszar Dębica. Ponadto na czerwono została oznaczona Autostrada A4 z węzłem Dębica Zachód i Dębica Wschód. Na czerwono drogi krajowe 94. Na żółto drogi wojewódzkie 986 i 985. Przerywaną biało czarna linia linie kolejowe E30 i 25. Zaznaczono również drogi powiatowe jasno szara linią. " title="Rysunek 23 Sieć transportowa w obszarze funkcjonalnym Dębica – Ropczy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4022854" cy="4255134"/>
                    </a:xfrm>
                    <a:prstGeom prst="rect">
                      <a:avLst/>
                    </a:prstGeom>
                    <a:noFill/>
                  </pic:spPr>
                </pic:pic>
              </a:graphicData>
            </a:graphic>
          </wp:inline>
        </w:drawing>
      </w:r>
    </w:p>
    <w:p w14:paraId="79EAAE3C" w14:textId="54506A85" w:rsidR="00107163" w:rsidRPr="009B10A1" w:rsidRDefault="00143787" w:rsidP="009B10A1">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0409E8" w:rsidRPr="009B78DA">
        <w:rPr>
          <w:rFonts w:ascii="Arial" w:hAnsi="Arial" w:cs="Arial"/>
          <w:color w:val="000000" w:themeColor="text1"/>
          <w:sz w:val="22"/>
          <w:szCs w:val="22"/>
        </w:rPr>
        <w:t>Opracowanie własne.</w:t>
      </w:r>
    </w:p>
    <w:p w14:paraId="5AE97145" w14:textId="77777777" w:rsidR="00143787" w:rsidRPr="009B78DA" w:rsidRDefault="00143787" w:rsidP="009B10A1">
      <w:pPr>
        <w:pStyle w:val="Akapitzlist"/>
        <w:numPr>
          <w:ilvl w:val="3"/>
          <w:numId w:val="24"/>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Duopol Jarosław-Przeworsk z obszarem funkcjonalnym</w:t>
      </w:r>
    </w:p>
    <w:p w14:paraId="48AB43E6" w14:textId="77777777" w:rsidR="00143787" w:rsidRPr="009B78DA" w:rsidRDefault="00143787" w:rsidP="009B10A1">
      <w:pPr>
        <w:pStyle w:val="Akapitzlist"/>
        <w:numPr>
          <w:ilvl w:val="0"/>
          <w:numId w:val="46"/>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Teren obszaru funkcjonalnego Jarosław przecina autostrada A4 z węzłami.</w:t>
      </w:r>
    </w:p>
    <w:p w14:paraId="6D58B49B" w14:textId="77777777" w:rsidR="00B464EE" w:rsidRPr="009B78DA" w:rsidRDefault="00B464EE" w:rsidP="009B10A1">
      <w:pPr>
        <w:pStyle w:val="Akapitzlist"/>
        <w:numPr>
          <w:ilvl w:val="0"/>
          <w:numId w:val="46"/>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Sieć drogowa wewnątrz obszaru funkcjonalnego Jarosław-Przeworsk opiera się na szkielecie dróg krajowych DK94 i DK77 oraz wojewódzkich: DW835, DW870, DW865 oraz DW880.</w:t>
      </w:r>
    </w:p>
    <w:p w14:paraId="7F158748" w14:textId="77777777" w:rsidR="00B464EE" w:rsidRPr="009B78DA" w:rsidRDefault="00B464EE" w:rsidP="009B10A1">
      <w:pPr>
        <w:pStyle w:val="Akapitzlist"/>
        <w:numPr>
          <w:ilvl w:val="0"/>
          <w:numId w:val="46"/>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Największy wpływ na dostępność wewnętrzną obszaru ma droga krajowa DK94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o relacji równoległej do autostrady A4.</w:t>
      </w:r>
    </w:p>
    <w:p w14:paraId="77F3C16D" w14:textId="77777777" w:rsidR="00B464EE" w:rsidRPr="009B78DA" w:rsidRDefault="00B464EE" w:rsidP="009B10A1">
      <w:pPr>
        <w:pStyle w:val="Akapitzlist"/>
        <w:numPr>
          <w:ilvl w:val="0"/>
          <w:numId w:val="46"/>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Ze względu na skupiony charakter przestrzenny obszaru funkcjonalnego, dostępność wewnętrzna w obrębie obszaru jest wysoka.</w:t>
      </w:r>
    </w:p>
    <w:p w14:paraId="5D505E91" w14:textId="76A83CDF" w:rsidR="00B464EE" w:rsidRPr="009B78DA" w:rsidRDefault="00B464EE" w:rsidP="009B10A1">
      <w:pPr>
        <w:pStyle w:val="Akapitzlist"/>
        <w:numPr>
          <w:ilvl w:val="0"/>
          <w:numId w:val="46"/>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Najważniejszym elementem funkcjonowania układu kolejowego w obszarze są połączenia kolejowe realizowane są na linii nr 91 (E30) relacji Kraków – Rzeszów – Medyka.</w:t>
      </w:r>
    </w:p>
    <w:p w14:paraId="2F342336" w14:textId="41CED1E0" w:rsidR="001D3A5B" w:rsidRPr="009B78DA" w:rsidRDefault="001D3A5B" w:rsidP="009B10A1">
      <w:pPr>
        <w:pStyle w:val="Akapitzlist"/>
        <w:numPr>
          <w:ilvl w:val="0"/>
          <w:numId w:val="46"/>
        </w:numPr>
        <w:spacing w:before="120" w:line="276" w:lineRule="auto"/>
        <w:rPr>
          <w:rFonts w:ascii="Arial" w:hAnsi="Arial" w:cs="Arial"/>
          <w:color w:val="000000" w:themeColor="text1"/>
          <w:sz w:val="22"/>
          <w:szCs w:val="22"/>
        </w:rPr>
      </w:pPr>
      <w:bookmarkStart w:id="109" w:name="_Hlk92557658"/>
      <w:r w:rsidRPr="009B78DA">
        <w:rPr>
          <w:rFonts w:ascii="Arial" w:hAnsi="Arial" w:cs="Arial"/>
          <w:color w:val="000000" w:themeColor="text1"/>
          <w:sz w:val="22"/>
          <w:szCs w:val="22"/>
        </w:rPr>
        <w:t>Na obszarze funkcjonalnym działa kolej wąskotorowa Przeworsk – Dynów.</w:t>
      </w:r>
    </w:p>
    <w:bookmarkEnd w:id="109"/>
    <w:p w14:paraId="6F48D723" w14:textId="77777777" w:rsidR="00B464EE" w:rsidRPr="009B78DA" w:rsidRDefault="00B464EE" w:rsidP="009B10A1">
      <w:pPr>
        <w:pStyle w:val="Akapitzlist"/>
        <w:numPr>
          <w:ilvl w:val="0"/>
          <w:numId w:val="46"/>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Jarosławiu komunikacja zbiorowa organizowana jest przez Miejski Zakład Komunikacji Sp. z o. o. Połączenia odbywają się na siedmiu liniach na obszarze miasta, tylko jedna z nich przebiega także przez fragment sąsiedniej gminy Pawłosiów.</w:t>
      </w:r>
    </w:p>
    <w:p w14:paraId="58723A39" w14:textId="77777777" w:rsidR="00B464EE" w:rsidRPr="009B78DA" w:rsidRDefault="00B464EE" w:rsidP="009B10A1">
      <w:pPr>
        <w:pStyle w:val="Akapitzlist"/>
        <w:numPr>
          <w:ilvl w:val="0"/>
          <w:numId w:val="46"/>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Połączenia wewnątrz obszaru uzupełnia Przedsiębiorstwo Komunikacji Samochodowej Jarosław.</w:t>
      </w:r>
    </w:p>
    <w:p w14:paraId="2BB03C01" w14:textId="50DA29AE" w:rsidR="0008287A" w:rsidRPr="009B78DA" w:rsidRDefault="0008287A" w:rsidP="009B10A1">
      <w:pPr>
        <w:pStyle w:val="Legenda"/>
        <w:keepNext/>
        <w:rPr>
          <w:rFonts w:ascii="Arial" w:hAnsi="Arial" w:cs="Arial"/>
          <w:i w:val="0"/>
          <w:color w:val="000000" w:themeColor="text1"/>
          <w:sz w:val="22"/>
          <w:szCs w:val="22"/>
        </w:rPr>
      </w:pPr>
      <w:bookmarkStart w:id="110" w:name="_Toc146785653"/>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Sieć transportowa w obszarze funkcjonalnym Jarosław – Przeworsk</w:t>
      </w:r>
      <w:bookmarkEnd w:id="110"/>
    </w:p>
    <w:p w14:paraId="2AFBADA3" w14:textId="2089934B" w:rsidR="00143787" w:rsidRPr="009B78DA" w:rsidRDefault="00143787"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15248E9" wp14:editId="0D6BA461">
            <wp:extent cx="3915797" cy="3709190"/>
            <wp:effectExtent l="0" t="0" r="8890" b="5715"/>
            <wp:docPr id="23" name="Obraz 23" descr="Na głównym planie widać obszar zaznaczony kolorem szarym, są to gminy strefy zewnętrznej obszaru funkcjonalnego. Od góry Przeworsk, Pawłosiów. Na ciemno szary widać rdzeń obszaru funkcjonalnego, obszar Przeworsk i Jarosław. Ponadto na czerwono została oznaczona Autostrada A4 z węzłami Przeworsk, Jarosław Zachód, Jarosław Wschód. Na czerwono drogi krajowe 94 i 77. Na żółto drogi wojewódzkie 835, 865, 880. Przerywaną biało czarna linia linie kolejowe E30 i 68. Zaznaczono również drogi powiatowe jasno szara linią. " title="Rysunek 24 Sieć transportowa w obszarze funkcjonalnym Jarosław – Przewor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915797" cy="3709190"/>
                    </a:xfrm>
                    <a:prstGeom prst="rect">
                      <a:avLst/>
                    </a:prstGeom>
                    <a:noFill/>
                  </pic:spPr>
                </pic:pic>
              </a:graphicData>
            </a:graphic>
          </wp:inline>
        </w:drawing>
      </w:r>
    </w:p>
    <w:p w14:paraId="76D67ED4" w14:textId="758DD967" w:rsidR="00973085" w:rsidRPr="009B78DA" w:rsidRDefault="00143787" w:rsidP="009B10A1">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0409E8" w:rsidRPr="009B78DA">
        <w:rPr>
          <w:rFonts w:ascii="Arial" w:hAnsi="Arial" w:cs="Arial"/>
          <w:color w:val="000000" w:themeColor="text1"/>
          <w:sz w:val="22"/>
          <w:szCs w:val="22"/>
        </w:rPr>
        <w:t>Opracowanie własne.</w:t>
      </w:r>
    </w:p>
    <w:p w14:paraId="1EF96778" w14:textId="77777777" w:rsidR="00143787" w:rsidRPr="009B78DA" w:rsidRDefault="00143787" w:rsidP="009B10A1">
      <w:pPr>
        <w:pStyle w:val="Akapitzlist"/>
        <w:numPr>
          <w:ilvl w:val="3"/>
          <w:numId w:val="24"/>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Duopol Sanok-Lesko z obszarem funkcjonalnym</w:t>
      </w:r>
    </w:p>
    <w:p w14:paraId="61033A23" w14:textId="77777777" w:rsidR="00143787" w:rsidRPr="009B78DA" w:rsidRDefault="00143787" w:rsidP="009B10A1">
      <w:pPr>
        <w:pStyle w:val="Akapitzlist"/>
        <w:numPr>
          <w:ilvl w:val="0"/>
          <w:numId w:val="4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Sieć drogowa wewnątrz obszaru funkcjonalnego Sanok-Lesko opiera się na szkielecie dróg krajowych DK28 i DK84, a także wojewódzkich: DW886, DW892, DW893 oraz DW894.</w:t>
      </w:r>
    </w:p>
    <w:p w14:paraId="53DA3EDC" w14:textId="77777777" w:rsidR="00143787" w:rsidRPr="009B78DA" w:rsidRDefault="00143787" w:rsidP="009B10A1">
      <w:pPr>
        <w:pStyle w:val="Akapitzlist"/>
        <w:numPr>
          <w:ilvl w:val="0"/>
          <w:numId w:val="4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Najmniejszą dostępnością wewnętrzną charakteryzuje się teren północny oraz zachodni obszaru.</w:t>
      </w:r>
    </w:p>
    <w:p w14:paraId="76AA5835" w14:textId="77777777" w:rsidR="00143787" w:rsidRPr="009B78DA" w:rsidRDefault="00143787" w:rsidP="009B10A1">
      <w:pPr>
        <w:pStyle w:val="Akapitzlist"/>
        <w:numPr>
          <w:ilvl w:val="0"/>
          <w:numId w:val="4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Najlepsza dostępność względem rdzenia obszaru występuje w części południowo-wschodniej.</w:t>
      </w:r>
    </w:p>
    <w:p w14:paraId="0006E4BD" w14:textId="77777777" w:rsidR="00143787" w:rsidRPr="009B78DA" w:rsidRDefault="00143787" w:rsidP="009B10A1">
      <w:pPr>
        <w:pStyle w:val="Akapitzlist"/>
        <w:numPr>
          <w:ilvl w:val="0"/>
          <w:numId w:val="4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Oddanie do użytkowania pierwszej części obwodnicy Sanoka znacząco usprawnia przepływ między Sanokiem a Leskiem.</w:t>
      </w:r>
    </w:p>
    <w:p w14:paraId="2381E753" w14:textId="77777777" w:rsidR="00143787" w:rsidRPr="009B78DA" w:rsidRDefault="00143787" w:rsidP="009B10A1">
      <w:pPr>
        <w:pStyle w:val="Akapitzlist"/>
        <w:numPr>
          <w:ilvl w:val="0"/>
          <w:numId w:val="4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Brak połączenia kolejowego między rdzeniami oddziałuje negatywnie na migracje między Leskiem a Sanokiem.</w:t>
      </w:r>
    </w:p>
    <w:p w14:paraId="49942BA0" w14:textId="75FACA7D" w:rsidR="00143787" w:rsidRPr="009B78DA" w:rsidRDefault="00143787" w:rsidP="009B10A1">
      <w:pPr>
        <w:pStyle w:val="Akapitzlist"/>
        <w:numPr>
          <w:ilvl w:val="0"/>
          <w:numId w:val="4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Organizatorem komunikacji zbiorowej w Sanoku jest Zakład Miejska Komunikacja Samochodowa Sanockiego Przedsiębiorstwa Gospodarki Komunalnej Sp. z o. o. ZMKS obsługuje 14 linii, z których 8 kursuje wewnątrz Sanoka. Natomiast pozosta</w:t>
      </w:r>
      <w:r w:rsidR="00EF1532" w:rsidRPr="009B78DA">
        <w:rPr>
          <w:rFonts w:ascii="Arial" w:hAnsi="Arial" w:cs="Arial"/>
          <w:color w:val="000000" w:themeColor="text1"/>
          <w:sz w:val="22"/>
          <w:szCs w:val="22"/>
        </w:rPr>
        <w:t>łych</w:t>
      </w:r>
      <w:r w:rsidRPr="009B78DA">
        <w:rPr>
          <w:rFonts w:ascii="Arial" w:hAnsi="Arial" w:cs="Arial"/>
          <w:color w:val="000000" w:themeColor="text1"/>
          <w:sz w:val="22"/>
          <w:szCs w:val="22"/>
        </w:rPr>
        <w:t xml:space="preserve"> 6 realizowan</w:t>
      </w:r>
      <w:r w:rsidR="00EF1532" w:rsidRPr="009B78DA">
        <w:rPr>
          <w:rFonts w:ascii="Arial" w:hAnsi="Arial" w:cs="Arial"/>
          <w:color w:val="000000" w:themeColor="text1"/>
          <w:sz w:val="22"/>
          <w:szCs w:val="22"/>
        </w:rPr>
        <w:t>ych</w:t>
      </w:r>
      <w:r w:rsidRPr="009B78DA">
        <w:rPr>
          <w:rFonts w:ascii="Arial" w:hAnsi="Arial" w:cs="Arial"/>
          <w:color w:val="000000" w:themeColor="text1"/>
          <w:sz w:val="22"/>
          <w:szCs w:val="22"/>
        </w:rPr>
        <w:t xml:space="preserve"> </w:t>
      </w:r>
      <w:r w:rsidR="00EF1532" w:rsidRPr="009B78DA">
        <w:rPr>
          <w:rFonts w:ascii="Arial" w:hAnsi="Arial" w:cs="Arial"/>
          <w:color w:val="000000" w:themeColor="text1"/>
          <w:sz w:val="22"/>
          <w:szCs w:val="22"/>
        </w:rPr>
        <w:t>jest</w:t>
      </w:r>
      <w:r w:rsidRPr="009B78DA">
        <w:rPr>
          <w:rFonts w:ascii="Arial" w:hAnsi="Arial" w:cs="Arial"/>
          <w:color w:val="000000" w:themeColor="text1"/>
          <w:sz w:val="22"/>
          <w:szCs w:val="22"/>
        </w:rPr>
        <w:t xml:space="preserve"> poza granice miasta, do gminy Zagórz.</w:t>
      </w:r>
    </w:p>
    <w:p w14:paraId="545A83BF" w14:textId="77777777" w:rsidR="00143787" w:rsidRPr="009B78DA" w:rsidRDefault="00143787" w:rsidP="009B10A1">
      <w:pPr>
        <w:pStyle w:val="Akapitzlist"/>
        <w:numPr>
          <w:ilvl w:val="0"/>
          <w:numId w:val="4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Połączenia wewnątrz obszaru funkcjonalnego Sanok uzupełniane są przez pozostałych prywatnych przewoźników.</w:t>
      </w:r>
    </w:p>
    <w:p w14:paraId="2B207041" w14:textId="2DE1AA07" w:rsidR="0008287A" w:rsidRPr="009B78DA" w:rsidRDefault="0008287A" w:rsidP="009B10A1">
      <w:pPr>
        <w:pStyle w:val="Legenda"/>
        <w:keepNext/>
        <w:rPr>
          <w:rFonts w:ascii="Arial" w:hAnsi="Arial" w:cs="Arial"/>
          <w:i w:val="0"/>
          <w:color w:val="000000" w:themeColor="text1"/>
          <w:sz w:val="22"/>
          <w:szCs w:val="22"/>
        </w:rPr>
      </w:pPr>
      <w:bookmarkStart w:id="111" w:name="_Toc146785654"/>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Sieć transportowa w obszarze funkcjonalnym Sanok – Lesko</w:t>
      </w:r>
      <w:bookmarkEnd w:id="111"/>
    </w:p>
    <w:p w14:paraId="6E9ED350" w14:textId="3D852842" w:rsidR="00143787" w:rsidRPr="009B78DA" w:rsidRDefault="005E73BD"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50ADC13D" wp14:editId="06705E71">
            <wp:extent cx="3560671" cy="4602819"/>
            <wp:effectExtent l="0" t="0" r="1905" b="7620"/>
            <wp:docPr id="24" name="Obraz 24" descr="Na głównym planie widać obszar zaznaczony kolorem szarym, są to gminy strefy zewnętrznej obszaru funkcjonalnego. Od góry Sanok, Lesko, Zagórz. Na ciemno szary widać rdzeń obszaru funkcjonalnego, obszar Sanok. Na czerwono drogi krajowe 28, 84. Na żółto drogi wojewódzkie 886, 892, 893, 894. Przerywaną biało czarna linia linie kolejowe 107, 108. Zaznaczono również drogi powiatowe jasno szara linią. " title="Rysunek 25 Sieć transportowa w obszarze funkcjonalnym Sanok – Le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560671" cy="4602819"/>
                    </a:xfrm>
                    <a:prstGeom prst="rect">
                      <a:avLst/>
                    </a:prstGeom>
                    <a:noFill/>
                  </pic:spPr>
                </pic:pic>
              </a:graphicData>
            </a:graphic>
          </wp:inline>
        </w:drawing>
      </w:r>
    </w:p>
    <w:p w14:paraId="3189FE02" w14:textId="578628DC" w:rsidR="00D927A4" w:rsidRPr="009B78DA" w:rsidRDefault="005E73BD" w:rsidP="003C206F">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0409E8" w:rsidRPr="009B78DA">
        <w:rPr>
          <w:rFonts w:ascii="Arial" w:hAnsi="Arial" w:cs="Arial"/>
          <w:color w:val="000000" w:themeColor="text1"/>
          <w:sz w:val="22"/>
          <w:szCs w:val="22"/>
        </w:rPr>
        <w:t>Opracowanie własne.</w:t>
      </w:r>
      <w:r w:rsidR="00F45E35" w:rsidRPr="009B78DA">
        <w:rPr>
          <w:rFonts w:ascii="Arial" w:hAnsi="Arial" w:cs="Arial"/>
          <w:color w:val="000000" w:themeColor="text1"/>
          <w:sz w:val="22"/>
          <w:szCs w:val="22"/>
        </w:rPr>
        <w:br w:type="page"/>
      </w:r>
    </w:p>
    <w:p w14:paraId="1BFB3580" w14:textId="4C6830CA" w:rsidR="00DD0DC2" w:rsidRPr="009B10A1" w:rsidRDefault="005E73BD" w:rsidP="009B10A1">
      <w:pPr>
        <w:pStyle w:val="Nagwek3"/>
        <w:numPr>
          <w:ilvl w:val="1"/>
          <w:numId w:val="258"/>
        </w:numPr>
        <w:rPr>
          <w:rFonts w:cs="Arial"/>
          <w:color w:val="000000" w:themeColor="text1"/>
          <w:sz w:val="24"/>
        </w:rPr>
      </w:pPr>
      <w:bookmarkStart w:id="112" w:name="_Toc100335061"/>
      <w:bookmarkStart w:id="113" w:name="_Toc146785785"/>
      <w:r w:rsidRPr="009B78DA">
        <w:rPr>
          <w:rFonts w:cs="Arial"/>
          <w:color w:val="000000" w:themeColor="text1"/>
          <w:sz w:val="24"/>
        </w:rPr>
        <w:t>Przepływy w sieci transportowej</w:t>
      </w:r>
      <w:bookmarkEnd w:id="112"/>
      <w:bookmarkEnd w:id="113"/>
    </w:p>
    <w:p w14:paraId="268C14F8" w14:textId="77777777" w:rsidR="005E73BD" w:rsidRPr="009B78DA" w:rsidRDefault="005E73BD" w:rsidP="009B10A1">
      <w:pPr>
        <w:pStyle w:val="Akapitzlist"/>
        <w:numPr>
          <w:ilvl w:val="2"/>
          <w:numId w:val="245"/>
        </w:numPr>
        <w:spacing w:before="120" w:line="276" w:lineRule="auto"/>
        <w:ind w:left="851" w:hanging="851"/>
        <w:rPr>
          <w:rFonts w:ascii="Arial" w:hAnsi="Arial" w:cs="Arial"/>
          <w:b/>
          <w:color w:val="000000" w:themeColor="text1"/>
          <w:sz w:val="22"/>
          <w:szCs w:val="22"/>
        </w:rPr>
      </w:pPr>
      <w:r w:rsidRPr="009B78DA">
        <w:rPr>
          <w:rFonts w:ascii="Arial" w:hAnsi="Arial" w:cs="Arial"/>
          <w:b/>
          <w:color w:val="000000" w:themeColor="text1"/>
          <w:sz w:val="22"/>
          <w:szCs w:val="22"/>
        </w:rPr>
        <w:t xml:space="preserve">Potoki ruchu osób </w:t>
      </w:r>
    </w:p>
    <w:p w14:paraId="670D2371" w14:textId="77777777" w:rsidR="005E73BD" w:rsidRPr="009B78DA" w:rsidRDefault="005E73BD" w:rsidP="009B10A1">
      <w:pPr>
        <w:pStyle w:val="Akapitzlist"/>
        <w:numPr>
          <w:ilvl w:val="3"/>
          <w:numId w:val="245"/>
        </w:numPr>
        <w:spacing w:before="120" w:line="276" w:lineRule="auto"/>
        <w:ind w:left="851" w:hanging="851"/>
        <w:rPr>
          <w:rFonts w:ascii="Arial" w:hAnsi="Arial" w:cs="Arial"/>
          <w:b/>
          <w:color w:val="000000" w:themeColor="text1"/>
          <w:sz w:val="22"/>
          <w:szCs w:val="22"/>
        </w:rPr>
      </w:pPr>
      <w:r w:rsidRPr="009B78DA">
        <w:rPr>
          <w:rFonts w:ascii="Arial" w:hAnsi="Arial" w:cs="Arial"/>
          <w:b/>
          <w:color w:val="000000" w:themeColor="text1"/>
          <w:sz w:val="22"/>
          <w:szCs w:val="22"/>
        </w:rPr>
        <w:t>Dojazdy do pracy</w:t>
      </w:r>
    </w:p>
    <w:p w14:paraId="7E158C79" w14:textId="77777777" w:rsidR="005E73BD" w:rsidRPr="009B78DA" w:rsidRDefault="005E73BD" w:rsidP="009B10A1">
      <w:pPr>
        <w:pStyle w:val="Akapitzlist"/>
        <w:numPr>
          <w:ilvl w:val="0"/>
          <w:numId w:val="48"/>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Analiza dotycząca dynamiki dojazdów do pracy jest bardzo istotna dla planowanego rozwoju infrastruktury drogowej w rejonie niektórych obszarów funkcjonalnych oraz dla rozwoju komunikacji zbiorowej w ich sąsiedztwie. Pozwala bowiem wyodrębnić gminy z największymi potokami ruchu pracowników.</w:t>
      </w:r>
    </w:p>
    <w:p w14:paraId="1BBB09C7" w14:textId="77777777" w:rsidR="005E73BD" w:rsidRPr="009B78DA" w:rsidRDefault="005E73BD" w:rsidP="009B10A1">
      <w:pPr>
        <w:pStyle w:val="Akapitzlist"/>
        <w:numPr>
          <w:ilvl w:val="0"/>
          <w:numId w:val="48"/>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Województwo podkarpackie cechuje się wysoką mobilnością pracowników. </w:t>
      </w:r>
    </w:p>
    <w:p w14:paraId="40E7B30F" w14:textId="0F04E5EE" w:rsidR="0008287A" w:rsidRPr="009B78DA" w:rsidRDefault="0008287A" w:rsidP="009B10A1">
      <w:pPr>
        <w:pStyle w:val="Legenda"/>
        <w:keepNext/>
        <w:rPr>
          <w:rFonts w:ascii="Arial" w:hAnsi="Arial" w:cs="Arial"/>
          <w:i w:val="0"/>
          <w:color w:val="000000" w:themeColor="text1"/>
          <w:sz w:val="22"/>
          <w:szCs w:val="22"/>
        </w:rPr>
      </w:pPr>
      <w:bookmarkStart w:id="114" w:name="_Toc146785655"/>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Wskaźnik udziału liczby osób przyjeżdżających do pracy w liczbie osób wyjeżdżających do pracy w ujęciu gminnym (pomiędzy poszczególnymi gminami) w roku 2016 (osoba)</w:t>
      </w:r>
      <w:bookmarkEnd w:id="114"/>
    </w:p>
    <w:p w14:paraId="701E8FE5" w14:textId="58AEC6A0" w:rsidR="005E73BD" w:rsidRPr="009B78DA" w:rsidRDefault="005E73BD" w:rsidP="005A1FC1">
      <w:pPr>
        <w:spacing w:before="120"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569BCA2B" wp14:editId="1F347DED">
            <wp:extent cx="5907405" cy="4848225"/>
            <wp:effectExtent l="0" t="0" r="0" b="9525"/>
            <wp:docPr id="25" name="Obraz 25" descr="Powyżej 4 Stalowa Wola, Mielec, Rzeszów, Jarosław, Krosno, Brzozów, Sanok, od 2,1 do 4 Ulanów, Majdan Królewski, Nowa Sarzyna, Leżajsk, Lubaczów, Pilzno, Dębica, Sędziszów Małopolski, Przeworsk, Kańczuga, Strzyżów, Przemyśl, Jasło, Iwonicz-Zdrój, Rymanów, Lesko, od 1 do 2 Tarnobrzeg, Nisko, Sieniawa, Cieszanów, Narol, Przecław, Ropczyce, Głogów Małopolski, Trzebownisko, Łańcut, Brzostek, Dynów, Dukla, Zagórz, Ustrzyki Dolne, Lutowiska, Poniżej 1 pozostałem gminy i miasta w województwie podkarpackim " title="Rysunek 26 Wskaźnik udziału liczby osób przyjeżdżających do pracy w liczbie osób wyjeżdżających do pracy w ujęciu gminnym (pomiędzy poszczególnymi gminami) w roku 2016 (os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6">
                      <a:extLst>
                        <a:ext uri="{28A0092B-C50C-407E-A947-70E740481C1C}">
                          <a14:useLocalDpi xmlns:a14="http://schemas.microsoft.com/office/drawing/2010/main" val="0"/>
                        </a:ext>
                      </a:extLst>
                    </a:blip>
                    <a:srcRect t="4659" b="4144"/>
                    <a:stretch/>
                  </pic:blipFill>
                  <pic:spPr bwMode="auto">
                    <a:xfrm>
                      <a:off x="0" y="0"/>
                      <a:ext cx="5907405" cy="4848225"/>
                    </a:xfrm>
                    <a:prstGeom prst="rect">
                      <a:avLst/>
                    </a:prstGeom>
                    <a:noFill/>
                    <a:ln>
                      <a:noFill/>
                    </a:ln>
                    <a:extLst>
                      <a:ext uri="{53640926-AAD7-44D8-BBD7-CCE9431645EC}">
                        <a14:shadowObscured xmlns:a14="http://schemas.microsoft.com/office/drawing/2010/main"/>
                      </a:ext>
                    </a:extLst>
                  </pic:spPr>
                </pic:pic>
              </a:graphicData>
            </a:graphic>
          </wp:inline>
        </w:drawing>
      </w:r>
    </w:p>
    <w:p w14:paraId="5F833688" w14:textId="38608CB0" w:rsidR="005E73BD" w:rsidRPr="009B78DA" w:rsidRDefault="005E73BD" w:rsidP="009B10A1">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Pr="009B78DA">
        <w:rPr>
          <w:rFonts w:ascii="Arial" w:hAnsi="Arial" w:cs="Arial"/>
          <w:i/>
          <w:color w:val="000000" w:themeColor="text1"/>
          <w:sz w:val="22"/>
          <w:szCs w:val="22"/>
        </w:rPr>
        <w:t>Diagnoza stanu systemu transportowego w województwie podkarpackim</w:t>
      </w:r>
      <w:r w:rsidRPr="009B78DA">
        <w:rPr>
          <w:rFonts w:ascii="Arial" w:hAnsi="Arial" w:cs="Arial"/>
          <w:color w:val="000000" w:themeColor="text1"/>
          <w:sz w:val="22"/>
          <w:szCs w:val="22"/>
        </w:rPr>
        <w:t xml:space="preserve">, PBPP </w:t>
      </w:r>
      <w:r w:rsidR="00F45E35" w:rsidRPr="009B78DA">
        <w:rPr>
          <w:rFonts w:ascii="Arial" w:hAnsi="Arial" w:cs="Arial"/>
          <w:color w:val="000000" w:themeColor="text1"/>
          <w:sz w:val="22"/>
          <w:szCs w:val="22"/>
        </w:rPr>
        <w:br/>
      </w:r>
      <w:r w:rsidRPr="009B78DA">
        <w:rPr>
          <w:rFonts w:ascii="Arial" w:hAnsi="Arial" w:cs="Arial"/>
          <w:color w:val="000000" w:themeColor="text1"/>
          <w:sz w:val="22"/>
          <w:szCs w:val="22"/>
        </w:rPr>
        <w:t>w Rzeszowie, 2020</w:t>
      </w:r>
      <w:r w:rsidR="001E00EE" w:rsidRPr="009B78DA">
        <w:rPr>
          <w:rFonts w:ascii="Arial" w:hAnsi="Arial" w:cs="Arial"/>
          <w:color w:val="000000" w:themeColor="text1"/>
          <w:sz w:val="22"/>
          <w:szCs w:val="22"/>
        </w:rPr>
        <w:t>/2021</w:t>
      </w:r>
      <w:r w:rsidRPr="009B78DA">
        <w:rPr>
          <w:rFonts w:ascii="Arial" w:hAnsi="Arial" w:cs="Arial"/>
          <w:color w:val="000000" w:themeColor="text1"/>
          <w:sz w:val="22"/>
          <w:szCs w:val="22"/>
        </w:rPr>
        <w:t xml:space="preserve">. </w:t>
      </w:r>
    </w:p>
    <w:p w14:paraId="6655D4AB" w14:textId="55E167E5" w:rsidR="00107163" w:rsidRPr="009B78DA" w:rsidRDefault="00107163" w:rsidP="009B10A1">
      <w:pPr>
        <w:pStyle w:val="Akapitzlist"/>
        <w:numPr>
          <w:ilvl w:val="0"/>
          <w:numId w:val="4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Znaczącą rolę w strukturze przepływów związanych z zatrudnieniem odgrywa Rzeszów, będący bardzo atrakcyjnym rynkiem pracy do którego dojeżdża ponad 44000 osób.</w:t>
      </w:r>
    </w:p>
    <w:p w14:paraId="05CC7F03" w14:textId="3BB357A7" w:rsidR="00107163" w:rsidRPr="009B78DA" w:rsidRDefault="00107163" w:rsidP="009B10A1">
      <w:pPr>
        <w:pStyle w:val="Akapitzlist"/>
        <w:numPr>
          <w:ilvl w:val="0"/>
          <w:numId w:val="4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Największe potoki ruchu płyną do Rzeszowa z gmin </w:t>
      </w:r>
      <w:r w:rsidR="00814B19" w:rsidRPr="009B78DA">
        <w:rPr>
          <w:rFonts w:ascii="Arial" w:hAnsi="Arial" w:cs="Arial"/>
          <w:color w:val="000000" w:themeColor="text1"/>
          <w:sz w:val="22"/>
          <w:szCs w:val="22"/>
        </w:rPr>
        <w:t>R</w:t>
      </w:r>
      <w:r w:rsidRPr="009B78DA">
        <w:rPr>
          <w:rFonts w:ascii="Arial" w:hAnsi="Arial" w:cs="Arial"/>
          <w:color w:val="000000" w:themeColor="text1"/>
          <w:sz w:val="22"/>
          <w:szCs w:val="22"/>
        </w:rPr>
        <w:t>OF oraz z Przemyśla.</w:t>
      </w:r>
    </w:p>
    <w:p w14:paraId="1131563B" w14:textId="77777777" w:rsidR="00107163" w:rsidRPr="009B78DA" w:rsidRDefault="00107163" w:rsidP="009B10A1">
      <w:pPr>
        <w:pStyle w:val="Akapitzlist"/>
        <w:numPr>
          <w:ilvl w:val="0"/>
          <w:numId w:val="4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ROF, największe potoki ruchu płyną do stolicy regionu z gmin o najbardziej intensywnych procesach suburbanizacji, w tym z Trzebowniska (dojeżdża około 10% całkowitej liczby mieszkańców gminy), Boguchwały (ponad 9%) i Świlczy (blisko 11%).</w:t>
      </w:r>
    </w:p>
    <w:p w14:paraId="2CC5DB7E" w14:textId="153A07BB" w:rsidR="00107163" w:rsidRPr="009B78DA" w:rsidRDefault="00107163" w:rsidP="009B10A1">
      <w:pPr>
        <w:pStyle w:val="Akapitzlist"/>
        <w:numPr>
          <w:ilvl w:val="0"/>
          <w:numId w:val="4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 obszarze północno-wschodniej oraz południowo-wschodniej części województwa można zaobserwować najmniejsze potoki ruchu międzygminnych dojazdów do pracy. </w:t>
      </w:r>
    </w:p>
    <w:p w14:paraId="3D82443E" w14:textId="77777777" w:rsidR="00107163" w:rsidRPr="009B78DA" w:rsidRDefault="00107163" w:rsidP="009B10A1">
      <w:pPr>
        <w:pStyle w:val="Akapitzlist"/>
        <w:numPr>
          <w:ilvl w:val="0"/>
          <w:numId w:val="4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latach 2011 - 2016 zdecydowanie zwiększyła się mobilność pracowników, więcej osób jest w stanie dojeżdżać do atrakcyjnej pracy oddalonej od swojego miejsca zamieszkania.</w:t>
      </w:r>
    </w:p>
    <w:p w14:paraId="47CFE070" w14:textId="04C9C6BC" w:rsidR="005E73BD" w:rsidRPr="009B78DA" w:rsidRDefault="005E73BD" w:rsidP="009B10A1">
      <w:pPr>
        <w:pStyle w:val="Akapitzlist"/>
        <w:numPr>
          <w:ilvl w:val="0"/>
          <w:numId w:val="4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Najwyższy wzrost osób dojeżdżając</w:t>
      </w:r>
      <w:r w:rsidR="00F45E35" w:rsidRPr="009B78DA">
        <w:rPr>
          <w:rFonts w:ascii="Arial" w:hAnsi="Arial" w:cs="Arial"/>
          <w:color w:val="000000" w:themeColor="text1"/>
          <w:sz w:val="22"/>
          <w:szCs w:val="22"/>
        </w:rPr>
        <w:t xml:space="preserve">ych do pracy odnotowany </w:t>
      </w:r>
      <w:bookmarkStart w:id="115" w:name="_Hlk92558328"/>
      <w:r w:rsidR="00F45E35" w:rsidRPr="009B78DA">
        <w:rPr>
          <w:rFonts w:ascii="Arial" w:hAnsi="Arial" w:cs="Arial"/>
          <w:color w:val="000000" w:themeColor="text1"/>
          <w:sz w:val="22"/>
          <w:szCs w:val="22"/>
        </w:rPr>
        <w:t xml:space="preserve">został </w:t>
      </w:r>
      <w:r w:rsidR="00B939C8" w:rsidRPr="009B78DA">
        <w:rPr>
          <w:rFonts w:ascii="Arial" w:hAnsi="Arial" w:cs="Arial"/>
          <w:color w:val="000000" w:themeColor="text1"/>
          <w:sz w:val="22"/>
          <w:szCs w:val="22"/>
        </w:rPr>
        <w:t xml:space="preserve">poza ROF </w:t>
      </w:r>
      <w:r w:rsidR="00B939C8" w:rsidRPr="009B78DA">
        <w:rPr>
          <w:rFonts w:ascii="Arial" w:hAnsi="Arial" w:cs="Arial"/>
          <w:color w:val="000000" w:themeColor="text1"/>
          <w:sz w:val="22"/>
          <w:szCs w:val="22"/>
        </w:rPr>
        <w:br/>
      </w:r>
      <w:r w:rsidRPr="009B78DA">
        <w:rPr>
          <w:rFonts w:ascii="Arial" w:hAnsi="Arial" w:cs="Arial"/>
          <w:color w:val="000000" w:themeColor="text1"/>
          <w:sz w:val="22"/>
          <w:szCs w:val="22"/>
        </w:rPr>
        <w:t>w gminach</w:t>
      </w:r>
      <w:bookmarkEnd w:id="115"/>
      <w:r w:rsidRPr="009B78DA">
        <w:rPr>
          <w:rFonts w:ascii="Arial" w:hAnsi="Arial" w:cs="Arial"/>
          <w:color w:val="000000" w:themeColor="text1"/>
          <w:sz w:val="22"/>
          <w:szCs w:val="22"/>
        </w:rPr>
        <w:t xml:space="preserve"> położonych w rejonie Jarosław</w:t>
      </w:r>
      <w:r w:rsidR="00F45E35" w:rsidRPr="009B78DA">
        <w:rPr>
          <w:rFonts w:ascii="Arial" w:hAnsi="Arial" w:cs="Arial"/>
          <w:color w:val="000000" w:themeColor="text1"/>
          <w:sz w:val="22"/>
          <w:szCs w:val="22"/>
        </w:rPr>
        <w:t xml:space="preserve">ia, Mielca, Stalowej Woli oraz </w:t>
      </w:r>
      <w:r w:rsidR="009B10A1">
        <w:rPr>
          <w:rFonts w:ascii="Arial" w:hAnsi="Arial" w:cs="Arial"/>
          <w:color w:val="000000" w:themeColor="text1"/>
          <w:sz w:val="22"/>
          <w:szCs w:val="22"/>
        </w:rPr>
        <w:t>w okolicach Sanoka.</w:t>
      </w:r>
    </w:p>
    <w:p w14:paraId="0CE20B26" w14:textId="399CD2F3" w:rsidR="005E73BD" w:rsidRPr="009B78DA" w:rsidRDefault="005E73BD" w:rsidP="009B10A1">
      <w:pPr>
        <w:pStyle w:val="Akapitzlist"/>
        <w:numPr>
          <w:ilvl w:val="0"/>
          <w:numId w:val="4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 mieście wojewódzkim odnotowany został przyrost liczby osób wyjeżdżających do pracy będący zjawiskiem deglomeracji rzeszowskiego rynku pracy na </w:t>
      </w:r>
      <w:r w:rsidR="009B4FA3" w:rsidRPr="009B78DA">
        <w:rPr>
          <w:rFonts w:ascii="Arial" w:hAnsi="Arial" w:cs="Arial"/>
          <w:color w:val="000000" w:themeColor="text1"/>
          <w:sz w:val="22"/>
          <w:szCs w:val="22"/>
        </w:rPr>
        <w:t>obszar funkcjonalny</w:t>
      </w:r>
      <w:r w:rsidRPr="009B78DA">
        <w:rPr>
          <w:rFonts w:ascii="Arial" w:hAnsi="Arial" w:cs="Arial"/>
          <w:color w:val="000000" w:themeColor="text1"/>
          <w:sz w:val="22"/>
          <w:szCs w:val="22"/>
        </w:rPr>
        <w:t>, polegającym na celowych działaniach zmierzających do rozproszenia nadmiernie skoncentrowanego przemysłu oraz przenoszenia zakładów pracy poza granice miasta.</w:t>
      </w:r>
    </w:p>
    <w:p w14:paraId="56D257D7" w14:textId="77777777" w:rsidR="005E73BD" w:rsidRPr="009B78DA" w:rsidRDefault="005E73BD" w:rsidP="009B10A1">
      <w:pPr>
        <w:pStyle w:val="Akapitzlist"/>
        <w:numPr>
          <w:ilvl w:val="0"/>
          <w:numId w:val="4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Mniejsze przyrosty dojazdów zaobserwowano w miejskich obszarach funkcjonalnych Krosna i Jasła. Także w okolicach Leżajska widoczny jest duży spadek wyjazdów do pracy, powodem którego, może być to, że lokalny rynek pracy stał się dużo bardziej atrakcyjny i pracownicy rezygnują z dojeżdżania do Rzeszowa czy innych większych ośrodków miejskich.</w:t>
      </w:r>
    </w:p>
    <w:p w14:paraId="4F378380" w14:textId="6E8FD655" w:rsidR="0010060F" w:rsidRPr="009B10A1" w:rsidRDefault="005E73BD" w:rsidP="009B10A1">
      <w:pPr>
        <w:pStyle w:val="Akapitzlist"/>
        <w:numPr>
          <w:ilvl w:val="0"/>
          <w:numId w:val="49"/>
        </w:numPr>
        <w:spacing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Wskaźnik udziału osób przyjeżdżających</w:t>
      </w:r>
      <w:r w:rsidR="00F45E35" w:rsidRPr="009B78DA">
        <w:rPr>
          <w:rFonts w:ascii="Arial" w:hAnsi="Arial" w:cs="Arial"/>
          <w:color w:val="000000" w:themeColor="text1"/>
          <w:sz w:val="22"/>
          <w:szCs w:val="22"/>
        </w:rPr>
        <w:t xml:space="preserve"> w liczbie osób wyjeżdżających </w:t>
      </w:r>
      <w:r w:rsidRPr="009B78DA">
        <w:rPr>
          <w:rFonts w:ascii="Arial" w:hAnsi="Arial" w:cs="Arial"/>
          <w:color w:val="000000" w:themeColor="text1"/>
          <w:sz w:val="22"/>
          <w:szCs w:val="22"/>
        </w:rPr>
        <w:t>w ujęciu gminnym jest największy w takich miastach jak: Sanok, Krosno, Rzeszów, Mielec, Kolbuszowa, Stalowa Wola, Brzozów i Jarosław.</w:t>
      </w:r>
    </w:p>
    <w:p w14:paraId="0D1DC78F" w14:textId="25BCAE47" w:rsidR="005E73BD" w:rsidRPr="009B78DA" w:rsidRDefault="005E73BD" w:rsidP="009B10A1">
      <w:pPr>
        <w:pStyle w:val="Akapitzlist"/>
        <w:numPr>
          <w:ilvl w:val="3"/>
          <w:numId w:val="245"/>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Dojazdy do szkół</w:t>
      </w:r>
      <w:r w:rsidR="00F04AFC" w:rsidRPr="009B78DA">
        <w:rPr>
          <w:rStyle w:val="Odwoanieprzypisudolnego"/>
          <w:rFonts w:ascii="Arial" w:hAnsi="Arial" w:cs="Arial"/>
          <w:b/>
          <w:color w:val="000000" w:themeColor="text1"/>
          <w:sz w:val="22"/>
          <w:szCs w:val="22"/>
        </w:rPr>
        <w:footnoteReference w:id="16"/>
      </w:r>
    </w:p>
    <w:p w14:paraId="4A7D6F59" w14:textId="44A4DDED" w:rsidR="005E73BD" w:rsidRPr="009B78DA" w:rsidRDefault="003B29F5" w:rsidP="009B10A1">
      <w:pPr>
        <w:pStyle w:val="Akapitzlist"/>
        <w:numPr>
          <w:ilvl w:val="0"/>
          <w:numId w:val="5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2018 r</w:t>
      </w:r>
      <w:r w:rsidR="00AC7C56"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r w:rsidR="005E73BD" w:rsidRPr="009B78DA">
        <w:rPr>
          <w:rFonts w:ascii="Arial" w:hAnsi="Arial" w:cs="Arial"/>
          <w:color w:val="000000" w:themeColor="text1"/>
          <w:sz w:val="22"/>
          <w:szCs w:val="22"/>
        </w:rPr>
        <w:t>Rzeszów cech</w:t>
      </w:r>
      <w:r w:rsidRPr="009B78DA">
        <w:rPr>
          <w:rFonts w:ascii="Arial" w:hAnsi="Arial" w:cs="Arial"/>
          <w:color w:val="000000" w:themeColor="text1"/>
          <w:sz w:val="22"/>
          <w:szCs w:val="22"/>
        </w:rPr>
        <w:t>ował</w:t>
      </w:r>
      <w:r w:rsidR="005E73BD" w:rsidRPr="009B78DA">
        <w:rPr>
          <w:rFonts w:ascii="Arial" w:hAnsi="Arial" w:cs="Arial"/>
          <w:color w:val="000000" w:themeColor="text1"/>
          <w:sz w:val="22"/>
          <w:szCs w:val="22"/>
        </w:rPr>
        <w:t xml:space="preserve"> wysoki wskaźnik dojazdów do szkół ponadgimnazjalnych</w:t>
      </w:r>
      <w:r w:rsidRPr="009B78DA">
        <w:rPr>
          <w:rFonts w:ascii="Arial" w:hAnsi="Arial" w:cs="Arial"/>
          <w:color w:val="000000" w:themeColor="text1"/>
          <w:sz w:val="22"/>
          <w:szCs w:val="22"/>
        </w:rPr>
        <w:t xml:space="preserve">. </w:t>
      </w:r>
      <w:r w:rsidR="002A349B" w:rsidRPr="009B78DA">
        <w:rPr>
          <w:rFonts w:ascii="Arial" w:hAnsi="Arial" w:cs="Arial"/>
          <w:color w:val="000000" w:themeColor="text1"/>
          <w:sz w:val="22"/>
          <w:szCs w:val="22"/>
        </w:rPr>
        <w:t>Z</w:t>
      </w:r>
      <w:r w:rsidR="005E73BD" w:rsidRPr="009B78DA">
        <w:rPr>
          <w:rFonts w:ascii="Arial" w:hAnsi="Arial" w:cs="Arial"/>
          <w:color w:val="000000" w:themeColor="text1"/>
          <w:sz w:val="22"/>
          <w:szCs w:val="22"/>
        </w:rPr>
        <w:t>ajm</w:t>
      </w:r>
      <w:r w:rsidR="002A349B" w:rsidRPr="009B78DA">
        <w:rPr>
          <w:rFonts w:ascii="Arial" w:hAnsi="Arial" w:cs="Arial"/>
          <w:color w:val="000000" w:themeColor="text1"/>
          <w:sz w:val="22"/>
          <w:szCs w:val="22"/>
        </w:rPr>
        <w:t>ował on</w:t>
      </w:r>
      <w:r w:rsidR="005E73BD" w:rsidRPr="009B78DA">
        <w:rPr>
          <w:rFonts w:ascii="Arial" w:hAnsi="Arial" w:cs="Arial"/>
          <w:color w:val="000000" w:themeColor="text1"/>
          <w:sz w:val="22"/>
          <w:szCs w:val="22"/>
        </w:rPr>
        <w:t xml:space="preserve"> 3</w:t>
      </w:r>
      <w:r w:rsidR="00482B88" w:rsidRPr="009B78DA">
        <w:rPr>
          <w:rFonts w:ascii="Arial" w:hAnsi="Arial" w:cs="Arial"/>
          <w:color w:val="000000" w:themeColor="text1"/>
          <w:sz w:val="22"/>
          <w:szCs w:val="22"/>
        </w:rPr>
        <w:t>.</w:t>
      </w:r>
      <w:r w:rsidR="005E73BD" w:rsidRPr="009B78DA">
        <w:rPr>
          <w:rFonts w:ascii="Arial" w:hAnsi="Arial" w:cs="Arial"/>
          <w:color w:val="000000" w:themeColor="text1"/>
          <w:sz w:val="22"/>
          <w:szCs w:val="22"/>
        </w:rPr>
        <w:t xml:space="preserve"> miejsce wśród miast wojewódzkich, </w:t>
      </w:r>
      <w:r w:rsidR="002A349B" w:rsidRPr="009B78DA">
        <w:rPr>
          <w:rFonts w:ascii="Arial" w:hAnsi="Arial" w:cs="Arial"/>
          <w:color w:val="000000" w:themeColor="text1"/>
          <w:sz w:val="22"/>
          <w:szCs w:val="22"/>
        </w:rPr>
        <w:t xml:space="preserve">co </w:t>
      </w:r>
      <w:r w:rsidR="005E73BD" w:rsidRPr="009B78DA">
        <w:rPr>
          <w:rFonts w:ascii="Arial" w:hAnsi="Arial" w:cs="Arial"/>
          <w:color w:val="000000" w:themeColor="text1"/>
          <w:sz w:val="22"/>
          <w:szCs w:val="22"/>
        </w:rPr>
        <w:t>pokaz</w:t>
      </w:r>
      <w:r w:rsidR="002A349B" w:rsidRPr="009B78DA">
        <w:rPr>
          <w:rFonts w:ascii="Arial" w:hAnsi="Arial" w:cs="Arial"/>
          <w:color w:val="000000" w:themeColor="text1"/>
          <w:sz w:val="22"/>
          <w:szCs w:val="22"/>
        </w:rPr>
        <w:t>uje</w:t>
      </w:r>
      <w:r w:rsidR="005E73BD" w:rsidRPr="009B78DA">
        <w:rPr>
          <w:rFonts w:ascii="Arial" w:hAnsi="Arial" w:cs="Arial"/>
          <w:color w:val="000000" w:themeColor="text1"/>
          <w:sz w:val="22"/>
          <w:szCs w:val="22"/>
        </w:rPr>
        <w:t xml:space="preserve"> jego wysoką atrakcyjność pod względem oferty edukacyjnej. </w:t>
      </w:r>
    </w:p>
    <w:p w14:paraId="49257E3A" w14:textId="05D26AB9" w:rsidR="005E73BD" w:rsidRPr="009B78DA" w:rsidRDefault="005E73BD" w:rsidP="009B10A1">
      <w:pPr>
        <w:pStyle w:val="Akapitzlist"/>
        <w:numPr>
          <w:ilvl w:val="0"/>
          <w:numId w:val="5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Najwięcej osób dojeżdża</w:t>
      </w:r>
      <w:r w:rsidR="004B2C9B" w:rsidRPr="009B78DA">
        <w:rPr>
          <w:rFonts w:ascii="Arial" w:hAnsi="Arial" w:cs="Arial"/>
          <w:color w:val="000000" w:themeColor="text1"/>
          <w:sz w:val="22"/>
          <w:szCs w:val="22"/>
        </w:rPr>
        <w:t>ło</w:t>
      </w:r>
      <w:r w:rsidRPr="009B78DA">
        <w:rPr>
          <w:rFonts w:ascii="Arial" w:hAnsi="Arial" w:cs="Arial"/>
          <w:color w:val="000000" w:themeColor="text1"/>
          <w:sz w:val="22"/>
          <w:szCs w:val="22"/>
        </w:rPr>
        <w:t xml:space="preserve"> do szkół z gmin Rzeszowskiego Obszaru Funkcjonalnego, czyli zlokalizowanych najbliżej miasta.</w:t>
      </w:r>
    </w:p>
    <w:p w14:paraId="39084C60" w14:textId="0F2208E9" w:rsidR="0010060F" w:rsidRPr="009B10A1" w:rsidRDefault="005E73BD" w:rsidP="009B10A1">
      <w:pPr>
        <w:pStyle w:val="Akapitzlist"/>
        <w:numPr>
          <w:ilvl w:val="0"/>
          <w:numId w:val="50"/>
        </w:numPr>
        <w:spacing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Wskaźnik udziału uczniów przyjeżdżających do szkół </w:t>
      </w:r>
      <w:r w:rsidR="00701771" w:rsidRPr="009B78DA">
        <w:rPr>
          <w:rFonts w:ascii="Arial" w:hAnsi="Arial" w:cs="Arial"/>
          <w:color w:val="000000" w:themeColor="text1"/>
          <w:sz w:val="22"/>
          <w:szCs w:val="22"/>
        </w:rPr>
        <w:t xml:space="preserve">ponadpodstawowych (wcześniej </w:t>
      </w:r>
      <w:r w:rsidRPr="009B78DA">
        <w:rPr>
          <w:rFonts w:ascii="Arial" w:hAnsi="Arial" w:cs="Arial"/>
          <w:color w:val="000000" w:themeColor="text1"/>
          <w:sz w:val="22"/>
          <w:szCs w:val="22"/>
        </w:rPr>
        <w:t>ponadgimnazjalnych</w:t>
      </w:r>
      <w:r w:rsidR="00701771"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 Rzeszowie w liczbie ludności w wieku </w:t>
      </w:r>
      <w:r w:rsidR="00F45E35" w:rsidRPr="009B78DA">
        <w:rPr>
          <w:rFonts w:ascii="Arial" w:hAnsi="Arial" w:cs="Arial"/>
          <w:color w:val="000000" w:themeColor="text1"/>
          <w:sz w:val="22"/>
          <w:szCs w:val="22"/>
        </w:rPr>
        <w:t>16</w:t>
      </w:r>
      <w:r w:rsidR="004B2C9B" w:rsidRPr="009B78DA">
        <w:rPr>
          <w:rFonts w:ascii="Arial" w:hAnsi="Arial" w:cs="Arial"/>
          <w:color w:val="000000" w:themeColor="text1"/>
          <w:sz w:val="22"/>
          <w:szCs w:val="22"/>
        </w:rPr>
        <w:t xml:space="preserve"> </w:t>
      </w:r>
      <w:r w:rsidR="00F45E35" w:rsidRPr="009B78DA">
        <w:rPr>
          <w:rFonts w:ascii="Arial" w:hAnsi="Arial" w:cs="Arial"/>
          <w:color w:val="000000" w:themeColor="text1"/>
          <w:sz w:val="22"/>
          <w:szCs w:val="22"/>
        </w:rPr>
        <w:t>-</w:t>
      </w:r>
      <w:r w:rsidR="004B2C9B" w:rsidRPr="009B78DA">
        <w:rPr>
          <w:rFonts w:ascii="Arial" w:hAnsi="Arial" w:cs="Arial"/>
          <w:color w:val="000000" w:themeColor="text1"/>
          <w:sz w:val="22"/>
          <w:szCs w:val="22"/>
        </w:rPr>
        <w:t xml:space="preserve"> </w:t>
      </w:r>
      <w:r w:rsidR="00F45E35" w:rsidRPr="009B78DA">
        <w:rPr>
          <w:rFonts w:ascii="Arial" w:hAnsi="Arial" w:cs="Arial"/>
          <w:color w:val="000000" w:themeColor="text1"/>
          <w:sz w:val="22"/>
          <w:szCs w:val="22"/>
        </w:rPr>
        <w:t>19 lat przekroczył 70%</w:t>
      </w:r>
      <w:r w:rsidR="004B2C9B" w:rsidRPr="009B78DA">
        <w:rPr>
          <w:rFonts w:ascii="Arial" w:hAnsi="Arial" w:cs="Arial"/>
          <w:color w:val="000000" w:themeColor="text1"/>
          <w:sz w:val="22"/>
          <w:szCs w:val="22"/>
        </w:rPr>
        <w:t xml:space="preserve"> </w:t>
      </w:r>
      <w:r w:rsidR="00F45E35" w:rsidRPr="009B78DA">
        <w:rPr>
          <w:rFonts w:ascii="Arial" w:hAnsi="Arial" w:cs="Arial"/>
          <w:color w:val="000000" w:themeColor="text1"/>
          <w:sz w:val="22"/>
          <w:szCs w:val="22"/>
        </w:rPr>
        <w:t xml:space="preserve">aż </w:t>
      </w:r>
      <w:r w:rsidRPr="009B78DA">
        <w:rPr>
          <w:rFonts w:ascii="Arial" w:hAnsi="Arial" w:cs="Arial"/>
          <w:color w:val="000000" w:themeColor="text1"/>
          <w:sz w:val="22"/>
          <w:szCs w:val="22"/>
        </w:rPr>
        <w:t>w siedmiu gminach województwa, które nie zawsze graniczą z miastem, co pokazuje, że uczniowie są w stanie zrezygnować ze szkoły w swojej miejscowości na rzecz placówki oferującej lepszy program edukacyjny.</w:t>
      </w:r>
    </w:p>
    <w:p w14:paraId="41CCB9A3" w14:textId="77777777" w:rsidR="005E73BD" w:rsidRPr="009B78DA" w:rsidRDefault="005E73BD" w:rsidP="009B10A1">
      <w:pPr>
        <w:pStyle w:val="Akapitzlist"/>
        <w:numPr>
          <w:ilvl w:val="3"/>
          <w:numId w:val="245"/>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Dojazdy do miejsc odpoczynku i rozrywki</w:t>
      </w:r>
    </w:p>
    <w:p w14:paraId="65FA7E13" w14:textId="77777777" w:rsidR="005E73BD" w:rsidRPr="009B78DA" w:rsidRDefault="005E73BD" w:rsidP="009B10A1">
      <w:pPr>
        <w:pStyle w:val="Akapitzlist"/>
        <w:numPr>
          <w:ilvl w:val="0"/>
          <w:numId w:val="51"/>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Województwo podkarpackie jest bardzo atrakcyjne pod względem turystycznym, posiada wiele walorów przyrodniczych.</w:t>
      </w:r>
    </w:p>
    <w:p w14:paraId="55C39344" w14:textId="5D1E7418" w:rsidR="005E73BD" w:rsidRPr="009B78DA" w:rsidRDefault="005E73BD" w:rsidP="009B10A1">
      <w:pPr>
        <w:pStyle w:val="Akapitzlist"/>
        <w:numPr>
          <w:ilvl w:val="0"/>
          <w:numId w:val="51"/>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Najatrakcyjniejsze są rejony Bieszczadów</w:t>
      </w:r>
      <w:r w:rsidR="00937208" w:rsidRPr="009B78DA">
        <w:rPr>
          <w:rFonts w:ascii="Arial" w:hAnsi="Arial" w:cs="Arial"/>
          <w:color w:val="000000" w:themeColor="text1"/>
          <w:sz w:val="22"/>
          <w:szCs w:val="22"/>
        </w:rPr>
        <w:t>, Pogórza</w:t>
      </w:r>
      <w:r w:rsidRPr="009B78DA">
        <w:rPr>
          <w:rFonts w:ascii="Arial" w:hAnsi="Arial" w:cs="Arial"/>
          <w:color w:val="000000" w:themeColor="text1"/>
          <w:sz w:val="22"/>
          <w:szCs w:val="22"/>
        </w:rPr>
        <w:t xml:space="preserve"> i Beskidu Niskiego</w:t>
      </w:r>
      <w:r w:rsidR="008F1F63" w:rsidRPr="009B78DA">
        <w:rPr>
          <w:rFonts w:ascii="Arial" w:hAnsi="Arial" w:cs="Arial"/>
          <w:color w:val="000000" w:themeColor="text1"/>
          <w:sz w:val="22"/>
          <w:szCs w:val="22"/>
        </w:rPr>
        <w:t xml:space="preserve"> oraz Roztocza</w:t>
      </w:r>
      <w:r w:rsidRPr="009B78DA">
        <w:rPr>
          <w:rFonts w:ascii="Arial" w:hAnsi="Arial" w:cs="Arial"/>
          <w:color w:val="000000" w:themeColor="text1"/>
          <w:sz w:val="22"/>
          <w:szCs w:val="22"/>
        </w:rPr>
        <w:t>. Potoki ruchu turystycznego płyną także w kierunku Rzeszowa i większych miast województwa w ramach turystyki biznesowej.</w:t>
      </w:r>
    </w:p>
    <w:p w14:paraId="7AAF2A71" w14:textId="4CA9E156" w:rsidR="00054D37" w:rsidRPr="009B78DA" w:rsidRDefault="005E73BD" w:rsidP="009B10A1">
      <w:pPr>
        <w:pStyle w:val="Akapitzlist"/>
        <w:numPr>
          <w:ilvl w:val="0"/>
          <w:numId w:val="51"/>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Część południowa i południowo-wschodnia województwa o największych walorach krajobrazowych, najbardziej przyciągająca turystów, jest bardzo słabo skomunikowana. Turyści w głównej mierze zmuszeni są korzystać z indywidualnych środków transportu, gdyż rejony południowe są bardzo słabo wyposażone w środki transportu publicznego.</w:t>
      </w:r>
    </w:p>
    <w:p w14:paraId="0499C203" w14:textId="4880DCE1" w:rsidR="003C206F" w:rsidRPr="009B78DA" w:rsidRDefault="004D638E" w:rsidP="009B10A1">
      <w:pPr>
        <w:pStyle w:val="Akapitzlist"/>
        <w:numPr>
          <w:ilvl w:val="0"/>
          <w:numId w:val="51"/>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Rejony lokalizacji obszarów chronionych w województwie podkarpackim wydają się być istotnym motorem napędowym dla turystyki. Np. południowa i południowo-wschodnia część województwa podkarpackiego, obejmująca region Bieszczadów</w:t>
      </w:r>
      <w:r w:rsidR="00FB77AB" w:rsidRPr="009B78DA">
        <w:rPr>
          <w:rFonts w:ascii="Arial" w:hAnsi="Arial" w:cs="Arial"/>
          <w:color w:val="000000" w:themeColor="text1"/>
          <w:sz w:val="22"/>
          <w:szCs w:val="22"/>
        </w:rPr>
        <w:t xml:space="preserve"> </w:t>
      </w:r>
      <w:r w:rsidR="003C206F" w:rsidRPr="009B78DA">
        <w:rPr>
          <w:rFonts w:ascii="Arial" w:hAnsi="Arial" w:cs="Arial"/>
          <w:color w:val="000000" w:themeColor="text1"/>
          <w:sz w:val="22"/>
          <w:szCs w:val="22"/>
        </w:rPr>
        <w:br/>
      </w:r>
      <w:r w:rsidRPr="009B78DA">
        <w:rPr>
          <w:rFonts w:ascii="Arial" w:hAnsi="Arial" w:cs="Arial"/>
          <w:color w:val="000000" w:themeColor="text1"/>
          <w:sz w:val="22"/>
          <w:szCs w:val="22"/>
        </w:rPr>
        <w:t>i Beskidu Niskiego odwiedzana jest rocznie przez ponad 1/3 turystów przyjeżdżających na Podkarpacie. Na tych terenach znajduje się zdecydowana większość turystycznych obiektów noclegowych województwa. To właśnie w tych częściach regionu zlokalizowane są Bieszczadzki Park Narodowy oraz Magurski Park Narodowy, a w ich bezpośrednim sąsiedztwie znajdują się m.in. parki krajobrazowe.</w:t>
      </w:r>
    </w:p>
    <w:p w14:paraId="2B8B27EE" w14:textId="530280D2" w:rsidR="0010060F" w:rsidRPr="009B10A1" w:rsidRDefault="00F03642" w:rsidP="009B10A1">
      <w:pPr>
        <w:pStyle w:val="Akapitzlist"/>
        <w:numPr>
          <w:ilvl w:val="0"/>
          <w:numId w:val="51"/>
        </w:numPr>
        <w:spacing w:line="276" w:lineRule="auto"/>
        <w:ind w:left="714" w:hanging="357"/>
        <w:contextualSpacing w:val="0"/>
        <w:rPr>
          <w:rFonts w:ascii="Arial" w:hAnsi="Arial" w:cs="Arial"/>
          <w:color w:val="000000" w:themeColor="text1"/>
          <w:sz w:val="22"/>
          <w:szCs w:val="22"/>
        </w:rPr>
      </w:pPr>
      <w:bookmarkStart w:id="116" w:name="_Hlk92562008"/>
      <w:r w:rsidRPr="009B78DA">
        <w:rPr>
          <w:rFonts w:ascii="Arial" w:hAnsi="Arial" w:cs="Arial"/>
          <w:color w:val="000000" w:themeColor="text1"/>
          <w:sz w:val="22"/>
          <w:szCs w:val="22"/>
        </w:rPr>
        <w:t>Również bardzo ważna jest turystyka uzdrowiskowa w takich miejscach jak Polańczyk</w:t>
      </w:r>
      <w:r w:rsidR="00937208" w:rsidRPr="009B78DA">
        <w:rPr>
          <w:rFonts w:ascii="Arial" w:hAnsi="Arial" w:cs="Arial"/>
          <w:color w:val="000000" w:themeColor="text1"/>
          <w:sz w:val="22"/>
          <w:szCs w:val="22"/>
        </w:rPr>
        <w:t>-</w:t>
      </w:r>
      <w:r w:rsidRPr="009B78DA">
        <w:rPr>
          <w:rFonts w:ascii="Arial" w:hAnsi="Arial" w:cs="Arial"/>
          <w:color w:val="000000" w:themeColor="text1"/>
          <w:sz w:val="22"/>
          <w:szCs w:val="22"/>
        </w:rPr>
        <w:t>Zdrój, Rymanów</w:t>
      </w:r>
      <w:r w:rsidR="00937208" w:rsidRPr="009B78DA">
        <w:rPr>
          <w:rFonts w:ascii="Arial" w:hAnsi="Arial" w:cs="Arial"/>
          <w:color w:val="000000" w:themeColor="text1"/>
          <w:sz w:val="22"/>
          <w:szCs w:val="22"/>
        </w:rPr>
        <w:t>-</w:t>
      </w:r>
      <w:r w:rsidRPr="009B78DA">
        <w:rPr>
          <w:rFonts w:ascii="Arial" w:hAnsi="Arial" w:cs="Arial"/>
          <w:color w:val="000000" w:themeColor="text1"/>
          <w:sz w:val="22"/>
          <w:szCs w:val="22"/>
        </w:rPr>
        <w:t>Zdrój, Iwonicz</w:t>
      </w:r>
      <w:r w:rsidR="00937208" w:rsidRPr="009B78DA">
        <w:rPr>
          <w:rFonts w:ascii="Arial" w:hAnsi="Arial" w:cs="Arial"/>
          <w:color w:val="000000" w:themeColor="text1"/>
          <w:sz w:val="22"/>
          <w:szCs w:val="22"/>
        </w:rPr>
        <w:t>-</w:t>
      </w:r>
      <w:r w:rsidRPr="009B78DA">
        <w:rPr>
          <w:rFonts w:ascii="Arial" w:hAnsi="Arial" w:cs="Arial"/>
          <w:color w:val="000000" w:themeColor="text1"/>
          <w:sz w:val="22"/>
          <w:szCs w:val="22"/>
        </w:rPr>
        <w:t>Zdrój, Horyniec</w:t>
      </w:r>
      <w:r w:rsidR="00937208" w:rsidRPr="009B78DA">
        <w:rPr>
          <w:rFonts w:ascii="Arial" w:hAnsi="Arial" w:cs="Arial"/>
          <w:color w:val="000000" w:themeColor="text1"/>
          <w:sz w:val="22"/>
          <w:szCs w:val="22"/>
        </w:rPr>
        <w:t>-</w:t>
      </w:r>
      <w:r w:rsidRPr="009B78DA">
        <w:rPr>
          <w:rFonts w:ascii="Arial" w:hAnsi="Arial" w:cs="Arial"/>
          <w:color w:val="000000" w:themeColor="text1"/>
          <w:sz w:val="22"/>
          <w:szCs w:val="22"/>
        </w:rPr>
        <w:t>Zdrój czy Latoszyn.</w:t>
      </w:r>
      <w:r w:rsidR="00E13367" w:rsidRPr="009B78DA">
        <w:rPr>
          <w:rFonts w:ascii="Arial" w:hAnsi="Arial" w:cs="Arial"/>
          <w:color w:val="000000" w:themeColor="text1"/>
          <w:sz w:val="22"/>
          <w:szCs w:val="22"/>
        </w:rPr>
        <w:t xml:space="preserve"> Na tych terenach znajduje się zdecydowana większość uzdrowiskowych obiektów noclegowych województwa.</w:t>
      </w:r>
    </w:p>
    <w:bookmarkEnd w:id="116"/>
    <w:p w14:paraId="45930D59" w14:textId="77777777" w:rsidR="005E73BD" w:rsidRPr="009B78DA" w:rsidRDefault="005E73BD" w:rsidP="009B10A1">
      <w:pPr>
        <w:pStyle w:val="Akapitzlist"/>
        <w:numPr>
          <w:ilvl w:val="3"/>
          <w:numId w:val="245"/>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Analiza mobilności</w:t>
      </w:r>
    </w:p>
    <w:p w14:paraId="3573EF17" w14:textId="0A418782" w:rsidR="005E73BD" w:rsidRPr="009B78DA" w:rsidRDefault="005E73BD" w:rsidP="009B10A1">
      <w:pPr>
        <w:pStyle w:val="Akapitzlist"/>
        <w:numPr>
          <w:ilvl w:val="0"/>
          <w:numId w:val="52"/>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 województwie podkarpackim obserwowany jest ciągły wzrost ruchu na drogach krajowych i wojewódzkich. Wzrost ten koncentruje się głównie na najważniejszych ciągach dróg, przede wszystkim na odcinkach prowadzących do największych miast </w:t>
      </w:r>
      <w:r w:rsidR="00AD7484" w:rsidRPr="009B78DA">
        <w:rPr>
          <w:rFonts w:ascii="Arial" w:hAnsi="Arial" w:cs="Arial"/>
          <w:color w:val="000000" w:themeColor="text1"/>
          <w:sz w:val="22"/>
          <w:szCs w:val="22"/>
        </w:rPr>
        <w:br/>
      </w:r>
      <w:r w:rsidR="009B10A1">
        <w:rPr>
          <w:rFonts w:ascii="Arial" w:hAnsi="Arial" w:cs="Arial"/>
          <w:color w:val="000000" w:themeColor="text1"/>
          <w:sz w:val="22"/>
          <w:szCs w:val="22"/>
        </w:rPr>
        <w:t>i w przejściach przez miasta.</w:t>
      </w:r>
    </w:p>
    <w:p w14:paraId="3BA82471" w14:textId="77777777" w:rsidR="005E73BD" w:rsidRPr="009B78DA" w:rsidRDefault="005E73BD" w:rsidP="009B10A1">
      <w:pPr>
        <w:pStyle w:val="Akapitzlist"/>
        <w:numPr>
          <w:ilvl w:val="0"/>
          <w:numId w:val="52"/>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Obserwowany jest bezwzględny wzrost liczby posiadanych samochodów osobowych, który koncentruje się głównie w powiatach wzdłuż osi transportowej wschód-zachód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w pobliżu autostrady A4.</w:t>
      </w:r>
    </w:p>
    <w:p w14:paraId="3C8AC9C9" w14:textId="64C494CF" w:rsidR="005E73BD" w:rsidRPr="009B78DA" w:rsidRDefault="005E73BD" w:rsidP="009B10A1">
      <w:pPr>
        <w:pStyle w:val="Akapitzlist"/>
        <w:numPr>
          <w:ilvl w:val="0"/>
          <w:numId w:val="52"/>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Podstawowym środkiem transportu w województwie podkarpackim jest samochód. </w:t>
      </w:r>
      <w:r w:rsidR="00FF744B" w:rsidRPr="009B78DA">
        <w:rPr>
          <w:rFonts w:ascii="Arial" w:hAnsi="Arial" w:cs="Arial"/>
          <w:color w:val="000000" w:themeColor="text1"/>
          <w:sz w:val="22"/>
          <w:szCs w:val="22"/>
        </w:rPr>
        <w:t xml:space="preserve">Główną </w:t>
      </w:r>
      <w:r w:rsidRPr="009B78DA">
        <w:rPr>
          <w:rFonts w:ascii="Arial" w:hAnsi="Arial" w:cs="Arial"/>
          <w:color w:val="000000" w:themeColor="text1"/>
          <w:sz w:val="22"/>
          <w:szCs w:val="22"/>
        </w:rPr>
        <w:t xml:space="preserve">motywację podróży stanowiły relacje pomiędzy domem, a zakupami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i usługami, oraz domem, a miejscem nauki. Pod względem czasu trwania podróży najwięcej podróż</w:t>
      </w:r>
      <w:r w:rsidR="009B10A1">
        <w:rPr>
          <w:rFonts w:ascii="Arial" w:hAnsi="Arial" w:cs="Arial"/>
          <w:color w:val="000000" w:themeColor="text1"/>
          <w:sz w:val="22"/>
          <w:szCs w:val="22"/>
        </w:rPr>
        <w:t>y realizowanych było do 15 min.</w:t>
      </w:r>
    </w:p>
    <w:p w14:paraId="429178DE" w14:textId="5A11B530" w:rsidR="0010060F" w:rsidRPr="009B10A1" w:rsidRDefault="005E73BD" w:rsidP="009B10A1">
      <w:pPr>
        <w:pStyle w:val="Akapitzlist"/>
        <w:numPr>
          <w:ilvl w:val="0"/>
          <w:numId w:val="52"/>
        </w:numPr>
        <w:spacing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Obszarami, które można uznać za zagrożone wykluczeniem transportowym są: powiat lubaczowski oraz niektóre sąsiadujące z nim gminy powiatów jarosławskiego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i przeworskiego, </w:t>
      </w:r>
      <w:bookmarkStart w:id="117" w:name="_Hlk77829149"/>
      <w:r w:rsidR="008F1F63" w:rsidRPr="009B78DA">
        <w:rPr>
          <w:rFonts w:ascii="Arial" w:hAnsi="Arial" w:cs="Arial"/>
          <w:color w:val="000000" w:themeColor="text1"/>
          <w:sz w:val="22"/>
          <w:szCs w:val="22"/>
        </w:rPr>
        <w:t xml:space="preserve">obszar pasm </w:t>
      </w:r>
      <w:r w:rsidRPr="009B78DA">
        <w:rPr>
          <w:rFonts w:ascii="Arial" w:hAnsi="Arial" w:cs="Arial"/>
          <w:color w:val="000000" w:themeColor="text1"/>
          <w:sz w:val="22"/>
          <w:szCs w:val="22"/>
        </w:rPr>
        <w:t>Karpat</w:t>
      </w:r>
      <w:r w:rsidR="008F1F63" w:rsidRPr="009B78DA">
        <w:rPr>
          <w:rFonts w:ascii="Arial" w:hAnsi="Arial" w:cs="Arial"/>
          <w:color w:val="000000" w:themeColor="text1"/>
          <w:sz w:val="22"/>
          <w:szCs w:val="22"/>
        </w:rPr>
        <w:t xml:space="preserve"> przebiegających w województwie</w:t>
      </w:r>
      <w:bookmarkEnd w:id="117"/>
      <w:r w:rsidRPr="009B78DA">
        <w:rPr>
          <w:rFonts w:ascii="Arial" w:hAnsi="Arial" w:cs="Arial"/>
          <w:color w:val="000000" w:themeColor="text1"/>
          <w:sz w:val="22"/>
          <w:szCs w:val="22"/>
        </w:rPr>
        <w:t xml:space="preserve">, w tym powiaty bieszczadzki, leski oraz południowe części powiatów sanockiego, krośnieńskiego i jasielskiego, obszar pogórzy położony pomiędzy Rzeszowem, Sanokiem i Przemyślem (Pogórze Dynowskie i Przemyskie) </w:t>
      </w:r>
      <w:bookmarkStart w:id="118" w:name="_Hlk77829193"/>
      <w:r w:rsidRPr="009B78DA">
        <w:rPr>
          <w:rFonts w:ascii="Arial" w:hAnsi="Arial" w:cs="Arial"/>
          <w:color w:val="000000" w:themeColor="text1"/>
          <w:sz w:val="22"/>
          <w:szCs w:val="22"/>
        </w:rPr>
        <w:t xml:space="preserve">oraz </w:t>
      </w:r>
      <w:r w:rsidR="008F1F63" w:rsidRPr="009B78DA">
        <w:rPr>
          <w:rFonts w:ascii="Arial" w:hAnsi="Arial" w:cs="Arial"/>
          <w:color w:val="000000" w:themeColor="text1"/>
          <w:sz w:val="22"/>
          <w:szCs w:val="22"/>
        </w:rPr>
        <w:t xml:space="preserve">fragmenty </w:t>
      </w:r>
      <w:r w:rsidRPr="009B78DA">
        <w:rPr>
          <w:rFonts w:ascii="Arial" w:hAnsi="Arial" w:cs="Arial"/>
          <w:color w:val="000000" w:themeColor="text1"/>
          <w:sz w:val="22"/>
          <w:szCs w:val="22"/>
        </w:rPr>
        <w:t>powiat</w:t>
      </w:r>
      <w:r w:rsidR="008F1F63" w:rsidRPr="009B78DA">
        <w:rPr>
          <w:rFonts w:ascii="Arial" w:hAnsi="Arial" w:cs="Arial"/>
          <w:color w:val="000000" w:themeColor="text1"/>
          <w:sz w:val="22"/>
          <w:szCs w:val="22"/>
        </w:rPr>
        <w:t>u</w:t>
      </w:r>
      <w:r w:rsidRPr="009B78DA">
        <w:rPr>
          <w:rFonts w:ascii="Arial" w:hAnsi="Arial" w:cs="Arial"/>
          <w:color w:val="000000" w:themeColor="text1"/>
          <w:sz w:val="22"/>
          <w:szCs w:val="22"/>
        </w:rPr>
        <w:t xml:space="preserve"> kolbuszowski</w:t>
      </w:r>
      <w:r w:rsidR="008F1F63" w:rsidRPr="009B78DA">
        <w:rPr>
          <w:rFonts w:ascii="Arial" w:hAnsi="Arial" w:cs="Arial"/>
          <w:color w:val="000000" w:themeColor="text1"/>
          <w:sz w:val="22"/>
          <w:szCs w:val="22"/>
        </w:rPr>
        <w:t>ego</w:t>
      </w:r>
      <w:r w:rsidRPr="009B78DA">
        <w:rPr>
          <w:rFonts w:ascii="Arial" w:hAnsi="Arial" w:cs="Arial"/>
          <w:color w:val="000000" w:themeColor="text1"/>
          <w:sz w:val="22"/>
          <w:szCs w:val="22"/>
        </w:rPr>
        <w:t xml:space="preserve"> i tarnobrzeskiego.</w:t>
      </w:r>
      <w:bookmarkEnd w:id="118"/>
    </w:p>
    <w:p w14:paraId="05ED54F8" w14:textId="1AA2D25F" w:rsidR="00BB0FD3" w:rsidRPr="009B78DA" w:rsidRDefault="00BB0FD3" w:rsidP="009B10A1">
      <w:pPr>
        <w:pStyle w:val="Akapitzlist"/>
        <w:numPr>
          <w:ilvl w:val="3"/>
          <w:numId w:val="245"/>
        </w:numPr>
        <w:rPr>
          <w:rFonts w:ascii="Arial" w:hAnsi="Arial" w:cs="Arial"/>
          <w:b/>
          <w:color w:val="000000" w:themeColor="text1"/>
          <w:sz w:val="22"/>
          <w:szCs w:val="22"/>
        </w:rPr>
      </w:pPr>
      <w:r w:rsidRPr="009B78DA">
        <w:rPr>
          <w:rFonts w:ascii="Arial" w:hAnsi="Arial" w:cs="Arial"/>
          <w:b/>
          <w:color w:val="000000" w:themeColor="text1"/>
          <w:sz w:val="22"/>
          <w:szCs w:val="22"/>
        </w:rPr>
        <w:t>Generalny Pomiar Ruchu 2020/2021</w:t>
      </w:r>
    </w:p>
    <w:p w14:paraId="4BC0347F" w14:textId="116076EB" w:rsidR="005B1323" w:rsidRPr="009B78DA" w:rsidRDefault="005B1323" w:rsidP="009B10A1">
      <w:pPr>
        <w:pStyle w:val="Akapitzlist"/>
        <w:numPr>
          <w:ilvl w:val="0"/>
          <w:numId w:val="5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Obciążenie ruchem dróg krajowych i wojewódzkich badane jest raz na 5 lat </w:t>
      </w:r>
      <w:r w:rsidR="0008287A" w:rsidRPr="009B78DA">
        <w:rPr>
          <w:rFonts w:ascii="Arial" w:hAnsi="Arial" w:cs="Arial"/>
          <w:color w:val="000000" w:themeColor="text1"/>
          <w:sz w:val="22"/>
          <w:szCs w:val="22"/>
        </w:rPr>
        <w:br/>
      </w:r>
      <w:r w:rsidRPr="009B78DA">
        <w:rPr>
          <w:rFonts w:ascii="Arial" w:hAnsi="Arial" w:cs="Arial"/>
          <w:color w:val="000000" w:themeColor="text1"/>
          <w:sz w:val="22"/>
          <w:szCs w:val="22"/>
        </w:rPr>
        <w:t>(w ostatnim okresie m.in. w roku 2005, 2010, 2015 i z uwagi na pandemię w latach 2020-2021)</w:t>
      </w:r>
      <w:r w:rsidRPr="009B78DA">
        <w:rPr>
          <w:rStyle w:val="Odwoanieprzypisudolnego"/>
          <w:rFonts w:ascii="Arial" w:hAnsi="Arial" w:cs="Arial"/>
          <w:color w:val="000000" w:themeColor="text1"/>
          <w:sz w:val="22"/>
          <w:szCs w:val="22"/>
        </w:rPr>
        <w:footnoteReference w:id="17"/>
      </w:r>
      <w:r w:rsidRPr="009B78DA">
        <w:rPr>
          <w:rFonts w:ascii="Arial" w:hAnsi="Arial" w:cs="Arial"/>
          <w:color w:val="000000" w:themeColor="text1"/>
          <w:sz w:val="22"/>
          <w:szCs w:val="22"/>
        </w:rPr>
        <w:t>. Badanie realizowane jest wyłącznie na drogach zamiejskich. To sprawia, że jego przydatność w ocenie potoków wewnątrzag</w:t>
      </w:r>
      <w:r w:rsidR="009B10A1">
        <w:rPr>
          <w:rFonts w:ascii="Arial" w:hAnsi="Arial" w:cs="Arial"/>
          <w:color w:val="000000" w:themeColor="text1"/>
          <w:sz w:val="22"/>
          <w:szCs w:val="22"/>
        </w:rPr>
        <w:t>lomeracyjnych jest ograniczona.</w:t>
      </w:r>
    </w:p>
    <w:p w14:paraId="39664D16" w14:textId="7A79BDCE" w:rsidR="005B1323" w:rsidRPr="009B78DA" w:rsidRDefault="005B1323" w:rsidP="009B10A1">
      <w:pPr>
        <w:pStyle w:val="Akapitzlist"/>
        <w:numPr>
          <w:ilvl w:val="0"/>
          <w:numId w:val="5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 latach 2020/21 średni dobowy ruch na drogach krajowych wynosił </w:t>
      </w:r>
      <w:r w:rsidR="00D53F02">
        <w:rPr>
          <w:rFonts w:ascii="Arial" w:hAnsi="Arial" w:cs="Arial"/>
          <w:color w:val="000000" w:themeColor="text1"/>
          <w:sz w:val="22"/>
          <w:szCs w:val="22"/>
        </w:rPr>
        <w:br/>
      </w:r>
      <w:r w:rsidRPr="009B78DA">
        <w:rPr>
          <w:rFonts w:ascii="Arial" w:hAnsi="Arial" w:cs="Arial"/>
          <w:color w:val="000000" w:themeColor="text1"/>
          <w:sz w:val="22"/>
          <w:szCs w:val="22"/>
        </w:rPr>
        <w:t xml:space="preserve">w województwie podkarpackim 10789 pojazdów, co jest jedną z niższych wartości </w:t>
      </w:r>
      <w:r w:rsidR="009B10A1">
        <w:rPr>
          <w:rFonts w:ascii="Arial" w:hAnsi="Arial" w:cs="Arial"/>
          <w:color w:val="000000" w:themeColor="text1"/>
          <w:sz w:val="22"/>
          <w:szCs w:val="22"/>
        </w:rPr>
        <w:br/>
      </w:r>
      <w:r w:rsidRPr="009B78DA">
        <w:rPr>
          <w:rFonts w:ascii="Arial" w:hAnsi="Arial" w:cs="Arial"/>
          <w:color w:val="000000" w:themeColor="text1"/>
          <w:sz w:val="22"/>
          <w:szCs w:val="22"/>
        </w:rPr>
        <w:t xml:space="preserve">w Polsce (przy 13574 średnio dla kraju), ale jednocześnie najwyższą w grupie pięciu województw Polski </w:t>
      </w:r>
      <w:r w:rsidR="00724BB6" w:rsidRPr="009B78DA">
        <w:rPr>
          <w:rFonts w:ascii="Arial" w:hAnsi="Arial" w:cs="Arial"/>
          <w:color w:val="000000" w:themeColor="text1"/>
          <w:sz w:val="22"/>
          <w:szCs w:val="22"/>
        </w:rPr>
        <w:t>W</w:t>
      </w:r>
      <w:r w:rsidRPr="009B78DA">
        <w:rPr>
          <w:rFonts w:ascii="Arial" w:hAnsi="Arial" w:cs="Arial"/>
          <w:color w:val="000000" w:themeColor="text1"/>
          <w:sz w:val="22"/>
          <w:szCs w:val="22"/>
        </w:rPr>
        <w:t>schodniej. Przecinająca województwo droga międzynarodowa E40 (autostrada A4) ma na całym swoim polskim przebiegu najwyższe średnie wartości ruchu (względem wszystkich innych tras międzynarodowych w Polsce). Wynoszą on</w:t>
      </w:r>
      <w:r w:rsidR="00CC406A"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37875 pojazdów na dobę. W granicach województwa wartości te są już jednak znacz</w:t>
      </w:r>
      <w:r w:rsidR="009B10A1">
        <w:rPr>
          <w:rFonts w:ascii="Arial" w:hAnsi="Arial" w:cs="Arial"/>
          <w:color w:val="000000" w:themeColor="text1"/>
          <w:sz w:val="22"/>
          <w:szCs w:val="22"/>
        </w:rPr>
        <w:t>nie niższe (około 15-20 tys.).</w:t>
      </w:r>
    </w:p>
    <w:p w14:paraId="108C99FF" w14:textId="4D4C51A0" w:rsidR="005B1323" w:rsidRPr="009B78DA" w:rsidRDefault="005B1323" w:rsidP="009B10A1">
      <w:pPr>
        <w:pStyle w:val="Akapitzlist"/>
        <w:numPr>
          <w:ilvl w:val="0"/>
          <w:numId w:val="5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Wskaźnik zmian ruchu pomiędzy 2015 a 2020/2021 na drogach krajowych </w:t>
      </w:r>
      <w:r w:rsidR="009B10A1">
        <w:rPr>
          <w:rFonts w:ascii="Arial" w:hAnsi="Arial" w:cs="Arial"/>
          <w:color w:val="000000" w:themeColor="text1"/>
          <w:sz w:val="22"/>
          <w:szCs w:val="22"/>
        </w:rPr>
        <w:br/>
      </w:r>
      <w:r w:rsidRPr="009B78DA">
        <w:rPr>
          <w:rFonts w:ascii="Arial" w:hAnsi="Arial" w:cs="Arial"/>
          <w:color w:val="000000" w:themeColor="text1"/>
          <w:sz w:val="22"/>
          <w:szCs w:val="22"/>
        </w:rPr>
        <w:t xml:space="preserve">w województwie podkarpackim wynosi 1,17 (wzrost ruchu o 17%), w tym na drogach międzynarodowych 1,22 (wzrost ruchu o 22%). Tym samym wskaźnik wzrostu ogółem oraz na drogach międzynarodowych jest każdorazowo niższy od średniej krajowej (w obu kategoriach odpowiednio 1,21 i 1,27). Mimo, to wydaje się, że za wzrost ruchu w regionie odpowiadają głównie tranzytowe trasy międzynarodowe (szczególnie wspomniana A4). Przy analizie terytorialnej rozkładu ruchu, w tym </w:t>
      </w:r>
      <w:r w:rsidR="009B10A1">
        <w:rPr>
          <w:rFonts w:ascii="Arial" w:hAnsi="Arial" w:cs="Arial"/>
          <w:color w:val="000000" w:themeColor="text1"/>
          <w:sz w:val="22"/>
          <w:szCs w:val="22"/>
        </w:rPr>
        <w:br/>
      </w:r>
      <w:r w:rsidRPr="009B78DA">
        <w:rPr>
          <w:rFonts w:ascii="Arial" w:hAnsi="Arial" w:cs="Arial"/>
          <w:color w:val="000000" w:themeColor="text1"/>
          <w:sz w:val="22"/>
          <w:szCs w:val="22"/>
        </w:rPr>
        <w:t xml:space="preserve">w szczególności przy ocenie dynamiki zjawiska, konieczne jest wzięcie pod uwagę zmian w układzie sieci drogowej. Po roku 2015 oddano do użytku ostatni </w:t>
      </w:r>
      <w:r w:rsidR="009B10A1">
        <w:rPr>
          <w:rFonts w:ascii="Arial" w:hAnsi="Arial" w:cs="Arial"/>
          <w:color w:val="000000" w:themeColor="text1"/>
          <w:sz w:val="22"/>
          <w:szCs w:val="22"/>
        </w:rPr>
        <w:br/>
      </w:r>
      <w:r w:rsidRPr="009B78DA">
        <w:rPr>
          <w:rFonts w:ascii="Arial" w:hAnsi="Arial" w:cs="Arial"/>
          <w:color w:val="000000" w:themeColor="text1"/>
          <w:sz w:val="22"/>
          <w:szCs w:val="22"/>
        </w:rPr>
        <w:t xml:space="preserve">z podkarpackich odcinków autostrady A4 (Rzeszów Wschód – Jarosław). W tym okresie powstała także obwodnica Niska i Stalowej Woli. Droga ekspresowa S19 między Rzeszowem a Lublinem znajdowała się w budowie, co mogło powodować utrudnienia i </w:t>
      </w:r>
      <w:r w:rsidR="00E00B26" w:rsidRPr="009B78DA">
        <w:rPr>
          <w:rFonts w:ascii="Arial" w:hAnsi="Arial" w:cs="Arial"/>
          <w:color w:val="000000" w:themeColor="text1"/>
          <w:sz w:val="22"/>
          <w:szCs w:val="22"/>
        </w:rPr>
        <w:t>odpływ oraz rozłożenie</w:t>
      </w:r>
      <w:r w:rsidRPr="009B78DA">
        <w:rPr>
          <w:rFonts w:ascii="Arial" w:hAnsi="Arial" w:cs="Arial"/>
          <w:color w:val="000000" w:themeColor="text1"/>
          <w:sz w:val="22"/>
          <w:szCs w:val="22"/>
        </w:rPr>
        <w:t xml:space="preserve"> ruchu na inne drogi. Może to w pewnym stopniu zniekształcać </w:t>
      </w:r>
      <w:r w:rsidR="009B10A1">
        <w:rPr>
          <w:rFonts w:ascii="Arial" w:hAnsi="Arial" w:cs="Arial"/>
          <w:color w:val="000000" w:themeColor="text1"/>
          <w:sz w:val="22"/>
          <w:szCs w:val="22"/>
        </w:rPr>
        <w:t>porównanie obu rozkładów ruchu.</w:t>
      </w:r>
    </w:p>
    <w:p w14:paraId="7CFC7871" w14:textId="3530A4EF" w:rsidR="005B1323" w:rsidRPr="009B78DA" w:rsidRDefault="005B1323" w:rsidP="009B10A1">
      <w:pPr>
        <w:pStyle w:val="Akapitzlist"/>
        <w:numPr>
          <w:ilvl w:val="0"/>
          <w:numId w:val="5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Rozkład przestrzenny ruchu samochodów osobowych w obu analizowanych przekrojach czasowych wskazuje ponadto na jego koncentracje na szlakach wiodących do Rzeszowa oraz pomiędzy niektórymi innymi subregionalnymi biegunami wzrostu. W swoim ogólnym układzie przestrzennym rozkład ruchu nie uległ zasadniczym zmianom w okresie 2015-2020/21. Zachowana została jego policentryczna struktura, choć rola szlaków prowadzących w kierunku Rzeszowa została wyraźnie wzmocniona.</w:t>
      </w:r>
    </w:p>
    <w:p w14:paraId="21FEC471" w14:textId="13909E2C" w:rsidR="009A4800" w:rsidRPr="009B78DA" w:rsidRDefault="005B1323" w:rsidP="009B10A1">
      <w:pPr>
        <w:pStyle w:val="Akapitzlist"/>
        <w:numPr>
          <w:ilvl w:val="0"/>
          <w:numId w:val="5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Proces koncentracji ruchu na autostradzie A4 jest bardzo dobrze widoczny </w:t>
      </w:r>
      <w:r w:rsidR="009B10A1">
        <w:rPr>
          <w:rFonts w:ascii="Arial" w:hAnsi="Arial" w:cs="Arial"/>
          <w:color w:val="000000" w:themeColor="text1"/>
          <w:sz w:val="22"/>
          <w:szCs w:val="22"/>
        </w:rPr>
        <w:br/>
      </w:r>
      <w:r w:rsidRPr="009B78DA">
        <w:rPr>
          <w:rFonts w:ascii="Arial" w:hAnsi="Arial" w:cs="Arial"/>
          <w:color w:val="000000" w:themeColor="text1"/>
          <w:sz w:val="22"/>
          <w:szCs w:val="22"/>
        </w:rPr>
        <w:t>w przypadku kategorii samochodów ciężarowych. W mniejszym stopniu jest on zauważalny na innych trasach w tym szczególnie na S19 (przyszłej Via Carpatia), na drodze DK9 w kierunku Warszawy oraz w ciągu dróg DK73 / DK28 z Tarnowa przez Jasło do Krosna i Sanoka. Porównanie wyników GPR w obu badanych okresach wskazuje na większe różnice w przypadku samochodów ciężarowych niż osobowych. Mimo to ogólny rozkład ruchu pozostaje podobny. Wspomniana koncentracja ruchu na A4 ma miejsce nie tylko na nowym odcinku (Rzeszów-Jarosław), ale także w części trasy położonej na zachód od Rzeszowa. Dowodzi to, że efekt przejmowania ruchu przez nowe trasy szybkiego r</w:t>
      </w:r>
      <w:r w:rsidR="006C788B" w:rsidRPr="009B78DA">
        <w:rPr>
          <w:rFonts w:ascii="Arial" w:hAnsi="Arial" w:cs="Arial"/>
          <w:color w:val="000000" w:themeColor="text1"/>
          <w:sz w:val="22"/>
          <w:szCs w:val="22"/>
        </w:rPr>
        <w:t>uchu</w:t>
      </w:r>
      <w:r w:rsidRPr="009B78DA">
        <w:rPr>
          <w:rFonts w:ascii="Arial" w:hAnsi="Arial" w:cs="Arial"/>
          <w:color w:val="000000" w:themeColor="text1"/>
          <w:sz w:val="22"/>
          <w:szCs w:val="22"/>
        </w:rPr>
        <w:t xml:space="preserve"> domyka się dopiero po ich pełnym ukończeniu. Istniejące luki stanowią barierę </w:t>
      </w:r>
      <w:r w:rsidR="00DD3C8F" w:rsidRPr="009B78DA">
        <w:rPr>
          <w:rFonts w:ascii="Arial" w:hAnsi="Arial" w:cs="Arial"/>
          <w:color w:val="000000" w:themeColor="text1"/>
          <w:sz w:val="22"/>
          <w:szCs w:val="22"/>
        </w:rPr>
        <w:t xml:space="preserve"> </w:t>
      </w:r>
      <w:r w:rsidR="009B10A1">
        <w:rPr>
          <w:rFonts w:ascii="Arial" w:hAnsi="Arial" w:cs="Arial"/>
          <w:color w:val="000000" w:themeColor="text1"/>
          <w:sz w:val="22"/>
          <w:szCs w:val="22"/>
        </w:rPr>
        <w:t>w tym zakresie.</w:t>
      </w:r>
    </w:p>
    <w:p w14:paraId="3C190868" w14:textId="10827D67" w:rsidR="0008287A" w:rsidRPr="009B78DA" w:rsidRDefault="0008287A" w:rsidP="009B10A1">
      <w:pPr>
        <w:pStyle w:val="Legenda"/>
        <w:keepNext/>
        <w:spacing w:line="276" w:lineRule="auto"/>
        <w:rPr>
          <w:rFonts w:ascii="Arial" w:hAnsi="Arial" w:cs="Arial"/>
          <w:i w:val="0"/>
          <w:color w:val="000000" w:themeColor="text1"/>
          <w:sz w:val="22"/>
          <w:szCs w:val="22"/>
        </w:rPr>
      </w:pPr>
      <w:bookmarkStart w:id="119" w:name="_Toc146785656"/>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27</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Ruch pojazdów osobowych na drogach krajowych i wojewódzkich województwa podkarpackiego w latach 2015 i 2020/21</w:t>
      </w:r>
      <w:bookmarkEnd w:id="119"/>
    </w:p>
    <w:p w14:paraId="3FCCE888" w14:textId="2A1B019C" w:rsidR="009A4800" w:rsidRPr="009B78DA" w:rsidRDefault="009A4800" w:rsidP="009A4800">
      <w:pPr>
        <w:spacing w:before="120" w:line="276" w:lineRule="auto"/>
        <w:jc w:val="both"/>
        <w:rPr>
          <w:rFonts w:ascii="Arial" w:hAnsi="Arial" w:cs="Arial"/>
          <w:color w:val="000000" w:themeColor="text1"/>
          <w:sz w:val="22"/>
          <w:szCs w:val="22"/>
        </w:rPr>
      </w:pPr>
      <w:r w:rsidRPr="009B78DA">
        <w:rPr>
          <w:noProof/>
          <w:color w:val="000000" w:themeColor="text1"/>
        </w:rPr>
        <w:drawing>
          <wp:inline distT="0" distB="0" distL="0" distR="0" wp14:anchorId="2788F684" wp14:editId="3BF68AA5">
            <wp:extent cx="5760720" cy="3524250"/>
            <wp:effectExtent l="0" t="0" r="0" b="0"/>
            <wp:docPr id="86" name="Obraz 86" descr="Województwo podkarpackie w tym największe miasta powiatowe. Po lewej ruch pojazdów osobowych w 2015 r. w tys., po prawej ruch pojazdów osobowych w latach 2022/2021 w tys." title="Rysunek 27 Ruch pojazdów osobowych na drogach krajowych i wojewódzkich województwa podkarpackiego w latach 2015 i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14:paraId="22B6A332" w14:textId="6798E7C0" w:rsidR="005B1323" w:rsidRPr="00D53F02" w:rsidRDefault="005B1323" w:rsidP="00D53F02">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8B4503" w:rsidRPr="009B78DA">
        <w:rPr>
          <w:rFonts w:ascii="Arial" w:hAnsi="Arial" w:cs="Arial"/>
          <w:color w:val="000000" w:themeColor="text1"/>
          <w:sz w:val="22"/>
          <w:szCs w:val="22"/>
        </w:rPr>
        <w:t>Opracowanie eksperckie (2022) na podstawie danych GDDKiA</w:t>
      </w:r>
    </w:p>
    <w:p w14:paraId="69B3769B" w14:textId="189C1C67" w:rsidR="009A4800" w:rsidRPr="009B78DA" w:rsidRDefault="005B1323" w:rsidP="00D53F02">
      <w:pPr>
        <w:pStyle w:val="Akapitzlist"/>
        <w:numPr>
          <w:ilvl w:val="0"/>
          <w:numId w:val="5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Z punktu widzenia zasilenia PSRT WP do roku 2030 nowymi informacjami </w:t>
      </w:r>
      <w:r w:rsidR="00124A2B">
        <w:rPr>
          <w:rFonts w:ascii="Arial" w:hAnsi="Arial" w:cs="Arial"/>
          <w:color w:val="000000" w:themeColor="text1"/>
          <w:sz w:val="22"/>
          <w:szCs w:val="22"/>
        </w:rPr>
        <w:br/>
      </w:r>
      <w:r w:rsidRPr="009B78DA">
        <w:rPr>
          <w:rFonts w:ascii="Arial" w:hAnsi="Arial" w:cs="Arial"/>
          <w:color w:val="000000" w:themeColor="text1"/>
          <w:sz w:val="22"/>
          <w:szCs w:val="22"/>
        </w:rPr>
        <w:t>o wielkości strukturze ruchu drogowego, najważniejsza jest ocena dynamiki zmian tegoż ruchu w obu podstawowych kategoriach. Zmiany te nie są równo rozłożone terytorialnie, co jest dowodem zarówno na zachodzące w regionie procesy społeczno-gospodarcze, jak też stanowi efekt podjętych w badanym okresie inwestycji. W obu kategoriach (pojazdów osobowych i ciężarowych) doszło do bardzo dużych przyrostów ruchu w ciągu autostrady A4, szczególnie na jej odcinku od granicy województwa do Przeworska. Wynika to bezpośrednio z ukończenia całej trasy na terenie województwa w roku 2016 oraz z faktu, że niektóre odcinki uruchomiono niedługo przed poprzednim pomiarem ruchu</w:t>
      </w:r>
      <w:r w:rsidR="00152D15" w:rsidRPr="009B78DA">
        <w:rPr>
          <w:rFonts w:ascii="Arial" w:hAnsi="Arial" w:cs="Arial"/>
          <w:color w:val="000000" w:themeColor="text1"/>
          <w:sz w:val="22"/>
          <w:szCs w:val="22"/>
        </w:rPr>
        <w:t xml:space="preserve"> (GPR 2015)</w:t>
      </w:r>
      <w:r w:rsidRPr="009B78DA">
        <w:rPr>
          <w:rFonts w:ascii="Arial" w:hAnsi="Arial" w:cs="Arial"/>
          <w:color w:val="000000" w:themeColor="text1"/>
          <w:sz w:val="22"/>
          <w:szCs w:val="22"/>
        </w:rPr>
        <w:t xml:space="preserve">. W rezultacie efekt „nowej trasy” został w pełni skonsumowany dopiero w dynamice ruchu </w:t>
      </w:r>
      <w:r w:rsidR="00124A2B">
        <w:rPr>
          <w:rFonts w:ascii="Arial" w:hAnsi="Arial" w:cs="Arial"/>
          <w:color w:val="000000" w:themeColor="text1"/>
          <w:sz w:val="22"/>
          <w:szCs w:val="22"/>
        </w:rPr>
        <w:br/>
      </w:r>
      <w:r w:rsidRPr="009B78DA">
        <w:rPr>
          <w:rFonts w:ascii="Arial" w:hAnsi="Arial" w:cs="Arial"/>
          <w:color w:val="000000" w:themeColor="text1"/>
          <w:sz w:val="22"/>
          <w:szCs w:val="22"/>
        </w:rPr>
        <w:t>w kolejnej pięciolatce. Druga ważna konstatacja to bardzo duże przyrosty ruchu na trasach doprowadzających do A4. Dotyczy to szczególnie niektórych ciągów dróg krajowych i/lub wojewódzkich. Są to na ogół ciągi skośne odchylone w kierunku zachodnim (w tym droga DW877 Łańcut-Leżajsk, DW835 Przeworsk-granica województwa, DW865 Jarosław-Lubaczów).</w:t>
      </w:r>
      <w:r w:rsidR="00152D15"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W przypadku ruchu samochodów osobowych widoczne jest także wzmocnienie znaczenia dojazdów do Rzeszowa drogami takimi jak DK9, DW878.</w:t>
      </w:r>
      <w:r w:rsidR="00412F5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W obu kategoriach pojazdów zaznacza się wysoka dynamika ruchu między Rzeszowem</w:t>
      </w:r>
      <w:r w:rsidR="00DD3C8F"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i Mielcem zarówno z wykorzystaniem autostrady (odcinek DW985 Dębica – Mielec), jak szlakiem przez Kolbuszową </w:t>
      </w:r>
      <w:r w:rsidR="007536DF">
        <w:rPr>
          <w:rFonts w:ascii="Arial" w:hAnsi="Arial" w:cs="Arial"/>
          <w:color w:val="000000" w:themeColor="text1"/>
          <w:sz w:val="22"/>
          <w:szCs w:val="22"/>
        </w:rPr>
        <w:br/>
      </w:r>
      <w:r w:rsidRPr="009B78DA">
        <w:rPr>
          <w:rFonts w:ascii="Arial" w:hAnsi="Arial" w:cs="Arial"/>
          <w:color w:val="000000" w:themeColor="text1"/>
          <w:sz w:val="22"/>
          <w:szCs w:val="22"/>
        </w:rPr>
        <w:t>(DK9 i DW875).</w:t>
      </w:r>
    </w:p>
    <w:p w14:paraId="067C9447" w14:textId="54FA345C" w:rsidR="00FC3447" w:rsidRPr="009B78DA" w:rsidRDefault="00FC3447" w:rsidP="00D53F02">
      <w:pPr>
        <w:pStyle w:val="Legenda"/>
        <w:keepNext/>
        <w:rPr>
          <w:rFonts w:ascii="Arial" w:hAnsi="Arial" w:cs="Arial"/>
          <w:i w:val="0"/>
          <w:color w:val="000000" w:themeColor="text1"/>
          <w:sz w:val="22"/>
          <w:szCs w:val="22"/>
        </w:rPr>
      </w:pPr>
      <w:bookmarkStart w:id="120" w:name="_Toc146785657"/>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Ruch pojazdów ciężarowych na drogach krajowych i wojewódzkich województwa podkarpackiego w latach 2015 i 2020/21.</w:t>
      </w:r>
      <w:bookmarkEnd w:id="120"/>
    </w:p>
    <w:p w14:paraId="36F19A0C" w14:textId="0C73750F" w:rsidR="00E45D45" w:rsidRPr="009B78DA" w:rsidRDefault="00E45D45" w:rsidP="00E45D45">
      <w:pPr>
        <w:spacing w:before="120" w:line="276" w:lineRule="auto"/>
        <w:jc w:val="both"/>
        <w:rPr>
          <w:rFonts w:ascii="Arial" w:hAnsi="Arial" w:cs="Arial"/>
          <w:color w:val="000000" w:themeColor="text1"/>
          <w:sz w:val="22"/>
          <w:szCs w:val="22"/>
        </w:rPr>
      </w:pPr>
      <w:r w:rsidRPr="009B78DA">
        <w:rPr>
          <w:noProof/>
          <w:color w:val="000000" w:themeColor="text1"/>
        </w:rPr>
        <w:drawing>
          <wp:inline distT="0" distB="0" distL="0" distR="0" wp14:anchorId="3FC2C21C" wp14:editId="60AE3FEA">
            <wp:extent cx="5760720" cy="3524250"/>
            <wp:effectExtent l="0" t="0" r="0" b="0"/>
            <wp:docPr id="88" name="Obraz 88" descr="Województwo podkarpackie w tym największe miasta powiatowe. Po lewej ruch pojazdów ciężarowych w 2015 r. w tys., po prawej ruch pojazdów ciężarowych w latach 2022/2021 w tys." title="Rysunek 28 Ruch pojazdów ciężarowych na drogach krajowych i wojewódzkich województwa podkarpackiego w latach 2015 i 2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524250"/>
                    </a:xfrm>
                    <a:prstGeom prst="rect">
                      <a:avLst/>
                    </a:prstGeom>
                    <a:noFill/>
                    <a:ln>
                      <a:noFill/>
                    </a:ln>
                  </pic:spPr>
                </pic:pic>
              </a:graphicData>
            </a:graphic>
          </wp:inline>
        </w:drawing>
      </w:r>
    </w:p>
    <w:p w14:paraId="0FB2FCCF" w14:textId="430CBE74" w:rsidR="005B1323" w:rsidRPr="009B78DA" w:rsidRDefault="005B1323" w:rsidP="007536DF">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8B4503" w:rsidRPr="009B78DA">
        <w:rPr>
          <w:rFonts w:ascii="Arial" w:hAnsi="Arial" w:cs="Arial"/>
          <w:color w:val="000000" w:themeColor="text1"/>
          <w:sz w:val="22"/>
          <w:szCs w:val="22"/>
        </w:rPr>
        <w:t>Opracowanie eksperckie (2022) na podstawie danych GDDKiA</w:t>
      </w:r>
    </w:p>
    <w:p w14:paraId="035F8A22" w14:textId="4B79DA33" w:rsidR="00DD3C8F" w:rsidRPr="009B78DA" w:rsidRDefault="005B1323" w:rsidP="007536DF">
      <w:pPr>
        <w:pStyle w:val="Akapitzlist"/>
        <w:numPr>
          <w:ilvl w:val="0"/>
          <w:numId w:val="5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Charakterystyczne są spadki ruchu samochodów ciężarowych na niektórych drogach krajowych, w tym DK28 i DK77. Dowodzą one przesunięcia potoków na autostradę A4, nawet w przypadku gdy trasa przejazdu ulega z tego powodu wydłużeniu. Można przypuszczać, że ruch z zachodniej Polski do Krosna i Sanoka (zwłaszcza pojazdów ciężarowych) jest kontynuowany autostradą tak długo jak to możliwe</w:t>
      </w:r>
      <w:r w:rsidR="00DD3C8F"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i następnie przenosi się na DK19 Rzeszów-Krosno. Potwierdza to tezę </w:t>
      </w:r>
      <w:r w:rsidR="007536DF">
        <w:rPr>
          <w:rFonts w:ascii="Arial" w:hAnsi="Arial" w:cs="Arial"/>
          <w:color w:val="000000" w:themeColor="text1"/>
          <w:sz w:val="22"/>
          <w:szCs w:val="22"/>
        </w:rPr>
        <w:br/>
      </w:r>
      <w:r w:rsidRPr="009B78DA">
        <w:rPr>
          <w:rFonts w:ascii="Arial" w:hAnsi="Arial" w:cs="Arial"/>
          <w:color w:val="000000" w:themeColor="text1"/>
          <w:sz w:val="22"/>
          <w:szCs w:val="22"/>
        </w:rPr>
        <w:t xml:space="preserve">o migracji ruchu między odcinkami, która będzie następować aż do ukończenia </w:t>
      </w:r>
      <w:r w:rsidR="002106F6" w:rsidRPr="009B78DA">
        <w:rPr>
          <w:rFonts w:ascii="Arial" w:hAnsi="Arial" w:cs="Arial"/>
          <w:color w:val="000000" w:themeColor="text1"/>
          <w:sz w:val="22"/>
          <w:szCs w:val="22"/>
        </w:rPr>
        <w:t xml:space="preserve">prac przy budowie drogi ekspresowej </w:t>
      </w:r>
      <w:r w:rsidR="00E00B26" w:rsidRPr="009B78DA">
        <w:rPr>
          <w:rFonts w:ascii="Arial" w:hAnsi="Arial" w:cs="Arial"/>
          <w:color w:val="000000" w:themeColor="text1"/>
          <w:sz w:val="22"/>
          <w:szCs w:val="22"/>
        </w:rPr>
        <w:t xml:space="preserve">S19 </w:t>
      </w:r>
      <w:r w:rsidR="002106F6" w:rsidRPr="009B78DA">
        <w:rPr>
          <w:rFonts w:ascii="Arial" w:hAnsi="Arial" w:cs="Arial"/>
          <w:color w:val="000000" w:themeColor="text1"/>
          <w:sz w:val="22"/>
          <w:szCs w:val="22"/>
        </w:rPr>
        <w:t xml:space="preserve">na odcinkach pomiędzy Rzeszowem, a granicą </w:t>
      </w:r>
      <w:r w:rsidR="00E00B26" w:rsidRPr="009B78DA">
        <w:rPr>
          <w:rFonts w:ascii="Arial" w:hAnsi="Arial" w:cs="Arial"/>
          <w:color w:val="000000" w:themeColor="text1"/>
          <w:sz w:val="22"/>
          <w:szCs w:val="22"/>
        </w:rPr>
        <w:t>polsko-słowacką</w:t>
      </w:r>
      <w:r w:rsidRPr="009B78DA">
        <w:rPr>
          <w:rFonts w:ascii="Arial" w:hAnsi="Arial" w:cs="Arial"/>
          <w:color w:val="000000" w:themeColor="text1"/>
          <w:sz w:val="22"/>
          <w:szCs w:val="22"/>
        </w:rPr>
        <w:t>.</w:t>
      </w:r>
      <w:r w:rsidR="002106F6"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Tym samym nie do końca można ją interpretować jako stały obraz</w:t>
      </w:r>
      <w:r w:rsidR="007536DF">
        <w:rPr>
          <w:rFonts w:ascii="Arial" w:hAnsi="Arial" w:cs="Arial"/>
          <w:color w:val="000000" w:themeColor="text1"/>
          <w:sz w:val="22"/>
          <w:szCs w:val="22"/>
        </w:rPr>
        <w:t xml:space="preserve"> popytu na nową infrastrukturę.</w:t>
      </w:r>
    </w:p>
    <w:p w14:paraId="53158B21" w14:textId="02541C55" w:rsidR="00C41871" w:rsidRPr="009B78DA" w:rsidRDefault="005B1323" w:rsidP="007536DF">
      <w:pPr>
        <w:pStyle w:val="Akapitzlist"/>
        <w:numPr>
          <w:ilvl w:val="0"/>
          <w:numId w:val="5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Spadki ruchu osobowego widoczne są również w sąsiedztwie przejścia granicznego Medyka (przejęcie części potoków przez Korczową). Charakterystyczny jest także przyrost ruchu ciężkiego z kierunku Gorlic drogą DW993 do Dukli,</w:t>
      </w:r>
      <w:r w:rsidR="003822F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a następnie do dawnego przejścia granicznego w Barwinku i na Słowację. Pośrednio dowodzi to znaczenia braków infrastrukturalnych w ciągu drogi DK73/DK28 (Pilzno-Miejsce Piastowe). Ruch międzynarodowy między Polską p</w:t>
      </w:r>
      <w:r w:rsidR="007536DF">
        <w:rPr>
          <w:rFonts w:ascii="Arial" w:hAnsi="Arial" w:cs="Arial"/>
          <w:color w:val="000000" w:themeColor="text1"/>
          <w:sz w:val="22"/>
          <w:szCs w:val="22"/>
        </w:rPr>
        <w:t xml:space="preserve">ołudniową i częściowo centralną </w:t>
      </w:r>
      <w:r w:rsidRPr="009B78DA">
        <w:rPr>
          <w:rFonts w:ascii="Arial" w:hAnsi="Arial" w:cs="Arial"/>
          <w:color w:val="000000" w:themeColor="text1"/>
          <w:sz w:val="22"/>
          <w:szCs w:val="22"/>
        </w:rPr>
        <w:t xml:space="preserve">a Słowacją (oraz dalej położonymi krajami) </w:t>
      </w:r>
      <w:r w:rsidR="00E00B26" w:rsidRPr="009B78DA">
        <w:rPr>
          <w:rFonts w:ascii="Arial" w:hAnsi="Arial" w:cs="Arial"/>
          <w:color w:val="000000" w:themeColor="text1"/>
          <w:sz w:val="22"/>
          <w:szCs w:val="22"/>
        </w:rPr>
        <w:t xml:space="preserve">„odpływa” </w:t>
      </w:r>
      <w:r w:rsidRPr="009B78DA">
        <w:rPr>
          <w:rFonts w:ascii="Arial" w:hAnsi="Arial" w:cs="Arial"/>
          <w:color w:val="000000" w:themeColor="text1"/>
          <w:sz w:val="22"/>
          <w:szCs w:val="22"/>
        </w:rPr>
        <w:t>z tej drogi z uwagi na jej parametry i niekorzystną lokalizację węzła na A4 zarówno na trasę przez A4 i D19 (zbyteczne i niekorzystne dociążenie układu drogowego Rzeszowa), jak też na bardziej peryferyjne drogi wojewódzkie (jak DW993).</w:t>
      </w:r>
    </w:p>
    <w:p w14:paraId="5EF41FB3" w14:textId="58BF5825" w:rsidR="00FC3447" w:rsidRPr="009B78DA" w:rsidRDefault="00FC3447" w:rsidP="007536DF">
      <w:pPr>
        <w:pStyle w:val="Legenda"/>
        <w:keepNext/>
        <w:rPr>
          <w:rFonts w:ascii="Arial" w:hAnsi="Arial" w:cs="Arial"/>
          <w:i w:val="0"/>
          <w:color w:val="000000" w:themeColor="text1"/>
          <w:sz w:val="22"/>
          <w:szCs w:val="22"/>
        </w:rPr>
      </w:pPr>
      <w:bookmarkStart w:id="121" w:name="_Toc146785658"/>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29</w:t>
      </w:r>
      <w:r w:rsidRPr="009B78DA">
        <w:rPr>
          <w:rFonts w:ascii="Arial" w:hAnsi="Arial" w:cs="Arial"/>
          <w:b/>
          <w:i w:val="0"/>
          <w:color w:val="000000" w:themeColor="text1"/>
          <w:sz w:val="22"/>
          <w:szCs w:val="22"/>
        </w:rPr>
        <w:fldChar w:fldCharType="end"/>
      </w:r>
      <w:r w:rsidRPr="009B78DA">
        <w:rPr>
          <w:color w:val="000000" w:themeColor="text1"/>
        </w:rPr>
        <w:t xml:space="preserve"> </w:t>
      </w:r>
      <w:r w:rsidRPr="009B78DA">
        <w:rPr>
          <w:rFonts w:ascii="Arial" w:hAnsi="Arial" w:cs="Arial"/>
          <w:i w:val="0"/>
          <w:color w:val="000000" w:themeColor="text1"/>
          <w:sz w:val="22"/>
          <w:szCs w:val="22"/>
        </w:rPr>
        <w:t xml:space="preserve">Zmiany w ruchu pojazdów osobowych i ciężarowych na drogach krajowych </w:t>
      </w:r>
      <w:r w:rsidRPr="009B78DA">
        <w:rPr>
          <w:rFonts w:ascii="Arial" w:hAnsi="Arial" w:cs="Arial"/>
          <w:i w:val="0"/>
          <w:color w:val="000000" w:themeColor="text1"/>
          <w:sz w:val="22"/>
          <w:szCs w:val="22"/>
        </w:rPr>
        <w:br/>
        <w:t>i wojewódzkich województwa podkarpackiego w okresie 2015 - 2020/21</w:t>
      </w:r>
      <w:bookmarkEnd w:id="121"/>
    </w:p>
    <w:p w14:paraId="2BF857A1" w14:textId="751D08A3" w:rsidR="00E45D45" w:rsidRPr="009B78DA" w:rsidRDefault="00AC2469" w:rsidP="00AA738C">
      <w:pPr>
        <w:spacing w:before="120" w:line="276" w:lineRule="auto"/>
        <w:jc w:val="center"/>
        <w:rPr>
          <w:rFonts w:ascii="Arial" w:hAnsi="Arial" w:cs="Arial"/>
          <w:color w:val="000000" w:themeColor="text1"/>
          <w:sz w:val="22"/>
          <w:szCs w:val="22"/>
        </w:rPr>
      </w:pPr>
      <w:r w:rsidRPr="009B78DA">
        <w:rPr>
          <w:noProof/>
          <w:color w:val="000000" w:themeColor="text1"/>
        </w:rPr>
        <w:drawing>
          <wp:inline distT="0" distB="0" distL="0" distR="0" wp14:anchorId="63796DA6" wp14:editId="3E4FE703">
            <wp:extent cx="5715000" cy="3496279"/>
            <wp:effectExtent l="0" t="0" r="0" b="9525"/>
            <wp:docPr id="89" name="Obraz 89" descr="Województwo podkarpackie w tym największe miasta powiatowe. Po lewej zmiany w natężeniu ruchu pojazdów ciężarowych od 2015 r. do 2020/2021, po prawej zmiany w natężeniu ruchu pojazdów osobowych od 2015 r. do 2020/2021" title="Rysunek 29 Zmiany w ruchu pojazdów osobowych i ciężarowych na drogach krajow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36858" cy="3509651"/>
                    </a:xfrm>
                    <a:prstGeom prst="rect">
                      <a:avLst/>
                    </a:prstGeom>
                    <a:noFill/>
                    <a:ln>
                      <a:noFill/>
                    </a:ln>
                  </pic:spPr>
                </pic:pic>
              </a:graphicData>
            </a:graphic>
          </wp:inline>
        </w:drawing>
      </w:r>
    </w:p>
    <w:p w14:paraId="7F7FC4DC" w14:textId="1A5E2EA4" w:rsidR="00AA738C" w:rsidRPr="00D049C2" w:rsidRDefault="005B1323" w:rsidP="0054793A">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8B4503" w:rsidRPr="009B78DA">
        <w:rPr>
          <w:rFonts w:ascii="Arial" w:hAnsi="Arial" w:cs="Arial"/>
          <w:color w:val="000000" w:themeColor="text1"/>
          <w:sz w:val="22"/>
          <w:szCs w:val="22"/>
        </w:rPr>
        <w:t>Opracowanie eksperckie (2022) na podstawie danych GDDKiA</w:t>
      </w:r>
    </w:p>
    <w:p w14:paraId="6CBB2A31" w14:textId="76D008D7" w:rsidR="005B1323" w:rsidRPr="009B78DA" w:rsidRDefault="005B1323" w:rsidP="0054793A">
      <w:pPr>
        <w:pStyle w:val="Akapitzlist"/>
        <w:numPr>
          <w:ilvl w:val="0"/>
          <w:numId w:val="5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Analiza dynamiki ruchu w okresie 2015-2020/21 wzmocniła wskazania inwestycyjne dotyczące takich dróg wojewódzkich jak DW835 i DW865 oraz wszystkich szlaków (krajowych, wojewódzkich i lokalnych) dop</w:t>
      </w:r>
      <w:r w:rsidR="0054793A">
        <w:rPr>
          <w:rFonts w:ascii="Arial" w:hAnsi="Arial" w:cs="Arial"/>
          <w:color w:val="000000" w:themeColor="text1"/>
          <w:sz w:val="22"/>
          <w:szCs w:val="22"/>
        </w:rPr>
        <w:t>rowadzających ruch do Rzeszowa.</w:t>
      </w:r>
    </w:p>
    <w:p w14:paraId="4A56CA64" w14:textId="5675CEB3" w:rsidR="00E45D45" w:rsidRPr="009B78DA" w:rsidRDefault="005B1323" w:rsidP="0054793A">
      <w:pPr>
        <w:pStyle w:val="Akapitzlist"/>
        <w:numPr>
          <w:ilvl w:val="0"/>
          <w:numId w:val="53"/>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Opisane „migracje ruchu” oraz jego wzrost na trasach doprowadzających do A4 można także interpretować jako zapowiedź dalszych podobnych procesów, które ujawnią się po ukończeniu drogi S19 w pełnym przebiegu na terenie regionu. Dlatego też, przy uwzględnianiu wyników GPR podczas decyzji inwestycyjnych konieczne jest branie pod uwagę potencjalnych przesunięć dużych potoków ruchu drogowego, które następują w wyniku oddawania do użytku kolejnych fragmentów dróg ekspresowych, przebudów i podwyższania standardów technicznych sieci dróg krajowych i wojewódzkich czy powstawania nowych generatorów ruchu. Tym samym opisana dynamika z okresu 2015-2020/21 może, a nawet powinna, być ekstrapolowana na przyszły okres programowania (2021-2027), gdyż można przypuszczać, że zachodzące procesy będą wówczas kontynuowane, a ponadto że zmiany rozkładu związane z nowymi trasami będą analogiczne (choć być może wy</w:t>
      </w:r>
      <w:r w:rsidR="0054793A">
        <w:rPr>
          <w:rFonts w:ascii="Arial" w:hAnsi="Arial" w:cs="Arial"/>
          <w:color w:val="000000" w:themeColor="text1"/>
          <w:sz w:val="22"/>
          <w:szCs w:val="22"/>
        </w:rPr>
        <w:t>stąpią w innych lokalizacjach).</w:t>
      </w:r>
    </w:p>
    <w:p w14:paraId="210FD01F" w14:textId="12D554D8" w:rsidR="0010060F" w:rsidRPr="0054793A" w:rsidRDefault="005B1323" w:rsidP="0054793A">
      <w:pPr>
        <w:pStyle w:val="Akapitzlist"/>
        <w:numPr>
          <w:ilvl w:val="0"/>
          <w:numId w:val="53"/>
        </w:numPr>
        <w:spacing w:line="276" w:lineRule="auto"/>
        <w:ind w:left="811"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Efekt silnej koncentracji ruchu na trasie A4 oraz na niektórych drogach doprowadzających do autostrady, będzie prawdopodobnie powtórzony w ciągu drogi ekspresowej S19 (tzw. Via Carpatia).</w:t>
      </w:r>
    </w:p>
    <w:p w14:paraId="4DE8D5C5" w14:textId="77777777" w:rsidR="005E73BD" w:rsidRPr="009B78DA" w:rsidRDefault="005E73BD" w:rsidP="0054793A">
      <w:pPr>
        <w:pStyle w:val="Akapitzlist"/>
        <w:numPr>
          <w:ilvl w:val="3"/>
          <w:numId w:val="245"/>
        </w:numPr>
        <w:spacing w:before="120" w:line="276" w:lineRule="auto"/>
        <w:rPr>
          <w:rFonts w:ascii="Arial" w:hAnsi="Arial" w:cs="Arial"/>
          <w:b/>
          <w:color w:val="000000" w:themeColor="text1"/>
          <w:sz w:val="22"/>
          <w:szCs w:val="22"/>
        </w:rPr>
      </w:pPr>
      <w:bookmarkStart w:id="122" w:name="_Hlk118872167"/>
      <w:r w:rsidRPr="009B78DA">
        <w:rPr>
          <w:rFonts w:ascii="Arial" w:hAnsi="Arial" w:cs="Arial"/>
          <w:b/>
          <w:color w:val="000000" w:themeColor="text1"/>
          <w:sz w:val="22"/>
          <w:szCs w:val="22"/>
        </w:rPr>
        <w:t>Potoki ruchu w transporcie publicznym</w:t>
      </w:r>
    </w:p>
    <w:bookmarkEnd w:id="122"/>
    <w:p w14:paraId="785DC858" w14:textId="77777777" w:rsidR="005E73BD" w:rsidRPr="009B78DA" w:rsidRDefault="005E73BD" w:rsidP="0054793A">
      <w:pPr>
        <w:pStyle w:val="Akapitzlist"/>
        <w:numPr>
          <w:ilvl w:val="0"/>
          <w:numId w:val="53"/>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Potoki ruchu w pasażerskim transporcie p</w:t>
      </w:r>
      <w:r w:rsidR="00AD7484" w:rsidRPr="009B78DA">
        <w:rPr>
          <w:rFonts w:ascii="Arial" w:hAnsi="Arial" w:cs="Arial"/>
          <w:color w:val="000000" w:themeColor="text1"/>
          <w:sz w:val="22"/>
          <w:szCs w:val="22"/>
        </w:rPr>
        <w:t xml:space="preserve">ublicznym związane są </w:t>
      </w:r>
      <w:r w:rsidRPr="009B78DA">
        <w:rPr>
          <w:rFonts w:ascii="Arial" w:hAnsi="Arial" w:cs="Arial"/>
          <w:color w:val="000000" w:themeColor="text1"/>
          <w:sz w:val="22"/>
          <w:szCs w:val="22"/>
        </w:rPr>
        <w:t xml:space="preserve">z generatorami ruchu czyli z miejscami gdzie powstaje ruch i gdzie jest absorbowany. Głównymi kierunkami ruchu </w:t>
      </w:r>
      <w:r w:rsidR="00AD7484" w:rsidRPr="009B78DA">
        <w:rPr>
          <w:rFonts w:ascii="Arial" w:hAnsi="Arial" w:cs="Arial"/>
          <w:color w:val="000000" w:themeColor="text1"/>
          <w:sz w:val="22"/>
          <w:szCs w:val="22"/>
        </w:rPr>
        <w:t xml:space="preserve">pasażerskiego są miejsca pracy </w:t>
      </w:r>
      <w:r w:rsidRPr="009B78DA">
        <w:rPr>
          <w:rFonts w:ascii="Arial" w:hAnsi="Arial" w:cs="Arial"/>
          <w:color w:val="000000" w:themeColor="text1"/>
          <w:sz w:val="22"/>
          <w:szCs w:val="22"/>
        </w:rPr>
        <w:t>i edukacji, szpitale i przychodnie oraz ró</w:t>
      </w:r>
      <w:r w:rsidR="00AD7484" w:rsidRPr="009B78DA">
        <w:rPr>
          <w:rFonts w:ascii="Arial" w:hAnsi="Arial" w:cs="Arial"/>
          <w:color w:val="000000" w:themeColor="text1"/>
          <w:sz w:val="22"/>
          <w:szCs w:val="22"/>
        </w:rPr>
        <w:t xml:space="preserve">żnego rodzaju miejsca usługowe </w:t>
      </w:r>
      <w:r w:rsidRPr="009B78DA">
        <w:rPr>
          <w:rFonts w:ascii="Arial" w:hAnsi="Arial" w:cs="Arial"/>
          <w:color w:val="000000" w:themeColor="text1"/>
          <w:sz w:val="22"/>
          <w:szCs w:val="22"/>
        </w:rPr>
        <w:t>i rozrywkowe.</w:t>
      </w:r>
    </w:p>
    <w:p w14:paraId="48CC16E9" w14:textId="6D9DCFA2" w:rsidR="005A1FC1" w:rsidRPr="009B78DA" w:rsidRDefault="005E73BD" w:rsidP="0054793A">
      <w:pPr>
        <w:pStyle w:val="Akapitzlist"/>
        <w:numPr>
          <w:ilvl w:val="0"/>
          <w:numId w:val="53"/>
        </w:numPr>
        <w:spacing w:before="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Wiodącym korytarzem transportowym w regionie jest równoleżnikowe połączenie Dębica – Rzeszów – Przemyśl, obsługiwane przez dużą liczbę autobusów i pociągów pasażerskich. Rzeszów stanowi miejsce koncentracji usług publicznych oraz jest głównym rynkiem pracy w województwie, dlatego też odgrywa istotną rolę </w:t>
      </w:r>
      <w:r w:rsidR="0054793A">
        <w:rPr>
          <w:rFonts w:ascii="Arial" w:hAnsi="Arial" w:cs="Arial"/>
          <w:color w:val="000000" w:themeColor="text1"/>
          <w:sz w:val="22"/>
          <w:szCs w:val="22"/>
        </w:rPr>
        <w:br/>
      </w:r>
      <w:r w:rsidRPr="009B78DA">
        <w:rPr>
          <w:rFonts w:ascii="Arial" w:hAnsi="Arial" w:cs="Arial"/>
          <w:color w:val="000000" w:themeColor="text1"/>
          <w:sz w:val="22"/>
          <w:szCs w:val="22"/>
        </w:rPr>
        <w:t>w powiązaniu obu tych rodzajów transportu.</w:t>
      </w:r>
    </w:p>
    <w:p w14:paraId="41A47320" w14:textId="77777777" w:rsidR="005E73BD" w:rsidRPr="009B78DA" w:rsidRDefault="005E73BD" w:rsidP="0054793A">
      <w:pPr>
        <w:pStyle w:val="Akapitzlist"/>
        <w:numPr>
          <w:ilvl w:val="3"/>
          <w:numId w:val="245"/>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Transport publiczny i natężenie ruchu</w:t>
      </w:r>
    </w:p>
    <w:p w14:paraId="5CE168B7" w14:textId="5BB2BC84" w:rsidR="005E73BD" w:rsidRPr="009B78DA" w:rsidRDefault="005E73BD" w:rsidP="0054793A">
      <w:pPr>
        <w:pStyle w:val="Akapitzlist"/>
        <w:numPr>
          <w:ilvl w:val="0"/>
          <w:numId w:val="54"/>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Na terenie województwa podkarpackiego działa 108 </w:t>
      </w:r>
      <w:bookmarkStart w:id="123" w:name="_Hlk92697899"/>
      <w:r w:rsidRPr="009B78DA">
        <w:rPr>
          <w:rFonts w:ascii="Arial" w:hAnsi="Arial" w:cs="Arial"/>
          <w:color w:val="000000" w:themeColor="text1"/>
          <w:sz w:val="22"/>
          <w:szCs w:val="22"/>
        </w:rPr>
        <w:t>przewoźników</w:t>
      </w:r>
      <w:r w:rsidR="00E13367" w:rsidRPr="009B78DA">
        <w:rPr>
          <w:rFonts w:ascii="Arial" w:hAnsi="Arial" w:cs="Arial"/>
          <w:color w:val="000000" w:themeColor="text1"/>
          <w:sz w:val="22"/>
          <w:szCs w:val="22"/>
        </w:rPr>
        <w:t xml:space="preserve"> </w:t>
      </w:r>
      <w:bookmarkStart w:id="124" w:name="_Hlk92562108"/>
      <w:r w:rsidR="00E13367" w:rsidRPr="009B78DA">
        <w:rPr>
          <w:rFonts w:ascii="Arial" w:hAnsi="Arial" w:cs="Arial"/>
          <w:color w:val="000000" w:themeColor="text1"/>
          <w:sz w:val="22"/>
          <w:szCs w:val="22"/>
        </w:rPr>
        <w:t xml:space="preserve">(stan na </w:t>
      </w:r>
      <w:r w:rsidR="006537D4" w:rsidRPr="009B78DA">
        <w:rPr>
          <w:rFonts w:ascii="Arial" w:hAnsi="Arial" w:cs="Arial"/>
          <w:color w:val="000000" w:themeColor="text1"/>
          <w:sz w:val="22"/>
          <w:szCs w:val="22"/>
        </w:rPr>
        <w:t>październik 2020 r.</w:t>
      </w:r>
      <w:r w:rsidR="00E13367" w:rsidRPr="009B78DA">
        <w:rPr>
          <w:rFonts w:ascii="Arial" w:hAnsi="Arial" w:cs="Arial"/>
          <w:color w:val="000000" w:themeColor="text1"/>
          <w:sz w:val="22"/>
          <w:szCs w:val="22"/>
        </w:rPr>
        <w:t>)</w:t>
      </w:r>
      <w:bookmarkEnd w:id="124"/>
      <w:r w:rsidRPr="009B78DA">
        <w:rPr>
          <w:rFonts w:ascii="Arial" w:hAnsi="Arial" w:cs="Arial"/>
          <w:color w:val="000000" w:themeColor="text1"/>
          <w:sz w:val="22"/>
          <w:szCs w:val="22"/>
        </w:rPr>
        <w:t xml:space="preserve">, </w:t>
      </w:r>
      <w:bookmarkEnd w:id="123"/>
      <w:r w:rsidRPr="009B78DA">
        <w:rPr>
          <w:rFonts w:ascii="Arial" w:hAnsi="Arial" w:cs="Arial"/>
          <w:color w:val="000000" w:themeColor="text1"/>
          <w:sz w:val="22"/>
          <w:szCs w:val="22"/>
        </w:rPr>
        <w:t>realizujących połączenia autobusowe zarówno wewnątrz województwa jaki poza jego granicami</w:t>
      </w:r>
      <w:r w:rsidR="004B4979" w:rsidRPr="009B78DA">
        <w:rPr>
          <w:rFonts w:ascii="Arial" w:hAnsi="Arial" w:cs="Arial"/>
          <w:color w:val="000000" w:themeColor="text1"/>
          <w:sz w:val="22"/>
          <w:szCs w:val="22"/>
        </w:rPr>
        <w:t>.</w:t>
      </w:r>
    </w:p>
    <w:p w14:paraId="4E7B295E" w14:textId="3B6F94C5" w:rsidR="005E73BD" w:rsidRPr="009B78DA" w:rsidRDefault="005E73BD" w:rsidP="0054793A">
      <w:pPr>
        <w:pStyle w:val="Akapitzlist"/>
        <w:numPr>
          <w:ilvl w:val="0"/>
          <w:numId w:val="54"/>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Regionami zagrożonymi wykluczeniem z punk</w:t>
      </w:r>
      <w:r w:rsidR="00203B56" w:rsidRPr="009B78DA">
        <w:rPr>
          <w:rFonts w:ascii="Arial" w:hAnsi="Arial" w:cs="Arial"/>
          <w:color w:val="000000" w:themeColor="text1"/>
          <w:sz w:val="22"/>
          <w:szCs w:val="22"/>
        </w:rPr>
        <w:t>t</w:t>
      </w:r>
      <w:r w:rsidRPr="009B78DA">
        <w:rPr>
          <w:rFonts w:ascii="Arial" w:hAnsi="Arial" w:cs="Arial"/>
          <w:color w:val="000000" w:themeColor="text1"/>
          <w:sz w:val="22"/>
          <w:szCs w:val="22"/>
        </w:rPr>
        <w:t xml:space="preserve">u widzenia transportu zbiorowego są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w województwie: Bieszczady, zwłaszcza w części na południe od zbiornika solińskiego, obszar pomiędzy Sanokiem i Przemyślem wzdłuż Sanu po obydwu jego stronach, Beskid Niski, powiat lubaczowski i północna część powiatu jarosławskiego,</w:t>
      </w:r>
      <w:r w:rsidR="00405B0F" w:rsidRPr="009B78DA">
        <w:rPr>
          <w:rFonts w:ascii="Arial" w:hAnsi="Arial" w:cs="Arial"/>
          <w:color w:val="000000" w:themeColor="text1"/>
          <w:sz w:val="22"/>
          <w:szCs w:val="22"/>
        </w:rPr>
        <w:t xml:space="preserve"> powiat leżajski oraz</w:t>
      </w:r>
      <w:r w:rsidRPr="009B78DA">
        <w:rPr>
          <w:rFonts w:ascii="Arial" w:hAnsi="Arial" w:cs="Arial"/>
          <w:color w:val="000000" w:themeColor="text1"/>
          <w:sz w:val="22"/>
          <w:szCs w:val="22"/>
        </w:rPr>
        <w:t xml:space="preserve"> pojedyncze gminy w strefach pomiędzy D</w:t>
      </w:r>
      <w:r w:rsidR="0054793A">
        <w:rPr>
          <w:rFonts w:ascii="Arial" w:hAnsi="Arial" w:cs="Arial"/>
          <w:color w:val="000000" w:themeColor="text1"/>
          <w:sz w:val="22"/>
          <w:szCs w:val="22"/>
        </w:rPr>
        <w:t xml:space="preserve">ębicą, Mielcem </w:t>
      </w:r>
      <w:r w:rsidR="0054793A">
        <w:rPr>
          <w:rFonts w:ascii="Arial" w:hAnsi="Arial" w:cs="Arial"/>
          <w:color w:val="000000" w:themeColor="text1"/>
          <w:sz w:val="22"/>
          <w:szCs w:val="22"/>
        </w:rPr>
        <w:br/>
        <w:t>i Tarnobrzegiem.</w:t>
      </w:r>
    </w:p>
    <w:p w14:paraId="65EEE2C6" w14:textId="77777777" w:rsidR="005E73BD" w:rsidRPr="009B78DA" w:rsidRDefault="005E73BD" w:rsidP="0054793A">
      <w:pPr>
        <w:pStyle w:val="Akapitzlist"/>
        <w:numPr>
          <w:ilvl w:val="0"/>
          <w:numId w:val="54"/>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Zauważalna jest tendencja spadkowa w przewozie pasażerów w transporcie autobusowym międzymiastowym, powodem tego może być wzrastająca liczba samochodów osobowych stanowiąca duże zagroż</w:t>
      </w:r>
      <w:r w:rsidR="00F41F7A" w:rsidRPr="009B78DA">
        <w:rPr>
          <w:rFonts w:ascii="Arial" w:hAnsi="Arial" w:cs="Arial"/>
          <w:color w:val="000000" w:themeColor="text1"/>
          <w:sz w:val="22"/>
          <w:szCs w:val="22"/>
        </w:rPr>
        <w:t>enie dla transportu zbiorowego.</w:t>
      </w:r>
    </w:p>
    <w:p w14:paraId="150B7AFB" w14:textId="557350BC" w:rsidR="00FC3447" w:rsidRPr="009B78DA" w:rsidRDefault="00FC3447" w:rsidP="0054793A">
      <w:pPr>
        <w:pStyle w:val="Legenda"/>
        <w:keepNext/>
        <w:rPr>
          <w:rFonts w:ascii="Arial" w:hAnsi="Arial" w:cs="Arial"/>
          <w:i w:val="0"/>
          <w:color w:val="000000" w:themeColor="text1"/>
          <w:sz w:val="22"/>
          <w:szCs w:val="22"/>
        </w:rPr>
      </w:pPr>
      <w:bookmarkStart w:id="125" w:name="_Toc146785735"/>
      <w:bookmarkStart w:id="126" w:name="_Hlk76732222"/>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Liczba wydanych zezwoleń dla linii autobusowych oraz liczba przewoźników realizujących połączenia na terenie województwa podkarpackiego w 2020 r.</w:t>
      </w:r>
      <w:bookmarkEnd w:id="125"/>
    </w:p>
    <w:tbl>
      <w:tblPr>
        <w:tblStyle w:val="Tabela-Siatka"/>
        <w:tblW w:w="5000" w:type="pct"/>
        <w:tblLook w:val="04A0" w:firstRow="1" w:lastRow="0" w:firstColumn="1" w:lastColumn="0" w:noHBand="0" w:noVBand="1"/>
        <w:tblCaption w:val="Tabela 5. Ilość wydanych zezwoleń dla linii autobusowych oraz liczba przewoźników realizujących połączenia na terenie województwa podkarpackiego w 2020 r."/>
        <w:tblDescription w:val="Tabela zawiera Ilość wydanych zezwoleń oraz liczba przewoźników, Wartość"/>
      </w:tblPr>
      <w:tblGrid>
        <w:gridCol w:w="7603"/>
        <w:gridCol w:w="1459"/>
      </w:tblGrid>
      <w:tr w:rsidR="006F4FD2" w:rsidRPr="009B78DA" w14:paraId="09BCC826" w14:textId="77777777" w:rsidTr="0054793A">
        <w:trPr>
          <w:tblHeader/>
        </w:trPr>
        <w:tc>
          <w:tcPr>
            <w:tcW w:w="4195" w:type="pct"/>
            <w:shd w:val="clear" w:color="auto" w:fill="DEEAF6" w:themeFill="accent1" w:themeFillTint="33"/>
          </w:tcPr>
          <w:p w14:paraId="4DF7AC66" w14:textId="62A9F362" w:rsidR="00C716CB" w:rsidRPr="009B78DA" w:rsidRDefault="00313D22" w:rsidP="00FF744B">
            <w:pPr>
              <w:pStyle w:val="Legenda"/>
              <w:keepNext/>
              <w:spacing w:after="0" w:line="276" w:lineRule="auto"/>
              <w:jc w:val="center"/>
              <w:rPr>
                <w:rFonts w:ascii="Arial" w:hAnsi="Arial" w:cs="Arial"/>
                <w:b/>
                <w:bCs/>
                <w:i w:val="0"/>
                <w:color w:val="000000" w:themeColor="text1"/>
                <w:sz w:val="22"/>
                <w:szCs w:val="22"/>
              </w:rPr>
            </w:pPr>
            <w:r w:rsidRPr="009B78DA">
              <w:rPr>
                <w:rFonts w:ascii="Arial" w:hAnsi="Arial" w:cs="Arial"/>
                <w:b/>
                <w:bCs/>
                <w:i w:val="0"/>
                <w:color w:val="000000" w:themeColor="text1"/>
                <w:sz w:val="22"/>
                <w:szCs w:val="22"/>
              </w:rPr>
              <w:t>Liczba</w:t>
            </w:r>
            <w:r w:rsidR="00C716CB" w:rsidRPr="009B78DA">
              <w:rPr>
                <w:rFonts w:ascii="Arial" w:hAnsi="Arial" w:cs="Arial"/>
                <w:b/>
                <w:bCs/>
                <w:i w:val="0"/>
                <w:color w:val="000000" w:themeColor="text1"/>
                <w:sz w:val="22"/>
                <w:szCs w:val="22"/>
              </w:rPr>
              <w:t xml:space="preserve"> wydanych zezwoleń oraz liczba przewoźników</w:t>
            </w:r>
          </w:p>
        </w:tc>
        <w:tc>
          <w:tcPr>
            <w:tcW w:w="805" w:type="pct"/>
            <w:shd w:val="clear" w:color="auto" w:fill="DEEAF6" w:themeFill="accent1" w:themeFillTint="33"/>
          </w:tcPr>
          <w:p w14:paraId="319DB1DA" w14:textId="77777777" w:rsidR="00C716CB" w:rsidRPr="009B78DA" w:rsidRDefault="00C716CB" w:rsidP="00FF744B">
            <w:pPr>
              <w:pStyle w:val="Legenda"/>
              <w:keepNext/>
              <w:spacing w:after="0" w:line="276" w:lineRule="auto"/>
              <w:jc w:val="center"/>
              <w:rPr>
                <w:rFonts w:ascii="Arial" w:hAnsi="Arial" w:cs="Arial"/>
                <w:b/>
                <w:bCs/>
                <w:i w:val="0"/>
                <w:color w:val="000000" w:themeColor="text1"/>
                <w:sz w:val="22"/>
                <w:szCs w:val="22"/>
              </w:rPr>
            </w:pPr>
            <w:r w:rsidRPr="009B78DA">
              <w:rPr>
                <w:rFonts w:ascii="Arial" w:hAnsi="Arial" w:cs="Arial"/>
                <w:b/>
                <w:bCs/>
                <w:i w:val="0"/>
                <w:color w:val="000000" w:themeColor="text1"/>
                <w:sz w:val="22"/>
                <w:szCs w:val="22"/>
              </w:rPr>
              <w:t>Wartość</w:t>
            </w:r>
          </w:p>
        </w:tc>
      </w:tr>
      <w:tr w:rsidR="006F4FD2" w:rsidRPr="009B78DA" w14:paraId="61060302" w14:textId="77777777" w:rsidTr="0054793A">
        <w:tc>
          <w:tcPr>
            <w:tcW w:w="4195" w:type="pct"/>
          </w:tcPr>
          <w:p w14:paraId="2A570604" w14:textId="77777777" w:rsidR="00C716CB" w:rsidRPr="009B78DA" w:rsidRDefault="00C716CB" w:rsidP="00F45E35">
            <w:pPr>
              <w:pStyle w:val="Legenda"/>
              <w:keepNext/>
              <w:spacing w:after="0" w:line="276" w:lineRule="auto"/>
              <w:jc w:val="both"/>
              <w:rPr>
                <w:rFonts w:ascii="Arial" w:hAnsi="Arial" w:cs="Arial"/>
                <w:i w:val="0"/>
                <w:color w:val="000000" w:themeColor="text1"/>
                <w:sz w:val="22"/>
                <w:szCs w:val="22"/>
              </w:rPr>
            </w:pPr>
            <w:r w:rsidRPr="009B78DA">
              <w:rPr>
                <w:rFonts w:ascii="Arial" w:hAnsi="Arial" w:cs="Arial"/>
                <w:i w:val="0"/>
                <w:color w:val="000000" w:themeColor="text1"/>
                <w:sz w:val="22"/>
                <w:szCs w:val="22"/>
              </w:rPr>
              <w:t>Liczba przewoźników ogółem</w:t>
            </w:r>
          </w:p>
        </w:tc>
        <w:tc>
          <w:tcPr>
            <w:tcW w:w="805" w:type="pct"/>
          </w:tcPr>
          <w:p w14:paraId="678E815F" w14:textId="77777777" w:rsidR="00C716CB" w:rsidRPr="009B78DA" w:rsidRDefault="00C716CB" w:rsidP="00FF744B">
            <w:pPr>
              <w:pStyle w:val="Legenda"/>
              <w:keepNext/>
              <w:spacing w:after="0" w:line="276" w:lineRule="auto"/>
              <w:jc w:val="center"/>
              <w:rPr>
                <w:rFonts w:ascii="Arial" w:hAnsi="Arial" w:cs="Arial"/>
                <w:i w:val="0"/>
                <w:color w:val="000000" w:themeColor="text1"/>
                <w:sz w:val="22"/>
                <w:szCs w:val="22"/>
              </w:rPr>
            </w:pPr>
            <w:r w:rsidRPr="009B78DA">
              <w:rPr>
                <w:rFonts w:ascii="Arial" w:hAnsi="Arial" w:cs="Arial"/>
                <w:i w:val="0"/>
                <w:color w:val="000000" w:themeColor="text1"/>
                <w:sz w:val="22"/>
                <w:szCs w:val="22"/>
              </w:rPr>
              <w:t>108</w:t>
            </w:r>
          </w:p>
        </w:tc>
      </w:tr>
      <w:tr w:rsidR="006F4FD2" w:rsidRPr="009B78DA" w14:paraId="5DE4C6BC" w14:textId="77777777" w:rsidTr="0054793A">
        <w:tc>
          <w:tcPr>
            <w:tcW w:w="4195" w:type="pct"/>
          </w:tcPr>
          <w:p w14:paraId="3EAE5A57" w14:textId="55B25B54" w:rsidR="00C716CB" w:rsidRPr="009B78DA" w:rsidRDefault="00C716CB" w:rsidP="00F45E35">
            <w:pPr>
              <w:pStyle w:val="Legenda"/>
              <w:keepNext/>
              <w:spacing w:after="0" w:line="276" w:lineRule="auto"/>
              <w:jc w:val="both"/>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Łączna </w:t>
            </w:r>
            <w:r w:rsidR="00FF744B" w:rsidRPr="009B78DA">
              <w:rPr>
                <w:rFonts w:ascii="Arial" w:hAnsi="Arial" w:cs="Arial"/>
                <w:i w:val="0"/>
                <w:color w:val="000000" w:themeColor="text1"/>
                <w:sz w:val="22"/>
                <w:szCs w:val="22"/>
              </w:rPr>
              <w:t xml:space="preserve">liczba </w:t>
            </w:r>
            <w:r w:rsidRPr="009B78DA">
              <w:rPr>
                <w:rFonts w:ascii="Arial" w:hAnsi="Arial" w:cs="Arial"/>
                <w:i w:val="0"/>
                <w:color w:val="000000" w:themeColor="text1"/>
                <w:sz w:val="22"/>
                <w:szCs w:val="22"/>
              </w:rPr>
              <w:t>wydanych zezwoleń</w:t>
            </w:r>
          </w:p>
        </w:tc>
        <w:tc>
          <w:tcPr>
            <w:tcW w:w="805" w:type="pct"/>
          </w:tcPr>
          <w:p w14:paraId="41CC83B0" w14:textId="77777777" w:rsidR="00C716CB" w:rsidRPr="009B78DA" w:rsidRDefault="00C716CB" w:rsidP="00FF744B">
            <w:pPr>
              <w:pStyle w:val="Legenda"/>
              <w:keepNext/>
              <w:spacing w:after="0" w:line="276" w:lineRule="auto"/>
              <w:jc w:val="center"/>
              <w:rPr>
                <w:rFonts w:ascii="Arial" w:hAnsi="Arial" w:cs="Arial"/>
                <w:i w:val="0"/>
                <w:color w:val="000000" w:themeColor="text1"/>
                <w:sz w:val="22"/>
                <w:szCs w:val="22"/>
              </w:rPr>
            </w:pPr>
            <w:r w:rsidRPr="009B78DA">
              <w:rPr>
                <w:rFonts w:ascii="Arial" w:hAnsi="Arial" w:cs="Arial"/>
                <w:i w:val="0"/>
                <w:color w:val="000000" w:themeColor="text1"/>
                <w:sz w:val="22"/>
                <w:szCs w:val="22"/>
              </w:rPr>
              <w:t>492</w:t>
            </w:r>
          </w:p>
        </w:tc>
      </w:tr>
      <w:tr w:rsidR="006F4FD2" w:rsidRPr="009B78DA" w14:paraId="1CD3CC52" w14:textId="77777777" w:rsidTr="0054793A">
        <w:tc>
          <w:tcPr>
            <w:tcW w:w="4195" w:type="pct"/>
          </w:tcPr>
          <w:p w14:paraId="2CA9054C" w14:textId="2D06C887" w:rsidR="00C716CB" w:rsidRPr="009B78DA" w:rsidRDefault="00FF744B" w:rsidP="00F45E35">
            <w:pPr>
              <w:pStyle w:val="Legenda"/>
              <w:keepNext/>
              <w:spacing w:after="0" w:line="276" w:lineRule="auto"/>
              <w:jc w:val="both"/>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Liczba </w:t>
            </w:r>
            <w:r w:rsidR="00C716CB" w:rsidRPr="009B78DA">
              <w:rPr>
                <w:rFonts w:ascii="Arial" w:hAnsi="Arial" w:cs="Arial"/>
                <w:i w:val="0"/>
                <w:color w:val="000000" w:themeColor="text1"/>
                <w:sz w:val="22"/>
                <w:szCs w:val="22"/>
              </w:rPr>
              <w:t>wydanych zezwoleń na połączenia z/do Rzeszowa</w:t>
            </w:r>
          </w:p>
        </w:tc>
        <w:tc>
          <w:tcPr>
            <w:tcW w:w="805" w:type="pct"/>
          </w:tcPr>
          <w:p w14:paraId="6B3CF6C5" w14:textId="77777777" w:rsidR="00C716CB" w:rsidRPr="009B78DA" w:rsidRDefault="00C716CB" w:rsidP="00FF744B">
            <w:pPr>
              <w:pStyle w:val="Legenda"/>
              <w:keepNext/>
              <w:spacing w:after="0" w:line="276" w:lineRule="auto"/>
              <w:jc w:val="center"/>
              <w:rPr>
                <w:rFonts w:ascii="Arial" w:hAnsi="Arial" w:cs="Arial"/>
                <w:i w:val="0"/>
                <w:color w:val="000000" w:themeColor="text1"/>
                <w:sz w:val="22"/>
                <w:szCs w:val="22"/>
              </w:rPr>
            </w:pPr>
            <w:r w:rsidRPr="009B78DA">
              <w:rPr>
                <w:rFonts w:ascii="Arial" w:hAnsi="Arial" w:cs="Arial"/>
                <w:i w:val="0"/>
                <w:color w:val="000000" w:themeColor="text1"/>
                <w:sz w:val="22"/>
                <w:szCs w:val="22"/>
              </w:rPr>
              <w:t>136</w:t>
            </w:r>
          </w:p>
        </w:tc>
      </w:tr>
      <w:tr w:rsidR="006F4FD2" w:rsidRPr="009B78DA" w14:paraId="3BE05AC4" w14:textId="77777777" w:rsidTr="0054793A">
        <w:tc>
          <w:tcPr>
            <w:tcW w:w="4195" w:type="pct"/>
          </w:tcPr>
          <w:p w14:paraId="045216DF" w14:textId="22D963C2" w:rsidR="00C716CB" w:rsidRPr="009B78DA" w:rsidRDefault="00FF744B" w:rsidP="00F45E35">
            <w:pPr>
              <w:pStyle w:val="Legenda"/>
              <w:keepNext/>
              <w:spacing w:after="0" w:line="276" w:lineRule="auto"/>
              <w:jc w:val="both"/>
              <w:rPr>
                <w:rFonts w:ascii="Arial" w:hAnsi="Arial" w:cs="Arial"/>
                <w:i w:val="0"/>
                <w:color w:val="000000" w:themeColor="text1"/>
                <w:sz w:val="22"/>
                <w:szCs w:val="22"/>
              </w:rPr>
            </w:pPr>
            <w:r w:rsidRPr="009B78DA">
              <w:rPr>
                <w:rFonts w:ascii="Arial" w:hAnsi="Arial" w:cs="Arial"/>
                <w:i w:val="0"/>
                <w:color w:val="000000" w:themeColor="text1"/>
                <w:sz w:val="22"/>
                <w:szCs w:val="22"/>
              </w:rPr>
              <w:t>Liczba</w:t>
            </w:r>
            <w:r w:rsidR="00C716CB" w:rsidRPr="009B78DA">
              <w:rPr>
                <w:rFonts w:ascii="Arial" w:hAnsi="Arial" w:cs="Arial"/>
                <w:i w:val="0"/>
                <w:color w:val="000000" w:themeColor="text1"/>
                <w:sz w:val="22"/>
                <w:szCs w:val="22"/>
              </w:rPr>
              <w:t xml:space="preserve"> wydanych zezwoleń na przejazd przez Rzeszów</w:t>
            </w:r>
          </w:p>
        </w:tc>
        <w:tc>
          <w:tcPr>
            <w:tcW w:w="805" w:type="pct"/>
          </w:tcPr>
          <w:p w14:paraId="5C441B83" w14:textId="77777777" w:rsidR="00C716CB" w:rsidRPr="009B78DA" w:rsidRDefault="00C716CB" w:rsidP="00FF744B">
            <w:pPr>
              <w:pStyle w:val="Legenda"/>
              <w:keepNext/>
              <w:spacing w:after="0" w:line="276" w:lineRule="auto"/>
              <w:jc w:val="center"/>
              <w:rPr>
                <w:rFonts w:ascii="Arial" w:hAnsi="Arial" w:cs="Arial"/>
                <w:i w:val="0"/>
                <w:color w:val="000000" w:themeColor="text1"/>
                <w:sz w:val="22"/>
                <w:szCs w:val="22"/>
              </w:rPr>
            </w:pPr>
            <w:r w:rsidRPr="009B78DA">
              <w:rPr>
                <w:rFonts w:ascii="Arial" w:hAnsi="Arial" w:cs="Arial"/>
                <w:i w:val="0"/>
                <w:color w:val="000000" w:themeColor="text1"/>
                <w:sz w:val="22"/>
                <w:szCs w:val="22"/>
              </w:rPr>
              <w:t>11</w:t>
            </w:r>
          </w:p>
        </w:tc>
      </w:tr>
    </w:tbl>
    <w:p w14:paraId="6F0BFDE0" w14:textId="4B7BAF6D" w:rsidR="00C641A4" w:rsidRPr="009B78DA" w:rsidRDefault="00C22540" w:rsidP="0054793A">
      <w:pPr>
        <w:spacing w:before="120"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Diagnoza stanu systemu transportowego w województwie podkarpackim, PBPP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w Rzeszowie, 2020</w:t>
      </w:r>
      <w:r w:rsidR="001E00EE" w:rsidRPr="009B78DA">
        <w:rPr>
          <w:rFonts w:ascii="Arial" w:hAnsi="Arial" w:cs="Arial"/>
          <w:color w:val="000000" w:themeColor="text1"/>
          <w:sz w:val="22"/>
          <w:szCs w:val="22"/>
        </w:rPr>
        <w:t>/2021</w:t>
      </w:r>
      <w:r w:rsidRPr="009B78DA">
        <w:rPr>
          <w:rFonts w:ascii="Arial" w:hAnsi="Arial" w:cs="Arial"/>
          <w:color w:val="000000" w:themeColor="text1"/>
          <w:sz w:val="22"/>
          <w:szCs w:val="22"/>
        </w:rPr>
        <w:t>.</w:t>
      </w:r>
    </w:p>
    <w:p w14:paraId="67425505" w14:textId="7DC3048C" w:rsidR="00C641A4" w:rsidRPr="009B78DA" w:rsidRDefault="00C22540" w:rsidP="0054793A">
      <w:pPr>
        <w:pStyle w:val="Akapitzlist"/>
        <w:numPr>
          <w:ilvl w:val="0"/>
          <w:numId w:val="54"/>
        </w:numPr>
        <w:spacing w:after="12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W zakresie transportu autobusowego na terenie województwa podkarpackiego, na podstawie udzielonych przez Marszałka Województwa Podkarpackiego zezwoleń dla zorganizowania transportu zbiorowego osób dział</w:t>
      </w:r>
      <w:r w:rsidR="004B4979" w:rsidRPr="009B78DA">
        <w:rPr>
          <w:rFonts w:ascii="Arial" w:hAnsi="Arial" w:cs="Arial"/>
          <w:color w:val="000000" w:themeColor="text1"/>
          <w:sz w:val="22"/>
          <w:szCs w:val="22"/>
        </w:rPr>
        <w:t>ają przewoźnicy</w:t>
      </w:r>
      <w:r w:rsidRPr="009B78DA">
        <w:rPr>
          <w:rFonts w:ascii="Arial" w:hAnsi="Arial" w:cs="Arial"/>
          <w:color w:val="000000" w:themeColor="text1"/>
          <w:sz w:val="22"/>
          <w:szCs w:val="22"/>
        </w:rPr>
        <w:t>, realizujący połączenia autobusowe m. in. do Krakowa, Lublina, Kielc, Warszawy czy Wrocławia. Według danych z 2020 roku na obszarze województwa łącznie wydano 492 zezwolenia. Jednak w porównaniu z rokiem 2015 liczba ta uległa znaczącemu zmniejszeniu. Według dostępnych danych wydano wówczas 687 zezwoleń.</w:t>
      </w:r>
    </w:p>
    <w:p w14:paraId="37575DEB" w14:textId="24630721" w:rsidR="00404B25" w:rsidRPr="0054793A" w:rsidRDefault="00404B25" w:rsidP="0054793A">
      <w:pPr>
        <w:pStyle w:val="Akapitzlist"/>
        <w:numPr>
          <w:ilvl w:val="0"/>
          <w:numId w:val="54"/>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Znacząca </w:t>
      </w:r>
      <w:r w:rsidR="00222B84" w:rsidRPr="009B78DA">
        <w:rPr>
          <w:rFonts w:ascii="Arial" w:hAnsi="Arial" w:cs="Arial"/>
          <w:color w:val="000000" w:themeColor="text1"/>
          <w:sz w:val="22"/>
          <w:szCs w:val="22"/>
        </w:rPr>
        <w:t>liczba</w:t>
      </w:r>
      <w:r w:rsidRPr="009B78DA">
        <w:rPr>
          <w:rFonts w:ascii="Arial" w:hAnsi="Arial" w:cs="Arial"/>
          <w:color w:val="000000" w:themeColor="text1"/>
          <w:sz w:val="22"/>
          <w:szCs w:val="22"/>
        </w:rPr>
        <w:t xml:space="preserve"> ww. wydanych zezwoleń w 2020 roku (niemal 30% ze wszystkich udzielonych przez Marszałka) dotyczy połączeń rozpoczynających lub kończących się w Rzeszowie, co świadczy o wysokim stopniu skomunikowania rdzenia Rzeszowskiego Obszaru Funkcjonalnego z pozostałym obszarem województwa. Dodatkowo przez centrum przechodzi 11 połączeń, gdzie przystanek w Rzeszowie jest przystankiem tranzytowym.</w:t>
      </w:r>
    </w:p>
    <w:p w14:paraId="44DEF4BD" w14:textId="41E6C9A4" w:rsidR="00693FD7" w:rsidRPr="009B78DA" w:rsidRDefault="00693FD7" w:rsidP="0054793A">
      <w:pPr>
        <w:pStyle w:val="Legenda"/>
        <w:keepNext/>
        <w:rPr>
          <w:rFonts w:ascii="Arial" w:hAnsi="Arial" w:cs="Arial"/>
          <w:i w:val="0"/>
          <w:color w:val="000000" w:themeColor="text1"/>
          <w:sz w:val="22"/>
          <w:szCs w:val="22"/>
        </w:rPr>
      </w:pPr>
      <w:bookmarkStart w:id="127" w:name="_Toc146785736"/>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Lista przewoźników o największym udziale w organizacji połączeń transportu zbiorowego na terenie województwa podkarpackiego w 2020 r.</w:t>
      </w:r>
      <w:bookmarkEnd w:id="127"/>
    </w:p>
    <w:tbl>
      <w:tblPr>
        <w:tblStyle w:val="Tabela-Siatka"/>
        <w:tblW w:w="5000" w:type="pct"/>
        <w:tblLook w:val="04A0" w:firstRow="1" w:lastRow="0" w:firstColumn="1" w:lastColumn="0" w:noHBand="0" w:noVBand="1"/>
        <w:tblCaption w:val="Tabela 6. Lista przewoźników o największym udziale w organizacji połączeń transportu zbiorowego na terenie województwa podkarpackiego w 2020 r."/>
        <w:tblDescription w:val="Tabela zawiera Przewoźnik i Liczba udzielonych zezwoleń"/>
      </w:tblPr>
      <w:tblGrid>
        <w:gridCol w:w="7366"/>
        <w:gridCol w:w="1696"/>
      </w:tblGrid>
      <w:tr w:rsidR="006F4FD2" w:rsidRPr="009B78DA" w14:paraId="64054EA8" w14:textId="77777777" w:rsidTr="0054793A">
        <w:trPr>
          <w:tblHeader/>
        </w:trPr>
        <w:tc>
          <w:tcPr>
            <w:tcW w:w="4064" w:type="pct"/>
            <w:shd w:val="clear" w:color="auto" w:fill="DEEAF6" w:themeFill="accent1" w:themeFillTint="33"/>
          </w:tcPr>
          <w:p w14:paraId="3A1ABAF2" w14:textId="77777777" w:rsidR="00C716CB" w:rsidRPr="009B78DA" w:rsidRDefault="00C716CB" w:rsidP="003A5C1E">
            <w:pPr>
              <w:spacing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Przewoźnik</w:t>
            </w:r>
          </w:p>
        </w:tc>
        <w:tc>
          <w:tcPr>
            <w:tcW w:w="936" w:type="pct"/>
            <w:shd w:val="clear" w:color="auto" w:fill="DEEAF6" w:themeFill="accent1" w:themeFillTint="33"/>
          </w:tcPr>
          <w:p w14:paraId="2E829E72" w14:textId="77777777" w:rsidR="00C716CB" w:rsidRPr="009B78DA" w:rsidRDefault="00C716CB" w:rsidP="003A5C1E">
            <w:pPr>
              <w:spacing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Liczba udzielonych zezwoleń</w:t>
            </w:r>
          </w:p>
        </w:tc>
      </w:tr>
      <w:tr w:rsidR="006F4FD2" w:rsidRPr="009B78DA" w14:paraId="233A1C07" w14:textId="77777777" w:rsidTr="0054793A">
        <w:tc>
          <w:tcPr>
            <w:tcW w:w="4064" w:type="pct"/>
          </w:tcPr>
          <w:p w14:paraId="3AA77BAB" w14:textId="77777777" w:rsidR="00C716CB" w:rsidRPr="009B78DA" w:rsidRDefault="00C716CB" w:rsidP="0035478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Przedsiębiorstwo Komunikacji Samochodowej w Rzeszowie Spółka Akcyjna</w:t>
            </w:r>
          </w:p>
        </w:tc>
        <w:tc>
          <w:tcPr>
            <w:tcW w:w="936" w:type="pct"/>
          </w:tcPr>
          <w:p w14:paraId="46401388" w14:textId="77777777" w:rsidR="00C716CB" w:rsidRPr="009B78DA" w:rsidRDefault="00C716CB" w:rsidP="003A5C1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46</w:t>
            </w:r>
          </w:p>
        </w:tc>
      </w:tr>
      <w:tr w:rsidR="006F4FD2" w:rsidRPr="009B78DA" w14:paraId="0D401E01" w14:textId="77777777" w:rsidTr="0054793A">
        <w:tc>
          <w:tcPr>
            <w:tcW w:w="4064" w:type="pct"/>
          </w:tcPr>
          <w:p w14:paraId="0752074C" w14:textId="77777777" w:rsidR="00C716CB" w:rsidRPr="009B78DA" w:rsidRDefault="00C716CB" w:rsidP="0035478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Przedsiębiorstwo Komunikacji Samochodowej Sp. z o. o. w Leżajsku</w:t>
            </w:r>
          </w:p>
        </w:tc>
        <w:tc>
          <w:tcPr>
            <w:tcW w:w="936" w:type="pct"/>
          </w:tcPr>
          <w:p w14:paraId="70EE9E69" w14:textId="77777777" w:rsidR="00C716CB" w:rsidRPr="009B78DA" w:rsidRDefault="00C716CB" w:rsidP="003A5C1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44</w:t>
            </w:r>
          </w:p>
        </w:tc>
      </w:tr>
      <w:tr w:rsidR="006F4FD2" w:rsidRPr="009B78DA" w14:paraId="5D9AAD78" w14:textId="77777777" w:rsidTr="0054793A">
        <w:tc>
          <w:tcPr>
            <w:tcW w:w="4064" w:type="pct"/>
          </w:tcPr>
          <w:p w14:paraId="6FCBC994" w14:textId="77777777" w:rsidR="00C716CB" w:rsidRPr="009B78DA" w:rsidRDefault="00C716CB" w:rsidP="0035478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Przedsiębiorstwo Komunikacji Samochodowej Jarosław</w:t>
            </w:r>
          </w:p>
        </w:tc>
        <w:tc>
          <w:tcPr>
            <w:tcW w:w="936" w:type="pct"/>
          </w:tcPr>
          <w:p w14:paraId="78011BF6" w14:textId="77777777" w:rsidR="00C716CB" w:rsidRPr="009B78DA" w:rsidRDefault="00C716CB" w:rsidP="003A5C1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44</w:t>
            </w:r>
          </w:p>
        </w:tc>
      </w:tr>
      <w:tr w:rsidR="006F4FD2" w:rsidRPr="009B78DA" w14:paraId="2B34D6C7" w14:textId="77777777" w:rsidTr="0054793A">
        <w:tc>
          <w:tcPr>
            <w:tcW w:w="4064" w:type="pct"/>
          </w:tcPr>
          <w:p w14:paraId="11FDAD3D" w14:textId="77777777" w:rsidR="00C716CB" w:rsidRPr="009B78DA" w:rsidRDefault="00C716CB" w:rsidP="0035478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Przedsiębiorstwo Komunikacji Samochodowej w Stalowej Woli Spółka Akcyjna</w:t>
            </w:r>
          </w:p>
        </w:tc>
        <w:tc>
          <w:tcPr>
            <w:tcW w:w="936" w:type="pct"/>
          </w:tcPr>
          <w:p w14:paraId="4BEBAC11" w14:textId="77777777" w:rsidR="00C716CB" w:rsidRPr="009B78DA" w:rsidRDefault="00C716CB" w:rsidP="003A5C1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29</w:t>
            </w:r>
          </w:p>
        </w:tc>
      </w:tr>
      <w:tr w:rsidR="006F4FD2" w:rsidRPr="009B78DA" w14:paraId="095DC744" w14:textId="77777777" w:rsidTr="0054793A">
        <w:tc>
          <w:tcPr>
            <w:tcW w:w="4064" w:type="pct"/>
          </w:tcPr>
          <w:p w14:paraId="25205887" w14:textId="77777777" w:rsidR="00C716CB" w:rsidRPr="009B78DA" w:rsidRDefault="00C716CB" w:rsidP="0035478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Przedsiębiorstwo Komunikacji Samochodowej Tarnobrzeg Spółka z ograniczoną odpowiedzialnością</w:t>
            </w:r>
          </w:p>
        </w:tc>
        <w:tc>
          <w:tcPr>
            <w:tcW w:w="936" w:type="pct"/>
          </w:tcPr>
          <w:p w14:paraId="64F0EA6A" w14:textId="77777777" w:rsidR="00C716CB" w:rsidRPr="009B78DA" w:rsidRDefault="00C716CB" w:rsidP="003A5C1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24</w:t>
            </w:r>
          </w:p>
        </w:tc>
      </w:tr>
      <w:tr w:rsidR="006F4FD2" w:rsidRPr="009B78DA" w14:paraId="598BC377" w14:textId="77777777" w:rsidTr="0054793A">
        <w:tc>
          <w:tcPr>
            <w:tcW w:w="4064" w:type="pct"/>
          </w:tcPr>
          <w:p w14:paraId="6DB23E9D" w14:textId="77777777" w:rsidR="00C716CB" w:rsidRPr="009B78DA" w:rsidRDefault="00C716CB" w:rsidP="0035478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PGZK-JASIEL Sp. z o.o.</w:t>
            </w:r>
          </w:p>
        </w:tc>
        <w:tc>
          <w:tcPr>
            <w:tcW w:w="936" w:type="pct"/>
          </w:tcPr>
          <w:p w14:paraId="6A18EEBD" w14:textId="77777777" w:rsidR="00C716CB" w:rsidRPr="009B78DA" w:rsidRDefault="00C716CB" w:rsidP="003A5C1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19</w:t>
            </w:r>
          </w:p>
        </w:tc>
      </w:tr>
      <w:tr w:rsidR="006F4FD2" w:rsidRPr="009B78DA" w14:paraId="47854151" w14:textId="77777777" w:rsidTr="0054793A">
        <w:tc>
          <w:tcPr>
            <w:tcW w:w="4064" w:type="pct"/>
          </w:tcPr>
          <w:p w14:paraId="61D6A144" w14:textId="77777777" w:rsidR="00C716CB" w:rsidRPr="009B78DA" w:rsidRDefault="00C716CB" w:rsidP="0035478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Przedsiębiorstwo Komunikacji Samochodowej Jasło Spółka Akcyjna</w:t>
            </w:r>
          </w:p>
        </w:tc>
        <w:tc>
          <w:tcPr>
            <w:tcW w:w="936" w:type="pct"/>
          </w:tcPr>
          <w:p w14:paraId="01F5A345" w14:textId="77777777" w:rsidR="00C716CB" w:rsidRPr="009B78DA" w:rsidRDefault="00C716CB" w:rsidP="003A5C1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17</w:t>
            </w:r>
          </w:p>
        </w:tc>
      </w:tr>
      <w:tr w:rsidR="006F4FD2" w:rsidRPr="009B78DA" w14:paraId="5A1AA301" w14:textId="77777777" w:rsidTr="0054793A">
        <w:tc>
          <w:tcPr>
            <w:tcW w:w="4064" w:type="pct"/>
          </w:tcPr>
          <w:p w14:paraId="5E27A38F" w14:textId="77777777" w:rsidR="00C716CB" w:rsidRPr="009B78DA" w:rsidRDefault="00C716CB" w:rsidP="0035478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MARCEL Spółka z o. o. Sp. komandytowa</w:t>
            </w:r>
          </w:p>
        </w:tc>
        <w:tc>
          <w:tcPr>
            <w:tcW w:w="936" w:type="pct"/>
          </w:tcPr>
          <w:p w14:paraId="31BA7B58" w14:textId="77777777" w:rsidR="00C716CB" w:rsidRPr="009B78DA" w:rsidRDefault="00C716CB" w:rsidP="003A5C1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w:t>
            </w:r>
          </w:p>
        </w:tc>
      </w:tr>
      <w:tr w:rsidR="006F4FD2" w:rsidRPr="009B78DA" w14:paraId="3FF264A3" w14:textId="77777777" w:rsidTr="0054793A">
        <w:tc>
          <w:tcPr>
            <w:tcW w:w="4064" w:type="pct"/>
          </w:tcPr>
          <w:p w14:paraId="4AEC3481" w14:textId="77777777" w:rsidR="00C716CB" w:rsidRPr="009B78DA" w:rsidRDefault="00C716CB" w:rsidP="0035478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NEOBUS POLSKA Spółka z ograniczoną odpowiedzialnością</w:t>
            </w:r>
          </w:p>
        </w:tc>
        <w:tc>
          <w:tcPr>
            <w:tcW w:w="936" w:type="pct"/>
          </w:tcPr>
          <w:p w14:paraId="62A71C37" w14:textId="77777777" w:rsidR="00C716CB" w:rsidRPr="009B78DA" w:rsidRDefault="00C716CB" w:rsidP="003A5C1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14</w:t>
            </w:r>
          </w:p>
        </w:tc>
      </w:tr>
      <w:tr w:rsidR="006F4FD2" w:rsidRPr="009B78DA" w14:paraId="3D8BD784" w14:textId="77777777" w:rsidTr="0054793A">
        <w:tc>
          <w:tcPr>
            <w:tcW w:w="4064" w:type="pct"/>
          </w:tcPr>
          <w:p w14:paraId="510BA851" w14:textId="77777777" w:rsidR="00C716CB" w:rsidRPr="009B78DA" w:rsidRDefault="00C716CB" w:rsidP="0035478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Przedsiębiorstwo Komunikacji Samochodowej Sp. z o. o. w Przemyślu</w:t>
            </w:r>
          </w:p>
        </w:tc>
        <w:tc>
          <w:tcPr>
            <w:tcW w:w="936" w:type="pct"/>
          </w:tcPr>
          <w:p w14:paraId="474502DE" w14:textId="77777777" w:rsidR="00C716CB" w:rsidRPr="009B78DA" w:rsidRDefault="00C716CB" w:rsidP="003A5C1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11</w:t>
            </w:r>
          </w:p>
        </w:tc>
      </w:tr>
      <w:tr w:rsidR="006F4FD2" w:rsidRPr="009B78DA" w14:paraId="6B310B67" w14:textId="77777777" w:rsidTr="0054793A">
        <w:tc>
          <w:tcPr>
            <w:tcW w:w="4064" w:type="pct"/>
          </w:tcPr>
          <w:p w14:paraId="38D7A6C4" w14:textId="77777777" w:rsidR="00C716CB" w:rsidRPr="009B78DA" w:rsidRDefault="00C716CB" w:rsidP="00354781">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Transgaz TRAVEL</w:t>
            </w:r>
          </w:p>
        </w:tc>
        <w:tc>
          <w:tcPr>
            <w:tcW w:w="936" w:type="pct"/>
          </w:tcPr>
          <w:p w14:paraId="44256F71" w14:textId="77777777" w:rsidR="00C716CB" w:rsidRPr="009B78DA" w:rsidRDefault="00C716CB" w:rsidP="003A5C1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bl>
    <w:p w14:paraId="381452DD" w14:textId="0C051E4C" w:rsidR="00C641A4" w:rsidRPr="0054793A" w:rsidRDefault="00C22540" w:rsidP="0054793A">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Diagnoza stanu systemu transportowego w województwie podkarpackim, PBPP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w Rzeszowie, 2020</w:t>
      </w:r>
      <w:r w:rsidR="001E00EE" w:rsidRPr="009B78DA">
        <w:rPr>
          <w:rFonts w:ascii="Arial" w:hAnsi="Arial" w:cs="Arial"/>
          <w:color w:val="000000" w:themeColor="text1"/>
          <w:sz w:val="22"/>
          <w:szCs w:val="22"/>
        </w:rPr>
        <w:t>/2021</w:t>
      </w:r>
      <w:r w:rsidRPr="009B78DA">
        <w:rPr>
          <w:rFonts w:ascii="Arial" w:hAnsi="Arial" w:cs="Arial"/>
          <w:color w:val="000000" w:themeColor="text1"/>
          <w:sz w:val="22"/>
          <w:szCs w:val="22"/>
        </w:rPr>
        <w:t>.</w:t>
      </w:r>
    </w:p>
    <w:p w14:paraId="5CD2303E" w14:textId="65CE83F2" w:rsidR="00693FD7" w:rsidRPr="009B78DA" w:rsidRDefault="00693FD7" w:rsidP="0054793A">
      <w:pPr>
        <w:pStyle w:val="Legenda"/>
        <w:keepNext/>
        <w:rPr>
          <w:rFonts w:ascii="Arial" w:hAnsi="Arial" w:cs="Arial"/>
          <w:i w:val="0"/>
          <w:color w:val="000000" w:themeColor="text1"/>
          <w:sz w:val="22"/>
          <w:szCs w:val="22"/>
        </w:rPr>
      </w:pPr>
      <w:bookmarkStart w:id="128" w:name="_Toc146785659"/>
      <w:bookmarkEnd w:id="126"/>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30</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Identyfikacja miast z funkcjonującym lokalnym systemem zbiorowego transportu publicznego z uwzględnieniem rangi ośrodka</w:t>
      </w:r>
      <w:bookmarkEnd w:id="128"/>
    </w:p>
    <w:p w14:paraId="51FD5812" w14:textId="5AC0B9D1" w:rsidR="00C22540" w:rsidRPr="009B78DA" w:rsidRDefault="00C22540" w:rsidP="00C641A4">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0A6B45E3" wp14:editId="409E17AA">
            <wp:extent cx="4414911" cy="3971925"/>
            <wp:effectExtent l="0" t="0" r="5080" b="0"/>
            <wp:docPr id="38" name="Obraz 38" descr="Powyżej 4 Stalowa Wola, Mielec, Rzeszów, Jarosław, Krosno, Brzozów, Sanok, od 2,1 do 4 Ulanów, Majdan Królewski, Nowa Sarzyna, Leżajsk, Lubaczów, Pilzno, Dębica, Sędziszów Małopolski, Przeworsk, Kańczuga, Strzyżów, Przemyśl, Jasło, Iwonicz-Zdrój, Rymanów, Lesko, od 1 do 2 Tarnobrzeg, Nisko, Sieniawa, Cieszanów, Narol, Przecław, Ropczyce, Głogów Małopolski, Trzebownisko, Łańcut, Brzostek, Dynów, Dukla, Zagórz, Ustrzyki Dolne, Lutowiska, Poniżej 1 pozostałem gminy i miasta w województwie podkarpackim " title="Rysunek 30 Identyfikacja miast z funkcjonującym lokalnym systemem zbiorowego transportu publicznego z uwzględnieniem rangi ośro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ransport_kategoria_miast_AM"/>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4414911" cy="3971925"/>
                    </a:xfrm>
                    <a:prstGeom prst="rect">
                      <a:avLst/>
                    </a:prstGeom>
                    <a:noFill/>
                    <a:ln>
                      <a:noFill/>
                    </a:ln>
                  </pic:spPr>
                </pic:pic>
              </a:graphicData>
            </a:graphic>
          </wp:inline>
        </w:drawing>
      </w:r>
    </w:p>
    <w:p w14:paraId="7F288E44" w14:textId="57CFF4F0" w:rsidR="00C22540" w:rsidRPr="009B78DA" w:rsidRDefault="00C22540" w:rsidP="0054793A">
      <w:pPr>
        <w:spacing w:after="0" w:line="276" w:lineRule="auto"/>
        <w:rPr>
          <w:rFonts w:ascii="Arial" w:hAnsi="Arial" w:cs="Arial"/>
          <w:color w:val="000000" w:themeColor="text1"/>
          <w:sz w:val="22"/>
          <w:szCs w:val="22"/>
        </w:rPr>
      </w:pPr>
      <w:bookmarkStart w:id="129" w:name="_Hlk76732155"/>
      <w:r w:rsidRPr="009B78DA">
        <w:rPr>
          <w:rFonts w:ascii="Arial" w:hAnsi="Arial" w:cs="Arial"/>
          <w:color w:val="000000" w:themeColor="text1"/>
          <w:sz w:val="22"/>
          <w:szCs w:val="22"/>
        </w:rPr>
        <w:t xml:space="preserve">Źródło: </w:t>
      </w:r>
      <w:bookmarkEnd w:id="129"/>
      <w:r w:rsidR="000409E8" w:rsidRPr="009B78DA">
        <w:rPr>
          <w:rFonts w:ascii="Arial" w:hAnsi="Arial" w:cs="Arial"/>
          <w:color w:val="000000" w:themeColor="text1"/>
          <w:sz w:val="22"/>
          <w:szCs w:val="22"/>
        </w:rPr>
        <w:t>Opracowanie własne.</w:t>
      </w:r>
    </w:p>
    <w:p w14:paraId="1989241D" w14:textId="0BFEB69E" w:rsidR="00693FD7" w:rsidRPr="0054793A" w:rsidRDefault="00693FD7" w:rsidP="0054793A">
      <w:pPr>
        <w:pStyle w:val="Legenda"/>
        <w:keepNext/>
        <w:rPr>
          <w:rFonts w:ascii="Arial" w:hAnsi="Arial" w:cs="Arial"/>
          <w:i w:val="0"/>
          <w:color w:val="000000" w:themeColor="text1"/>
          <w:sz w:val="22"/>
          <w:szCs w:val="22"/>
        </w:rPr>
      </w:pPr>
      <w:bookmarkStart w:id="130" w:name="_Toc146785660"/>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Międzypowiatowe połączenia autobusowe w województwie podkarpackim </w:t>
      </w:r>
      <w:r w:rsidRPr="009B78DA">
        <w:rPr>
          <w:rFonts w:ascii="Arial" w:hAnsi="Arial" w:cs="Arial"/>
          <w:i w:val="0"/>
          <w:color w:val="000000" w:themeColor="text1"/>
          <w:sz w:val="22"/>
          <w:szCs w:val="22"/>
        </w:rPr>
        <w:br/>
        <w:t>w 2019 r.</w:t>
      </w:r>
      <w:bookmarkEnd w:id="130"/>
    </w:p>
    <w:p w14:paraId="1C0DB3C1" w14:textId="64FB136A" w:rsidR="005E73BD" w:rsidRPr="009B78DA" w:rsidRDefault="0081383A"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3896DBA" wp14:editId="461337ED">
            <wp:extent cx="3781425" cy="4128110"/>
            <wp:effectExtent l="0" t="0" r="0" b="6350"/>
            <wp:docPr id="26" name="Obraz 26" descr="Na głównym planie widać międzypowiatowe połączenia autobusowe 2019 powyżej 100 od Rzeszowa w stronę Niska, Kolbuszowej, Przemyśla,  Sanoka, Strzyżowa, Tyczyna. Od 75 do 100 w stronę od Kolbuszowej do Tarnobrzega, Ropczyce, okolice Jasła, Na trasie Jasło-Krosn. Od 50-75 okolice Iwonicz-Zdrój, Zagórz, Strzyżów-Krosno, Tyczyn-Błażowa-Dynów, Jasło-Frysztak-Krosno. OD 30-50 Tarnobrzeg-Stalowa Wola-Gorzyce, Łańcut-Leżajsk, Jarosław-Sieniawa, Dynów-Dubiecko, Kołaczyce-Brzostek-Pilzno, Lesko-Ustrzyki Dolne, Od 20-30 Od Rzeszowa w stronę Głogów małopolski- Kolbuszowa, Łańcut, Kańczuga, Od Dynowa do Przemyśla, Radymno, Ustrzyki Dolne, Jasło, Pozostałe połączenia od 10-20 i mniej niż 10" title="Rysunek 31 Międzypowiatowe połączenia autobusowe w województwie podkarpackim w 2019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793807" cy="4141627"/>
                    </a:xfrm>
                    <a:prstGeom prst="rect">
                      <a:avLst/>
                    </a:prstGeom>
                    <a:noFill/>
                  </pic:spPr>
                </pic:pic>
              </a:graphicData>
            </a:graphic>
          </wp:inline>
        </w:drawing>
      </w:r>
    </w:p>
    <w:p w14:paraId="54B5B400" w14:textId="77777777" w:rsidR="0081383A" w:rsidRPr="009B78DA" w:rsidRDefault="0081383A" w:rsidP="0054793A">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T. Komornicki, P. Rosik, P. Duma, S. Goliszek, B. Szejgiec-Kolenda, Raport końcowy. </w:t>
      </w:r>
      <w:r w:rsidRPr="009B78DA">
        <w:rPr>
          <w:rFonts w:ascii="Arial" w:hAnsi="Arial" w:cs="Arial"/>
          <w:i/>
          <w:color w:val="000000" w:themeColor="text1"/>
          <w:sz w:val="22"/>
          <w:szCs w:val="22"/>
        </w:rPr>
        <w:t>Rozwój transportu w województwie podkarpackim w perspektywie do 2030</w:t>
      </w:r>
      <w:r w:rsidRPr="009B78DA">
        <w:rPr>
          <w:rFonts w:ascii="Arial" w:hAnsi="Arial" w:cs="Arial"/>
          <w:color w:val="000000" w:themeColor="text1"/>
          <w:sz w:val="22"/>
          <w:szCs w:val="22"/>
        </w:rPr>
        <w:t>, Instytut Geografii i Przestrzennego Zagospodarowania im. Stanisława Leszczyckiego, Polska Akademia Nauk, Warszawa 2020.</w:t>
      </w:r>
    </w:p>
    <w:p w14:paraId="59C74960" w14:textId="77777777" w:rsidR="0081383A" w:rsidRPr="009B78DA" w:rsidRDefault="0081383A" w:rsidP="0054793A">
      <w:pPr>
        <w:pStyle w:val="Akapitzlist"/>
        <w:numPr>
          <w:ilvl w:val="0"/>
          <w:numId w:val="5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Współczynnik zarejestrowanych samochodów osobowych wzrasta na terenach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o ograniczonej dostępności komunikacji zbiorowej. Można stąd wnioskować, że posiadanie samochodu osobowego jest warunkowane niedostateczną obsługą przez transport zbiorowy.</w:t>
      </w:r>
    </w:p>
    <w:p w14:paraId="4D56DEDC" w14:textId="77777777" w:rsidR="0081383A" w:rsidRPr="009B78DA" w:rsidRDefault="0081383A" w:rsidP="0054793A">
      <w:pPr>
        <w:pStyle w:val="Akapitzlist"/>
        <w:numPr>
          <w:ilvl w:val="0"/>
          <w:numId w:val="5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Województwo podkarpackie charakteryzuje się słabo rozwiniętą siecią kolejowych połączeń pasażerskich. </w:t>
      </w:r>
    </w:p>
    <w:p w14:paraId="18B088D9" w14:textId="77777777" w:rsidR="0081383A" w:rsidRPr="009B78DA" w:rsidRDefault="0081383A" w:rsidP="0054793A">
      <w:pPr>
        <w:pStyle w:val="Akapitzlist"/>
        <w:numPr>
          <w:ilvl w:val="0"/>
          <w:numId w:val="5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Ze względu na wzrastające koszty realizacji usług przewozowych oraz coraz mniejsze zainteresowanie ofertą przewozową pasażerów dochodzi do likwidacji lub ograniczeń kursów na najrzadziej uczęszczanych trasach.</w:t>
      </w:r>
    </w:p>
    <w:p w14:paraId="477EA806" w14:textId="77777777" w:rsidR="0081383A" w:rsidRPr="009B78DA" w:rsidRDefault="0081383A" w:rsidP="0054793A">
      <w:pPr>
        <w:pStyle w:val="Akapitzlist"/>
        <w:numPr>
          <w:ilvl w:val="0"/>
          <w:numId w:val="5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Obszary województwa cechujące się złą dostępnością do transportu kolejowego obsługiwane są przez konkurencyjną komunikację autobusową, co czyni chęć poprawy dostępności do kolejowych usług pasażerskich rozwiązaniem nieefektownym i mało logicznym.</w:t>
      </w:r>
    </w:p>
    <w:p w14:paraId="6100DB0C" w14:textId="77777777" w:rsidR="0081383A" w:rsidRPr="009B78DA" w:rsidRDefault="0081383A" w:rsidP="0054793A">
      <w:pPr>
        <w:pStyle w:val="Akapitzlist"/>
        <w:numPr>
          <w:ilvl w:val="0"/>
          <w:numId w:val="5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Zarówno transport kolejowy jak i autobusowy odgrywają znaczną rolę na połączeniach ze stolicą województwa - miastem Rzeszów.</w:t>
      </w:r>
    </w:p>
    <w:p w14:paraId="78E058A3" w14:textId="149E4B91" w:rsidR="0081383A" w:rsidRPr="009B78DA" w:rsidRDefault="0081383A" w:rsidP="0054793A">
      <w:pPr>
        <w:pStyle w:val="Akapitzlist"/>
        <w:numPr>
          <w:ilvl w:val="0"/>
          <w:numId w:val="55"/>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Dobrze </w:t>
      </w:r>
      <w:bookmarkStart w:id="131" w:name="_Hlk92562187"/>
      <w:r w:rsidR="00E13367" w:rsidRPr="009B78DA">
        <w:rPr>
          <w:rFonts w:ascii="Arial" w:hAnsi="Arial" w:cs="Arial"/>
          <w:color w:val="000000" w:themeColor="text1"/>
          <w:sz w:val="22"/>
          <w:szCs w:val="22"/>
        </w:rPr>
        <w:t>zintegrowane</w:t>
      </w:r>
      <w:r w:rsidRPr="009B78DA">
        <w:rPr>
          <w:rFonts w:ascii="Arial" w:hAnsi="Arial" w:cs="Arial"/>
          <w:color w:val="000000" w:themeColor="text1"/>
          <w:sz w:val="22"/>
          <w:szCs w:val="22"/>
        </w:rPr>
        <w:t xml:space="preserve"> </w:t>
      </w:r>
      <w:bookmarkEnd w:id="131"/>
      <w:r w:rsidRPr="009B78DA">
        <w:rPr>
          <w:rFonts w:ascii="Arial" w:hAnsi="Arial" w:cs="Arial"/>
          <w:color w:val="000000" w:themeColor="text1"/>
          <w:sz w:val="22"/>
          <w:szCs w:val="22"/>
        </w:rPr>
        <w:t xml:space="preserve">układy transportowe posiadają miasta tj.: Rzeszów, Krosno, Jasło, Jarosław, Przeworsk, Sanok, Mielec, Stalowa Wola i Leżajsk, natomiast stosunkowo słabiej rozwinięty układ transportowy posiadają: Dębica, Tarnobrzeg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i Przemyśl.</w:t>
      </w:r>
    </w:p>
    <w:p w14:paraId="6C156DBC" w14:textId="2FDB2748" w:rsidR="00693FD7" w:rsidRPr="009B78DA" w:rsidRDefault="00693FD7" w:rsidP="0054793A">
      <w:pPr>
        <w:pStyle w:val="Legenda"/>
        <w:keepNext/>
        <w:spacing w:after="0" w:line="276" w:lineRule="auto"/>
        <w:rPr>
          <w:rFonts w:ascii="Arial" w:hAnsi="Arial" w:cs="Arial"/>
          <w:i w:val="0"/>
          <w:color w:val="000000" w:themeColor="text1"/>
          <w:sz w:val="22"/>
          <w:szCs w:val="22"/>
        </w:rPr>
      </w:pPr>
      <w:bookmarkStart w:id="132" w:name="_Toc146785661"/>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Schemat połączeń kolejowych na terenie województwa podkarpackiego w 2020 r.</w:t>
      </w:r>
      <w:r w:rsidRPr="009B78DA">
        <w:rPr>
          <w:rStyle w:val="Odwoanieprzypisudolnego"/>
          <w:rFonts w:ascii="Arial" w:hAnsi="Arial" w:cs="Arial"/>
          <w:i w:val="0"/>
          <w:color w:val="000000" w:themeColor="text1"/>
          <w:sz w:val="22"/>
          <w:szCs w:val="22"/>
        </w:rPr>
        <w:footnoteReference w:id="18"/>
      </w:r>
      <w:bookmarkEnd w:id="132"/>
    </w:p>
    <w:p w14:paraId="354B9F47" w14:textId="54877BF1" w:rsidR="0081383A" w:rsidRPr="009B78DA" w:rsidRDefault="00E5714A"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659D35A2" wp14:editId="1C0A7F85">
            <wp:extent cx="4129592" cy="3030279"/>
            <wp:effectExtent l="0" t="0" r="4445" b="0"/>
            <wp:docPr id="10" name="Obraz 10" descr="Połączenie POLREGIO Sandomierz, Jasło, POLREGIO, IC Zawada, Komańcza, Łupków, Medzilaborce, POLREGIO, IC Zamość, IC Biłgoraj, POLREGIO, TLK, IC Pilchów, POLREGIO, TLK, IC Tarnobrzeg, POLREGIO, TLK, IC Stalowa Wola, POLREGIO, TLK, IC, EIP Tarnów, POLREGIO, TLK, IC, EIP Dębica, POLREGIO, TLK, IC, EIP Rzeszów, POLREGIO, TLK, IC Przeworsk, POLREGIO, TLK, IC Jarosław, POLREGIO, TLK Przemyśl, POLREGIO, TLK Medyka, TLK Lwów, POLREGIO, TLK  Stróże, POLREGIO, TLK Nowy Sącz, POLREGIO, TLK Krynica Zdrój, POLREGIO, TLK Gorlice, POLREGIO, TLK Krosno, POLREGIO, TLK Sanok, POLREGIO, TLK Zagórz" title="Rysunek 32 Schemat połączeń kolejowych na terenie województwa podkarpackiego w 2020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149494" cy="3044883"/>
                    </a:xfrm>
                    <a:prstGeom prst="rect">
                      <a:avLst/>
                    </a:prstGeom>
                  </pic:spPr>
                </pic:pic>
              </a:graphicData>
            </a:graphic>
          </wp:inline>
        </w:drawing>
      </w:r>
    </w:p>
    <w:p w14:paraId="1077025E" w14:textId="40532896" w:rsidR="0010060F" w:rsidRPr="009B78DA" w:rsidRDefault="00F40E01" w:rsidP="0054793A">
      <w:pPr>
        <w:spacing w:before="120" w:line="276" w:lineRule="auto"/>
        <w:rPr>
          <w:rFonts w:ascii="Arial" w:hAnsi="Arial" w:cs="Arial"/>
          <w:i/>
          <w:color w:val="000000" w:themeColor="text1"/>
          <w:sz w:val="22"/>
          <w:szCs w:val="22"/>
        </w:rPr>
      </w:pPr>
      <w:bookmarkStart w:id="133" w:name="_Hlk92267769"/>
      <w:r w:rsidRPr="009B78DA">
        <w:rPr>
          <w:rFonts w:ascii="Arial" w:hAnsi="Arial" w:cs="Arial"/>
          <w:color w:val="000000" w:themeColor="text1"/>
          <w:sz w:val="22"/>
          <w:szCs w:val="22"/>
        </w:rPr>
        <w:t>Źródło</w:t>
      </w:r>
      <w:r w:rsidR="009443F7" w:rsidRPr="009B78DA">
        <w:rPr>
          <w:rFonts w:ascii="Arial" w:hAnsi="Arial" w:cs="Arial"/>
          <w:i/>
          <w:color w:val="000000" w:themeColor="text1"/>
          <w:sz w:val="22"/>
          <w:szCs w:val="22"/>
        </w:rPr>
        <w:t>:</w:t>
      </w:r>
      <w:r w:rsidR="000409E8" w:rsidRPr="009B78DA">
        <w:rPr>
          <w:rFonts w:ascii="Arial" w:hAnsi="Arial" w:cs="Arial"/>
          <w:i/>
          <w:color w:val="000000" w:themeColor="text1"/>
          <w:sz w:val="22"/>
          <w:szCs w:val="22"/>
        </w:rPr>
        <w:t xml:space="preserve"> </w:t>
      </w:r>
      <w:r w:rsidR="000409E8" w:rsidRPr="009B78DA">
        <w:rPr>
          <w:rFonts w:ascii="Arial" w:hAnsi="Arial" w:cs="Arial"/>
          <w:iCs/>
          <w:color w:val="000000" w:themeColor="text1"/>
          <w:sz w:val="22"/>
          <w:szCs w:val="22"/>
        </w:rPr>
        <w:t>Opracowanie</w:t>
      </w:r>
      <w:r w:rsidR="008B01D0" w:rsidRPr="009B78DA">
        <w:rPr>
          <w:rFonts w:ascii="Arial" w:hAnsi="Arial" w:cs="Arial"/>
          <w:iCs/>
          <w:color w:val="000000" w:themeColor="text1"/>
          <w:sz w:val="22"/>
          <w:szCs w:val="22"/>
        </w:rPr>
        <w:t xml:space="preserve"> własne na podstawie</w:t>
      </w:r>
      <w:r w:rsidR="008B01D0" w:rsidRPr="009B78DA">
        <w:rPr>
          <w:rFonts w:ascii="Arial" w:hAnsi="Arial" w:cs="Arial"/>
          <w:color w:val="000000" w:themeColor="text1"/>
          <w:sz w:val="22"/>
          <w:szCs w:val="22"/>
        </w:rPr>
        <w:t xml:space="preserve"> infografiki pochodzącej ze strony: </w:t>
      </w:r>
      <w:hyperlink r:id="rId43" w:tooltip="Otwiera stronę" w:history="1">
        <w:r w:rsidR="0054793A" w:rsidRPr="0054793A">
          <w:rPr>
            <w:rStyle w:val="Hipercze"/>
            <w:rFonts w:ascii="Arial" w:hAnsi="Arial" w:cs="Arial"/>
            <w:sz w:val="22"/>
            <w:szCs w:val="22"/>
          </w:rPr>
          <w:t>www.intercity.pl/pl</w:t>
        </w:r>
      </w:hyperlink>
      <w:r w:rsidR="008B01D0" w:rsidRPr="009B78DA">
        <w:rPr>
          <w:rFonts w:ascii="Arial" w:hAnsi="Arial" w:cs="Arial"/>
          <w:i/>
          <w:color w:val="000000" w:themeColor="text1"/>
          <w:sz w:val="22"/>
          <w:szCs w:val="22"/>
        </w:rPr>
        <w:t xml:space="preserve"> </w:t>
      </w:r>
      <w:r w:rsidR="008B01D0" w:rsidRPr="009B78DA">
        <w:rPr>
          <w:rFonts w:ascii="Arial" w:hAnsi="Arial" w:cs="Arial"/>
          <w:color w:val="000000" w:themeColor="text1"/>
          <w:sz w:val="22"/>
          <w:szCs w:val="22"/>
        </w:rPr>
        <w:t>(</w:t>
      </w:r>
      <w:bookmarkStart w:id="134" w:name="_Hlk122343093"/>
      <w:r w:rsidR="00D043EE" w:rsidRPr="009B78DA">
        <w:rPr>
          <w:rFonts w:ascii="Arial" w:hAnsi="Arial" w:cs="Arial"/>
          <w:color w:val="000000" w:themeColor="text1"/>
          <w:sz w:val="22"/>
          <w:szCs w:val="22"/>
        </w:rPr>
        <w:t>wg</w:t>
      </w:r>
      <w:r w:rsidR="008B01D0" w:rsidRPr="009B78DA">
        <w:rPr>
          <w:rFonts w:ascii="Arial" w:hAnsi="Arial" w:cs="Arial"/>
          <w:color w:val="000000" w:themeColor="text1"/>
          <w:sz w:val="22"/>
          <w:szCs w:val="22"/>
        </w:rPr>
        <w:t xml:space="preserve"> dostępu </w:t>
      </w:r>
      <w:r w:rsidR="00CE2547" w:rsidRPr="009B78DA">
        <w:rPr>
          <w:rFonts w:ascii="Arial" w:hAnsi="Arial" w:cs="Arial"/>
          <w:color w:val="000000" w:themeColor="text1"/>
          <w:sz w:val="22"/>
          <w:szCs w:val="22"/>
        </w:rPr>
        <w:t>z</w:t>
      </w:r>
      <w:r w:rsidR="008B01D0" w:rsidRPr="009B78DA">
        <w:rPr>
          <w:rFonts w:ascii="Arial" w:hAnsi="Arial" w:cs="Arial"/>
          <w:color w:val="000000" w:themeColor="text1"/>
          <w:sz w:val="22"/>
          <w:szCs w:val="22"/>
        </w:rPr>
        <w:t xml:space="preserve"> 2020 r</w:t>
      </w:r>
      <w:bookmarkEnd w:id="134"/>
      <w:r w:rsidR="008B01D0" w:rsidRPr="009B78DA">
        <w:rPr>
          <w:rFonts w:ascii="Arial" w:hAnsi="Arial" w:cs="Arial"/>
          <w:color w:val="000000" w:themeColor="text1"/>
          <w:sz w:val="22"/>
          <w:szCs w:val="22"/>
        </w:rPr>
        <w:t>.)</w:t>
      </w:r>
      <w:r w:rsidR="008B01D0" w:rsidRPr="009B78DA">
        <w:rPr>
          <w:rFonts w:ascii="Arial" w:hAnsi="Arial" w:cs="Arial"/>
          <w:i/>
          <w:color w:val="000000" w:themeColor="text1"/>
          <w:sz w:val="22"/>
          <w:szCs w:val="22"/>
        </w:rPr>
        <w:t>.</w:t>
      </w:r>
      <w:bookmarkEnd w:id="133"/>
    </w:p>
    <w:p w14:paraId="32A12B85" w14:textId="72C7081E" w:rsidR="00203B56" w:rsidRPr="009B78DA" w:rsidRDefault="00203B56" w:rsidP="0054793A">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Przyczyny niskiego wykorzystania publicznego transportu zbiorowego należy wiązać </w:t>
      </w:r>
      <w:r w:rsidR="00483FCB" w:rsidRPr="009B78DA">
        <w:rPr>
          <w:rFonts w:ascii="Arial" w:hAnsi="Arial" w:cs="Arial"/>
          <w:color w:val="000000" w:themeColor="text1"/>
          <w:sz w:val="22"/>
          <w:szCs w:val="22"/>
        </w:rPr>
        <w:t xml:space="preserve">z </w:t>
      </w:r>
      <w:r w:rsidRPr="009B78DA">
        <w:rPr>
          <w:rFonts w:ascii="Arial" w:hAnsi="Arial" w:cs="Arial"/>
          <w:color w:val="000000" w:themeColor="text1"/>
          <w:sz w:val="22"/>
          <w:szCs w:val="22"/>
        </w:rPr>
        <w:t xml:space="preserve">aspektami wpływającymi na zagrożenie wykluczeniem transportowym. </w:t>
      </w:r>
      <w:r w:rsidR="004750FD" w:rsidRPr="009B78DA">
        <w:rPr>
          <w:rFonts w:ascii="Arial" w:hAnsi="Arial" w:cs="Arial"/>
          <w:color w:val="000000" w:themeColor="text1"/>
          <w:sz w:val="22"/>
          <w:szCs w:val="22"/>
        </w:rPr>
        <w:t xml:space="preserve">Wykorzystanie transportu publicznego w ograniczonym zakresie wynika zatem </w:t>
      </w:r>
      <w:r w:rsidR="00483FCB" w:rsidRPr="009B78DA">
        <w:rPr>
          <w:rFonts w:ascii="Arial" w:hAnsi="Arial" w:cs="Arial"/>
          <w:color w:val="000000" w:themeColor="text1"/>
          <w:sz w:val="22"/>
          <w:szCs w:val="22"/>
        </w:rPr>
        <w:t xml:space="preserve">m.in. </w:t>
      </w:r>
      <w:r w:rsidR="004750FD" w:rsidRPr="009B78DA">
        <w:rPr>
          <w:rFonts w:ascii="Arial" w:hAnsi="Arial" w:cs="Arial"/>
          <w:color w:val="000000" w:themeColor="text1"/>
          <w:sz w:val="22"/>
          <w:szCs w:val="22"/>
        </w:rPr>
        <w:t>z:</w:t>
      </w:r>
    </w:p>
    <w:p w14:paraId="52498E33" w14:textId="76D3CE3E" w:rsidR="004750FD" w:rsidRPr="009B78DA" w:rsidRDefault="004750FD" w:rsidP="0054793A">
      <w:pPr>
        <w:pStyle w:val="Akapitzlist"/>
        <w:numPr>
          <w:ilvl w:val="0"/>
          <w:numId w:val="5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depopulacji – np. powiat lubaczowski oraz niektóre sąsiadujące z nim gminy powiatów jarosławskiego i przeworskiego, to obszary </w:t>
      </w:r>
      <w:r w:rsidR="00483FCB" w:rsidRPr="009B78DA">
        <w:rPr>
          <w:rFonts w:ascii="Arial" w:hAnsi="Arial" w:cs="Arial"/>
          <w:color w:val="000000" w:themeColor="text1"/>
          <w:sz w:val="22"/>
          <w:szCs w:val="22"/>
        </w:rPr>
        <w:t xml:space="preserve">o zmniejszającej się liczbie mieszkańców, </w:t>
      </w:r>
      <w:r w:rsidRPr="009B78DA">
        <w:rPr>
          <w:rFonts w:ascii="Arial" w:hAnsi="Arial" w:cs="Arial"/>
          <w:color w:val="000000" w:themeColor="text1"/>
          <w:sz w:val="22"/>
          <w:szCs w:val="22"/>
        </w:rPr>
        <w:t>charakteryzujące się zachwianą strukturą demograficzną</w:t>
      </w:r>
      <w:r w:rsidR="00222B84" w:rsidRPr="009B78DA">
        <w:rPr>
          <w:rFonts w:ascii="Arial" w:hAnsi="Arial" w:cs="Arial"/>
          <w:color w:val="000000" w:themeColor="text1"/>
          <w:sz w:val="22"/>
          <w:szCs w:val="22"/>
        </w:rPr>
        <w:t>,</w:t>
      </w:r>
    </w:p>
    <w:p w14:paraId="00EF29A9" w14:textId="1A7021A2" w:rsidR="004750FD" w:rsidRPr="009B78DA" w:rsidRDefault="00DC23F5" w:rsidP="0054793A">
      <w:pPr>
        <w:pStyle w:val="Akapitzlist"/>
        <w:numPr>
          <w:ilvl w:val="0"/>
          <w:numId w:val="5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sezonowości</w:t>
      </w:r>
      <w:r w:rsidR="004750FD" w:rsidRPr="009B78DA">
        <w:rPr>
          <w:rFonts w:ascii="Arial" w:hAnsi="Arial" w:cs="Arial"/>
          <w:color w:val="000000" w:themeColor="text1"/>
          <w:sz w:val="22"/>
          <w:szCs w:val="22"/>
        </w:rPr>
        <w:t xml:space="preserve"> – </w:t>
      </w:r>
      <w:r w:rsidR="00154A24" w:rsidRPr="009B78DA">
        <w:rPr>
          <w:rFonts w:ascii="Arial" w:hAnsi="Arial" w:cs="Arial"/>
          <w:color w:val="000000" w:themeColor="text1"/>
          <w:sz w:val="22"/>
          <w:szCs w:val="22"/>
        </w:rPr>
        <w:t xml:space="preserve">np. </w:t>
      </w:r>
      <w:r w:rsidR="004750FD" w:rsidRPr="009B78DA">
        <w:rPr>
          <w:rFonts w:ascii="Arial" w:hAnsi="Arial" w:cs="Arial"/>
          <w:color w:val="000000" w:themeColor="text1"/>
          <w:sz w:val="22"/>
          <w:szCs w:val="22"/>
        </w:rPr>
        <w:t>w karpa</w:t>
      </w:r>
      <w:r w:rsidRPr="009B78DA">
        <w:rPr>
          <w:rFonts w:ascii="Arial" w:hAnsi="Arial" w:cs="Arial"/>
          <w:color w:val="000000" w:themeColor="text1"/>
          <w:sz w:val="22"/>
          <w:szCs w:val="22"/>
        </w:rPr>
        <w:t>ckiej części regionu</w:t>
      </w:r>
      <w:r w:rsidRPr="009B78DA">
        <w:rPr>
          <w:color w:val="000000" w:themeColor="text1"/>
        </w:rPr>
        <w:t xml:space="preserve"> </w:t>
      </w:r>
      <w:r w:rsidRPr="009B78DA">
        <w:rPr>
          <w:rFonts w:ascii="Arial" w:hAnsi="Arial" w:cs="Arial"/>
          <w:color w:val="000000" w:themeColor="text1"/>
          <w:sz w:val="22"/>
          <w:szCs w:val="22"/>
        </w:rPr>
        <w:t xml:space="preserve">obsługa transportem publicznym jest uzależniona nie tylko od gęstości zaludnienia (na terenach najbardziej peryferyjnych jest bardzo słaba), ale </w:t>
      </w:r>
      <w:r w:rsidR="00570F86" w:rsidRPr="009B78DA">
        <w:rPr>
          <w:rFonts w:ascii="Arial" w:hAnsi="Arial" w:cs="Arial"/>
          <w:color w:val="000000" w:themeColor="text1"/>
          <w:sz w:val="22"/>
          <w:szCs w:val="22"/>
        </w:rPr>
        <w:t xml:space="preserve">bywa </w:t>
      </w:r>
      <w:r w:rsidRPr="009B78DA">
        <w:rPr>
          <w:rFonts w:ascii="Arial" w:hAnsi="Arial" w:cs="Arial"/>
          <w:color w:val="000000" w:themeColor="text1"/>
          <w:sz w:val="22"/>
          <w:szCs w:val="22"/>
        </w:rPr>
        <w:t>też tylko sezonow</w:t>
      </w:r>
      <w:r w:rsidR="00396D35"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w:t>
      </w:r>
      <w:r w:rsidR="00570F86" w:rsidRPr="009B78DA">
        <w:rPr>
          <w:rFonts w:ascii="Arial" w:hAnsi="Arial" w:cs="Arial"/>
          <w:color w:val="000000" w:themeColor="text1"/>
          <w:sz w:val="22"/>
          <w:szCs w:val="22"/>
        </w:rPr>
        <w:t>i uruchamian</w:t>
      </w:r>
      <w:r w:rsidR="00396D35" w:rsidRPr="009B78DA">
        <w:rPr>
          <w:rFonts w:ascii="Arial" w:hAnsi="Arial" w:cs="Arial"/>
          <w:color w:val="000000" w:themeColor="text1"/>
          <w:sz w:val="22"/>
          <w:szCs w:val="22"/>
        </w:rPr>
        <w:t>a</w:t>
      </w:r>
      <w:r w:rsidR="00570F86" w:rsidRPr="009B78DA">
        <w:rPr>
          <w:rFonts w:ascii="Arial" w:hAnsi="Arial" w:cs="Arial"/>
          <w:color w:val="000000" w:themeColor="text1"/>
          <w:sz w:val="22"/>
          <w:szCs w:val="22"/>
        </w:rPr>
        <w:t xml:space="preserve"> na potrzeby</w:t>
      </w:r>
      <w:r w:rsidRPr="009B78DA">
        <w:rPr>
          <w:rFonts w:ascii="Arial" w:hAnsi="Arial" w:cs="Arial"/>
          <w:color w:val="000000" w:themeColor="text1"/>
          <w:sz w:val="22"/>
          <w:szCs w:val="22"/>
        </w:rPr>
        <w:t xml:space="preserve"> obsługi ruchu turystycznego</w:t>
      </w:r>
      <w:r w:rsidR="00222B84" w:rsidRPr="009B78DA">
        <w:rPr>
          <w:rFonts w:ascii="Arial" w:hAnsi="Arial" w:cs="Arial"/>
          <w:color w:val="000000" w:themeColor="text1"/>
          <w:sz w:val="22"/>
          <w:szCs w:val="22"/>
        </w:rPr>
        <w:t>,</w:t>
      </w:r>
    </w:p>
    <w:p w14:paraId="555A77EC" w14:textId="2C9DE47C" w:rsidR="00553DE7" w:rsidRPr="009B78DA" w:rsidRDefault="00C001AD" w:rsidP="0054793A">
      <w:pPr>
        <w:pStyle w:val="Akapitzlist"/>
        <w:numPr>
          <w:ilvl w:val="0"/>
          <w:numId w:val="5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rozproszon</w:t>
      </w:r>
      <w:r w:rsidR="00917C8E"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w:t>
      </w:r>
      <w:r w:rsidR="00553DE7" w:rsidRPr="009B78DA">
        <w:rPr>
          <w:rFonts w:ascii="Arial" w:hAnsi="Arial" w:cs="Arial"/>
          <w:color w:val="000000" w:themeColor="text1"/>
          <w:sz w:val="22"/>
          <w:szCs w:val="22"/>
        </w:rPr>
        <w:t>sie</w:t>
      </w:r>
      <w:r w:rsidR="00917C8E" w:rsidRPr="009B78DA">
        <w:rPr>
          <w:rFonts w:ascii="Arial" w:hAnsi="Arial" w:cs="Arial"/>
          <w:color w:val="000000" w:themeColor="text1"/>
          <w:sz w:val="22"/>
          <w:szCs w:val="22"/>
        </w:rPr>
        <w:t>ć</w:t>
      </w:r>
      <w:r w:rsidR="00553DE7" w:rsidRPr="009B78DA">
        <w:rPr>
          <w:rFonts w:ascii="Arial" w:hAnsi="Arial" w:cs="Arial"/>
          <w:color w:val="000000" w:themeColor="text1"/>
          <w:sz w:val="22"/>
          <w:szCs w:val="22"/>
        </w:rPr>
        <w:t xml:space="preserve"> osadnicz</w:t>
      </w:r>
      <w:r w:rsidR="00917C8E" w:rsidRPr="009B78DA">
        <w:rPr>
          <w:rFonts w:ascii="Arial" w:hAnsi="Arial" w:cs="Arial"/>
          <w:color w:val="000000" w:themeColor="text1"/>
          <w:sz w:val="22"/>
          <w:szCs w:val="22"/>
        </w:rPr>
        <w:t xml:space="preserve">a </w:t>
      </w:r>
      <w:r w:rsidR="00553DE7" w:rsidRPr="009B78DA">
        <w:rPr>
          <w:rFonts w:ascii="Arial" w:hAnsi="Arial" w:cs="Arial"/>
          <w:color w:val="000000" w:themeColor="text1"/>
          <w:sz w:val="22"/>
          <w:szCs w:val="22"/>
        </w:rPr>
        <w:t>na obszarach górskich jako czynnik sprzyjając</w:t>
      </w:r>
      <w:r w:rsidR="00917C8E" w:rsidRPr="009B78DA">
        <w:rPr>
          <w:rFonts w:ascii="Arial" w:hAnsi="Arial" w:cs="Arial"/>
          <w:color w:val="000000" w:themeColor="text1"/>
          <w:sz w:val="22"/>
          <w:szCs w:val="22"/>
        </w:rPr>
        <w:t>y</w:t>
      </w:r>
      <w:r w:rsidR="00553DE7" w:rsidRPr="009B78DA">
        <w:rPr>
          <w:rFonts w:ascii="Arial" w:hAnsi="Arial" w:cs="Arial"/>
          <w:color w:val="000000" w:themeColor="text1"/>
          <w:sz w:val="22"/>
          <w:szCs w:val="22"/>
        </w:rPr>
        <w:t xml:space="preserve"> niskiemu wykorzystaniu</w:t>
      </w:r>
      <w:r w:rsidR="00222B84" w:rsidRPr="009B78DA">
        <w:rPr>
          <w:rFonts w:ascii="Arial" w:hAnsi="Arial" w:cs="Arial"/>
          <w:color w:val="000000" w:themeColor="text1"/>
          <w:sz w:val="22"/>
          <w:szCs w:val="22"/>
        </w:rPr>
        <w:t>,</w:t>
      </w:r>
    </w:p>
    <w:p w14:paraId="238D8E6F" w14:textId="52BA264F" w:rsidR="00E97677" w:rsidRPr="009B78DA" w:rsidRDefault="00553DE7" w:rsidP="0054793A">
      <w:pPr>
        <w:pStyle w:val="Akapitzlist"/>
        <w:numPr>
          <w:ilvl w:val="0"/>
          <w:numId w:val="5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rozproszenie miejsc pracy (brak kierunków z dużymi potokami</w:t>
      </w:r>
      <w:r w:rsidR="00A35CC1" w:rsidRPr="009B78DA">
        <w:rPr>
          <w:rFonts w:ascii="Arial" w:hAnsi="Arial" w:cs="Arial"/>
          <w:color w:val="000000" w:themeColor="text1"/>
          <w:sz w:val="22"/>
          <w:szCs w:val="22"/>
        </w:rPr>
        <w:t xml:space="preserve"> ruchu</w:t>
      </w:r>
      <w:r w:rsidRPr="009B78DA">
        <w:rPr>
          <w:rFonts w:ascii="Arial" w:hAnsi="Arial" w:cs="Arial"/>
          <w:color w:val="000000" w:themeColor="text1"/>
          <w:sz w:val="22"/>
          <w:szCs w:val="22"/>
        </w:rPr>
        <w:t xml:space="preserve">, </w:t>
      </w:r>
      <w:r w:rsidR="00A35CC1" w:rsidRPr="009B78DA">
        <w:rPr>
          <w:rFonts w:ascii="Arial" w:hAnsi="Arial" w:cs="Arial"/>
          <w:color w:val="000000" w:themeColor="text1"/>
          <w:sz w:val="22"/>
          <w:szCs w:val="22"/>
        </w:rPr>
        <w:t>które</w:t>
      </w:r>
      <w:r w:rsidRPr="009B78DA">
        <w:rPr>
          <w:rFonts w:ascii="Arial" w:hAnsi="Arial" w:cs="Arial"/>
          <w:color w:val="000000" w:themeColor="text1"/>
          <w:sz w:val="22"/>
          <w:szCs w:val="22"/>
        </w:rPr>
        <w:t xml:space="preserve"> gwarantuj</w:t>
      </w:r>
      <w:r w:rsidR="00A35CC1" w:rsidRPr="009B78DA">
        <w:rPr>
          <w:rFonts w:ascii="Arial" w:hAnsi="Arial" w:cs="Arial"/>
          <w:color w:val="000000" w:themeColor="text1"/>
          <w:sz w:val="22"/>
          <w:szCs w:val="22"/>
        </w:rPr>
        <w:t>ą</w:t>
      </w:r>
      <w:r w:rsidRPr="009B78DA">
        <w:rPr>
          <w:rFonts w:ascii="Arial" w:hAnsi="Arial" w:cs="Arial"/>
          <w:color w:val="000000" w:themeColor="text1"/>
          <w:sz w:val="22"/>
          <w:szCs w:val="22"/>
        </w:rPr>
        <w:t xml:space="preserve"> opłacalność operatorom).</w:t>
      </w:r>
    </w:p>
    <w:p w14:paraId="4769D8E9" w14:textId="007F5597" w:rsidR="004D7D03" w:rsidRPr="009B78DA" w:rsidRDefault="00154A24" w:rsidP="0054793A">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Z powyższymi czynnikami związany jest z kolei stały lub okresowy słaby popyt na usługi transportu zbiorowego, a to z kolei wpływa na ich niską </w:t>
      </w:r>
      <w:r w:rsidR="00483FCB" w:rsidRPr="009B78DA">
        <w:rPr>
          <w:rFonts w:ascii="Arial" w:hAnsi="Arial" w:cs="Arial"/>
          <w:color w:val="000000" w:themeColor="text1"/>
          <w:sz w:val="22"/>
          <w:szCs w:val="22"/>
        </w:rPr>
        <w:t xml:space="preserve">lub czasową </w:t>
      </w:r>
      <w:r w:rsidRPr="009B78DA">
        <w:rPr>
          <w:rFonts w:ascii="Arial" w:hAnsi="Arial" w:cs="Arial"/>
          <w:color w:val="000000" w:themeColor="text1"/>
          <w:sz w:val="22"/>
          <w:szCs w:val="22"/>
        </w:rPr>
        <w:t>podaż</w:t>
      </w:r>
      <w:r w:rsidR="0054793A">
        <w:rPr>
          <w:rFonts w:ascii="Arial" w:hAnsi="Arial" w:cs="Arial"/>
          <w:color w:val="000000" w:themeColor="text1"/>
          <w:sz w:val="22"/>
          <w:szCs w:val="22"/>
        </w:rPr>
        <w:t>.</w:t>
      </w:r>
    </w:p>
    <w:p w14:paraId="75010B27" w14:textId="000421AC" w:rsidR="00693FD7" w:rsidRPr="009B78DA" w:rsidRDefault="00693FD7" w:rsidP="0054793A">
      <w:pPr>
        <w:pStyle w:val="Legenda"/>
        <w:keepNext/>
        <w:rPr>
          <w:rFonts w:ascii="Arial" w:hAnsi="Arial" w:cs="Arial"/>
          <w:i w:val="0"/>
          <w:color w:val="000000" w:themeColor="text1"/>
          <w:sz w:val="22"/>
          <w:szCs w:val="22"/>
        </w:rPr>
      </w:pPr>
      <w:bookmarkStart w:id="135" w:name="_Toc146785662"/>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Średniodobowa liczba pociągów pasażerskich w województwie podkarpackim </w:t>
      </w:r>
      <w:r w:rsidR="0054793A">
        <w:rPr>
          <w:rFonts w:ascii="Arial" w:hAnsi="Arial" w:cs="Arial"/>
          <w:i w:val="0"/>
          <w:color w:val="000000" w:themeColor="text1"/>
          <w:sz w:val="22"/>
          <w:szCs w:val="22"/>
        </w:rPr>
        <w:br/>
      </w:r>
      <w:r w:rsidRPr="009B78DA">
        <w:rPr>
          <w:rFonts w:ascii="Arial" w:hAnsi="Arial" w:cs="Arial"/>
          <w:i w:val="0"/>
          <w:color w:val="000000" w:themeColor="text1"/>
          <w:sz w:val="22"/>
          <w:szCs w:val="22"/>
        </w:rPr>
        <w:t>w maju 2020 r.</w:t>
      </w:r>
      <w:bookmarkEnd w:id="135"/>
    </w:p>
    <w:p w14:paraId="4FE6982B" w14:textId="0CF6B00D" w:rsidR="00F40E01" w:rsidRPr="009B78DA" w:rsidRDefault="00F40E01" w:rsidP="00C641A4">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5D877E65" wp14:editId="398C6D4C">
            <wp:extent cx="4819650" cy="4215407"/>
            <wp:effectExtent l="0" t="0" r="0" b="0"/>
            <wp:docPr id="31" name="Obraz 31" descr="Województwa podkarpackiego, czarna linia Rzeszowski Obszar Funkcjonalny, szara linia Miejski Obszar Funkcjonalny Mielec, Tarnobrzeg, Stalowa Wola, Nisko, Krosno, Przemyśl. Na mapie liczba pociągów pasażerskich maj 2020 r. Linia E30 z Rzeszowa do Przemyśla powyżej 30, z Rzeszowa w stronę Krakowa od 15 – 30. Linia 71 z Rzeszowa przez Kolbuszową do Tarnobrzega od 4 – 11, Linia 25, 78 poniżej 4, Linia 68 i 74 od 4 do 11, Linia 68 od Przeworska przez Leżajsk od 12 do 14, Linia 101 od Jarosławia przez Lubaczów od 4 – 11, Linia 106 od Rzeszowa przez Strzyżów, Krosno od 12 – 14, Linia 107, 108 od Leska przez Sanok, Krosno poniżej 4" title="Rysunek 33 Średniodobowa liczba pociągów pasażerskich w województwie podkarpackim w maju 2020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19650" cy="4215407"/>
                    </a:xfrm>
                    <a:prstGeom prst="rect">
                      <a:avLst/>
                    </a:prstGeom>
                    <a:noFill/>
                  </pic:spPr>
                </pic:pic>
              </a:graphicData>
            </a:graphic>
          </wp:inline>
        </w:drawing>
      </w:r>
    </w:p>
    <w:p w14:paraId="5C688AA7" w14:textId="6485CDAD" w:rsidR="007E4589" w:rsidRPr="009B78DA" w:rsidRDefault="007E4589" w:rsidP="0054793A">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Pr="009B78DA">
        <w:rPr>
          <w:rFonts w:ascii="Arial" w:hAnsi="Arial" w:cs="Arial"/>
          <w:i/>
          <w:color w:val="000000" w:themeColor="text1"/>
          <w:sz w:val="22"/>
          <w:szCs w:val="22"/>
        </w:rPr>
        <w:t>Diagnoza stanu systemu transportowego w województwie podkarpackim</w:t>
      </w:r>
      <w:r w:rsidRPr="009B78DA">
        <w:rPr>
          <w:rFonts w:ascii="Arial" w:hAnsi="Arial" w:cs="Arial"/>
          <w:color w:val="000000" w:themeColor="text1"/>
          <w:sz w:val="22"/>
          <w:szCs w:val="22"/>
        </w:rPr>
        <w:t xml:space="preserve">, PBPP </w:t>
      </w:r>
      <w:r w:rsidR="005A1FC1" w:rsidRPr="009B78DA">
        <w:rPr>
          <w:rFonts w:ascii="Arial" w:hAnsi="Arial" w:cs="Arial"/>
          <w:color w:val="000000" w:themeColor="text1"/>
          <w:sz w:val="22"/>
          <w:szCs w:val="22"/>
        </w:rPr>
        <w:br/>
      </w:r>
      <w:r w:rsidRPr="009B78DA">
        <w:rPr>
          <w:rFonts w:ascii="Arial" w:hAnsi="Arial" w:cs="Arial"/>
          <w:color w:val="000000" w:themeColor="text1"/>
          <w:sz w:val="22"/>
          <w:szCs w:val="22"/>
        </w:rPr>
        <w:t>w Rzeszowie, 2020</w:t>
      </w:r>
      <w:r w:rsidR="001E00EE" w:rsidRPr="009B78DA">
        <w:rPr>
          <w:rFonts w:ascii="Arial" w:hAnsi="Arial" w:cs="Arial"/>
          <w:color w:val="000000" w:themeColor="text1"/>
          <w:sz w:val="22"/>
          <w:szCs w:val="22"/>
        </w:rPr>
        <w:t>/2021</w:t>
      </w:r>
      <w:r w:rsidRPr="009B78DA">
        <w:rPr>
          <w:rFonts w:ascii="Arial" w:hAnsi="Arial" w:cs="Arial"/>
          <w:color w:val="000000" w:themeColor="text1"/>
          <w:sz w:val="22"/>
          <w:szCs w:val="22"/>
        </w:rPr>
        <w:t xml:space="preserve">. </w:t>
      </w:r>
    </w:p>
    <w:p w14:paraId="319C0B20" w14:textId="1BA4761F" w:rsidR="007E4589" w:rsidRPr="009B78DA" w:rsidRDefault="007E4589" w:rsidP="0054793A">
      <w:pPr>
        <w:pStyle w:val="Akapitzlist"/>
        <w:numPr>
          <w:ilvl w:val="0"/>
          <w:numId w:val="56"/>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Port lotniczy w Rzeszowie jest ósmym z największych pod względem liczby obsłużonych pasażerów lotnisk w kraju</w:t>
      </w:r>
      <w:r w:rsidR="00AD7484" w:rsidRPr="009B78DA">
        <w:rPr>
          <w:rFonts w:ascii="Arial" w:hAnsi="Arial" w:cs="Arial"/>
          <w:color w:val="000000" w:themeColor="text1"/>
          <w:sz w:val="22"/>
          <w:szCs w:val="22"/>
        </w:rPr>
        <w:t xml:space="preserve">. Liczba obsłużonych pasażerów </w:t>
      </w:r>
      <w:r w:rsidRPr="009B78DA">
        <w:rPr>
          <w:rFonts w:ascii="Arial" w:hAnsi="Arial" w:cs="Arial"/>
          <w:color w:val="000000" w:themeColor="text1"/>
          <w:sz w:val="22"/>
          <w:szCs w:val="22"/>
        </w:rPr>
        <w:t>w porcie lotniczym Rzeszów – Jasionka z roku na rok rośnie, natomiast od 2013 r. jego udział w łącznej liczbie obsłużonych pasażerów na wszystkich lotniskach w Polsce sukcesywnie spada.</w:t>
      </w:r>
    </w:p>
    <w:p w14:paraId="30100FED" w14:textId="787751EF" w:rsidR="0010060F" w:rsidRPr="0054793A" w:rsidRDefault="0040135E" w:rsidP="0054793A">
      <w:pPr>
        <w:pStyle w:val="Akapitzlist"/>
        <w:numPr>
          <w:ilvl w:val="0"/>
          <w:numId w:val="56"/>
        </w:numPr>
        <w:spacing w:before="120" w:line="276" w:lineRule="auto"/>
        <w:ind w:left="714" w:hanging="357"/>
        <w:contextualSpacing w:val="0"/>
        <w:rPr>
          <w:rFonts w:ascii="Arial" w:hAnsi="Arial" w:cs="Arial"/>
          <w:color w:val="000000" w:themeColor="text1"/>
          <w:sz w:val="22"/>
          <w:szCs w:val="22"/>
        </w:rPr>
      </w:pPr>
      <w:bookmarkStart w:id="136" w:name="_Hlk92562799"/>
      <w:r w:rsidRPr="009B78DA">
        <w:rPr>
          <w:rFonts w:ascii="Arial" w:hAnsi="Arial" w:cs="Arial"/>
          <w:color w:val="000000" w:themeColor="text1"/>
          <w:sz w:val="22"/>
          <w:szCs w:val="22"/>
        </w:rPr>
        <w:t>Kryzys wywołany przez globalną pandemię COVID-19 szczególnie doświadczył przemysł lotniczy, objawiając się znacznym spadkiem liczby przewożonych pasażerów. Faktyczne skutki będą zależeć od czasu trwania pandemii oraz innych czynników jak stopnia zaufania konsumentów do podróży lotniczych, warunków ekonomicznych itp.</w:t>
      </w:r>
    </w:p>
    <w:bookmarkEnd w:id="136"/>
    <w:p w14:paraId="4A639807" w14:textId="77777777" w:rsidR="007E4589" w:rsidRPr="009B78DA" w:rsidRDefault="007E4589" w:rsidP="0054793A">
      <w:pPr>
        <w:pStyle w:val="Akapitzlist"/>
        <w:numPr>
          <w:ilvl w:val="2"/>
          <w:numId w:val="245"/>
        </w:num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Przewóz towarów</w:t>
      </w:r>
    </w:p>
    <w:p w14:paraId="69CC105E" w14:textId="77777777" w:rsidR="007E4589" w:rsidRPr="009B78DA" w:rsidRDefault="007E4589" w:rsidP="0054793A">
      <w:pPr>
        <w:pStyle w:val="Akapitzlist"/>
        <w:numPr>
          <w:ilvl w:val="0"/>
          <w:numId w:val="5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 lądowych przewozach towarów najczęściej wykorzystywany jest transport drogowy.</w:t>
      </w:r>
    </w:p>
    <w:p w14:paraId="549CDF75" w14:textId="79FB3A9D" w:rsidR="007E4589" w:rsidRPr="009B78DA" w:rsidRDefault="007E4589" w:rsidP="0054793A">
      <w:pPr>
        <w:pStyle w:val="Akapitzlist"/>
        <w:numPr>
          <w:ilvl w:val="0"/>
          <w:numId w:val="5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Największy udział w przewozach ładunków w podkarpackim miały</w:t>
      </w:r>
      <w:r w:rsidR="00E941C5">
        <w:rPr>
          <w:rFonts w:ascii="Arial" w:hAnsi="Arial" w:cs="Arial"/>
          <w:color w:val="000000" w:themeColor="text1"/>
          <w:sz w:val="22"/>
          <w:szCs w:val="22"/>
        </w:rPr>
        <w:t xml:space="preserve"> przewozy wewnątrz województwa.</w:t>
      </w:r>
    </w:p>
    <w:p w14:paraId="21356844" w14:textId="77777777" w:rsidR="007E4589" w:rsidRPr="009B78DA" w:rsidRDefault="007E4589" w:rsidP="0054793A">
      <w:pPr>
        <w:pStyle w:val="Akapitzlist"/>
        <w:numPr>
          <w:ilvl w:val="0"/>
          <w:numId w:val="5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 ruchu kolejowym/towarowym zaznaczają się dwa główne ciągi transportowe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i stanowią je: linia nr 91/magistrala E-30 oraz linia nr 68 relacji Lublin-Przeworsk. Ważnym korytarzem towarowym służącym głównie przewozom tranzytowym jest także Linia Hutnicza Szerokotorowa.</w:t>
      </w:r>
    </w:p>
    <w:p w14:paraId="18EDCD99" w14:textId="77777777" w:rsidR="007E4589" w:rsidRPr="009B78DA" w:rsidRDefault="007E4589" w:rsidP="0054793A">
      <w:pPr>
        <w:pStyle w:val="Akapitzlist"/>
        <w:numPr>
          <w:ilvl w:val="0"/>
          <w:numId w:val="57"/>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Kluczową rolę w dalszym rozwoju transportu towarowego w województwie podkarpackim będą odgrywać terminale drogowo-kolejowe, a przyszłość dla transportu towarowego stanowić będzie przewóz ładunków skonteneryzowanych transportem intermodalnym.</w:t>
      </w:r>
    </w:p>
    <w:p w14:paraId="3FF96A69" w14:textId="27DADBC8" w:rsidR="00F51562" w:rsidRPr="0054793A" w:rsidRDefault="007E4589" w:rsidP="00E941C5">
      <w:pPr>
        <w:pStyle w:val="Akapitzlist"/>
        <w:numPr>
          <w:ilvl w:val="0"/>
          <w:numId w:val="57"/>
        </w:numPr>
        <w:spacing w:before="120"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Transport lotniczy/powietrzny opiera się na środkach transportu, które stanowią statki powietrzne z kategorii samolotów i śmigłowców, obecnie jest on najnowocześniejszą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i dynamicznie rozwijającą się gałęzią transportu. Pozwala bowiem na bardzo szybkie dotarcie do wyznaczonego celu i jest jednym z najbezpieczniejszych środków </w:t>
      </w:r>
      <w:bookmarkStart w:id="137" w:name="_Hlk92562961"/>
      <w:r w:rsidRPr="009B78DA">
        <w:rPr>
          <w:rFonts w:ascii="Arial" w:hAnsi="Arial" w:cs="Arial"/>
          <w:color w:val="000000" w:themeColor="text1"/>
          <w:sz w:val="22"/>
          <w:szCs w:val="22"/>
        </w:rPr>
        <w:t>transportu</w:t>
      </w:r>
      <w:r w:rsidR="00B163BE" w:rsidRPr="009B78DA">
        <w:rPr>
          <w:rFonts w:ascii="Arial" w:hAnsi="Arial" w:cs="Arial"/>
          <w:color w:val="000000" w:themeColor="text1"/>
          <w:sz w:val="22"/>
          <w:szCs w:val="22"/>
        </w:rPr>
        <w:t xml:space="preserve"> towarów</w:t>
      </w:r>
      <w:bookmarkEnd w:id="137"/>
      <w:r w:rsidRPr="009B78DA">
        <w:rPr>
          <w:rFonts w:ascii="Arial" w:hAnsi="Arial" w:cs="Arial"/>
          <w:color w:val="000000" w:themeColor="text1"/>
          <w:sz w:val="22"/>
          <w:szCs w:val="22"/>
        </w:rPr>
        <w:t>.</w:t>
      </w:r>
      <w:r w:rsidR="00B163BE" w:rsidRPr="009B78DA">
        <w:rPr>
          <w:rFonts w:ascii="Arial" w:hAnsi="Arial" w:cs="Arial"/>
          <w:color w:val="000000" w:themeColor="text1"/>
          <w:sz w:val="22"/>
          <w:szCs w:val="22"/>
        </w:rPr>
        <w:t xml:space="preserve"> Według stanu na grudzień 2021 r. na lotnisku Rzeszów-Jasionka realizują transport towarow</w:t>
      </w:r>
      <w:r w:rsidR="008E63EF">
        <w:rPr>
          <w:rFonts w:ascii="Arial" w:hAnsi="Arial" w:cs="Arial"/>
          <w:color w:val="000000" w:themeColor="text1"/>
          <w:sz w:val="22"/>
          <w:szCs w:val="22"/>
        </w:rPr>
        <w:t>y</w:t>
      </w:r>
      <w:r w:rsidR="00B163BE" w:rsidRPr="009B78DA">
        <w:rPr>
          <w:rFonts w:ascii="Arial" w:hAnsi="Arial" w:cs="Arial"/>
          <w:color w:val="000000" w:themeColor="text1"/>
          <w:sz w:val="22"/>
          <w:szCs w:val="22"/>
        </w:rPr>
        <w:t xml:space="preserve"> następujący przewoźnicy: LOT Cargo, Lufthansa Cargo, Turkish Cargo.</w:t>
      </w:r>
    </w:p>
    <w:p w14:paraId="5B8D2E3A" w14:textId="6CA76BB1" w:rsidR="007E4589" w:rsidRPr="009B78DA" w:rsidRDefault="007E4589" w:rsidP="0054793A">
      <w:pPr>
        <w:pStyle w:val="Nagwek3"/>
        <w:numPr>
          <w:ilvl w:val="1"/>
          <w:numId w:val="258"/>
        </w:numPr>
        <w:rPr>
          <w:rFonts w:cs="Arial"/>
          <w:color w:val="000000" w:themeColor="text1"/>
          <w:sz w:val="24"/>
        </w:rPr>
      </w:pPr>
      <w:bookmarkStart w:id="138" w:name="_Toc100335062"/>
      <w:bookmarkStart w:id="139" w:name="_Toc146785786"/>
      <w:r w:rsidRPr="009B78DA">
        <w:rPr>
          <w:rFonts w:cs="Arial"/>
          <w:color w:val="000000" w:themeColor="text1"/>
          <w:sz w:val="24"/>
        </w:rPr>
        <w:t>Koszty eksploatacji i konserwacji istniejącej infrastruktury</w:t>
      </w:r>
      <w:bookmarkEnd w:id="138"/>
      <w:bookmarkEnd w:id="139"/>
    </w:p>
    <w:p w14:paraId="52334302" w14:textId="02160699" w:rsidR="007E4589" w:rsidRPr="009B78DA" w:rsidRDefault="007E4589" w:rsidP="0054793A">
      <w:pPr>
        <w:spacing w:after="120" w:line="240"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Ustawa z dnia 21 marca 1985 r. o drogach publicznych (Dz. U. z 202</w:t>
      </w:r>
      <w:r w:rsidR="00B04BD5" w:rsidRPr="009B78DA">
        <w:rPr>
          <w:rFonts w:ascii="Arial" w:hAnsi="Arial" w:cs="Arial"/>
          <w:color w:val="000000" w:themeColor="text1"/>
          <w:sz w:val="22"/>
          <w:szCs w:val="22"/>
        </w:rPr>
        <w:t>3</w:t>
      </w:r>
      <w:r w:rsidRPr="009B78DA">
        <w:rPr>
          <w:rFonts w:ascii="Arial" w:hAnsi="Arial" w:cs="Arial"/>
          <w:color w:val="000000" w:themeColor="text1"/>
          <w:sz w:val="22"/>
          <w:szCs w:val="22"/>
        </w:rPr>
        <w:t xml:space="preserve"> r. poz. </w:t>
      </w:r>
      <w:r w:rsidR="00B04BD5" w:rsidRPr="009B78DA">
        <w:rPr>
          <w:rFonts w:ascii="Arial" w:hAnsi="Arial" w:cs="Arial"/>
          <w:color w:val="000000" w:themeColor="text1"/>
          <w:sz w:val="22"/>
          <w:szCs w:val="22"/>
        </w:rPr>
        <w:t>645,</w:t>
      </w:r>
      <w:r w:rsidRPr="009B78DA">
        <w:rPr>
          <w:rFonts w:ascii="Arial" w:hAnsi="Arial" w:cs="Arial"/>
          <w:color w:val="000000" w:themeColor="text1"/>
          <w:sz w:val="22"/>
          <w:szCs w:val="22"/>
        </w:rPr>
        <w:t xml:space="preserve"> </w:t>
      </w:r>
      <w:r w:rsidR="00B04BD5" w:rsidRPr="009B78DA">
        <w:rPr>
          <w:rFonts w:ascii="Arial" w:hAnsi="Arial" w:cs="Arial"/>
          <w:color w:val="000000" w:themeColor="text1"/>
          <w:sz w:val="22"/>
          <w:szCs w:val="22"/>
        </w:rPr>
        <w:t>t.j. z dnia 2023.04.05</w:t>
      </w:r>
      <w:r w:rsidRPr="009B78DA">
        <w:rPr>
          <w:rFonts w:ascii="Arial" w:hAnsi="Arial" w:cs="Arial"/>
          <w:color w:val="000000" w:themeColor="text1"/>
          <w:sz w:val="22"/>
          <w:szCs w:val="22"/>
        </w:rPr>
        <w:t>), w art. 2 wprowadziła podz</w:t>
      </w:r>
      <w:r w:rsidR="00AD7484" w:rsidRPr="009B78DA">
        <w:rPr>
          <w:rFonts w:ascii="Arial" w:hAnsi="Arial" w:cs="Arial"/>
          <w:color w:val="000000" w:themeColor="text1"/>
          <w:sz w:val="22"/>
          <w:szCs w:val="22"/>
        </w:rPr>
        <w:t xml:space="preserve">iał dróg ze względu na funkcje </w:t>
      </w:r>
      <w:r w:rsidRPr="009B78DA">
        <w:rPr>
          <w:rFonts w:ascii="Arial" w:hAnsi="Arial" w:cs="Arial"/>
          <w:color w:val="000000" w:themeColor="text1"/>
          <w:sz w:val="22"/>
          <w:szCs w:val="22"/>
        </w:rPr>
        <w:t>w sieci drogowej na następujące kategorie:</w:t>
      </w:r>
    </w:p>
    <w:p w14:paraId="139E78B3" w14:textId="77777777" w:rsidR="007E4589" w:rsidRPr="009B78DA" w:rsidRDefault="007E4589" w:rsidP="0054793A">
      <w:pPr>
        <w:pStyle w:val="Akapitzlist"/>
        <w:numPr>
          <w:ilvl w:val="0"/>
          <w:numId w:val="58"/>
        </w:numPr>
        <w:spacing w:after="120" w:line="240"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drogi krajowe;</w:t>
      </w:r>
    </w:p>
    <w:p w14:paraId="41891DC1" w14:textId="77777777" w:rsidR="007E4589" w:rsidRPr="009B78DA" w:rsidRDefault="007E4589" w:rsidP="0054793A">
      <w:pPr>
        <w:pStyle w:val="Akapitzlist"/>
        <w:numPr>
          <w:ilvl w:val="0"/>
          <w:numId w:val="58"/>
        </w:numPr>
        <w:spacing w:after="120" w:line="240"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drogi wojewódzkie;</w:t>
      </w:r>
    </w:p>
    <w:p w14:paraId="44474DD4" w14:textId="77777777" w:rsidR="007E4589" w:rsidRPr="009B78DA" w:rsidRDefault="007E4589" w:rsidP="0054793A">
      <w:pPr>
        <w:pStyle w:val="Akapitzlist"/>
        <w:numPr>
          <w:ilvl w:val="0"/>
          <w:numId w:val="58"/>
        </w:numPr>
        <w:spacing w:after="120" w:line="240"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drogi powiatowe;</w:t>
      </w:r>
    </w:p>
    <w:p w14:paraId="7E819A40" w14:textId="77777777" w:rsidR="007E4589" w:rsidRPr="009B78DA" w:rsidRDefault="007E4589" w:rsidP="0054793A">
      <w:pPr>
        <w:pStyle w:val="Akapitzlist"/>
        <w:numPr>
          <w:ilvl w:val="0"/>
          <w:numId w:val="58"/>
        </w:numPr>
        <w:spacing w:after="120" w:line="240"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drogi gminne.</w:t>
      </w:r>
    </w:p>
    <w:p w14:paraId="4D077A17" w14:textId="3F4B2B5D" w:rsidR="007E4589" w:rsidRPr="009B78DA" w:rsidRDefault="007E4589" w:rsidP="0054793A">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Artykuł 2a tej ustawy stanowi, że drogi krajowe są własnością Skarbu Państwa </w:t>
      </w:r>
      <w:r w:rsidR="00E941C5">
        <w:rPr>
          <w:rFonts w:ascii="Arial" w:hAnsi="Arial" w:cs="Arial"/>
          <w:color w:val="000000" w:themeColor="text1"/>
          <w:sz w:val="22"/>
          <w:szCs w:val="22"/>
        </w:rPr>
        <w:br/>
      </w:r>
      <w:r w:rsidRPr="009B78DA">
        <w:rPr>
          <w:rFonts w:ascii="Arial" w:hAnsi="Arial" w:cs="Arial"/>
          <w:color w:val="000000" w:themeColor="text1"/>
          <w:sz w:val="22"/>
          <w:szCs w:val="22"/>
        </w:rPr>
        <w:t xml:space="preserve">a drogi wojewódzkie, powiatowe i gminne są własnością właściwego samorządu województwa, powiatu lub gminy. Koszty utrzymania, eksploatacji i konserwacji istniejącej sieci dróg ponoszą ich zarządcy. W przypadku dróg krajowych zadania zarządu na terenie województwa podkarpackiego wykonuje Oddział Wojewódzki Generalnej Dyrekcji Dróg Krajowych i Autostrad w Rzeszowie (GDDKiA). Drogami wojewódzkimi zarządza Podkarpacki Zarząd Dróg Wojewódzkich w Rzeszowie, który jest jednostką budżetową finansowaną przez Samorząd Województwa Podkarpackiego i jako jednostka organizacyjna wykonuje zadania w zakresie planowania, budowy, przebudowy, remontu, utrzymania </w:t>
      </w:r>
      <w:r w:rsidR="00E941C5">
        <w:rPr>
          <w:rFonts w:ascii="Arial" w:hAnsi="Arial" w:cs="Arial"/>
          <w:color w:val="000000" w:themeColor="text1"/>
          <w:sz w:val="22"/>
          <w:szCs w:val="22"/>
        </w:rPr>
        <w:br/>
      </w:r>
      <w:r w:rsidRPr="009B78DA">
        <w:rPr>
          <w:rFonts w:ascii="Arial" w:hAnsi="Arial" w:cs="Arial"/>
          <w:color w:val="000000" w:themeColor="text1"/>
          <w:sz w:val="22"/>
          <w:szCs w:val="22"/>
        </w:rPr>
        <w:t>i ochrony dróg, zgodnie z ww. ustawą.</w:t>
      </w:r>
    </w:p>
    <w:p w14:paraId="43A966F4" w14:textId="23F8CFB3" w:rsidR="001767B2" w:rsidRPr="009B78DA" w:rsidRDefault="007E4589" w:rsidP="0054793A">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Według informacji pozyskanych z GDDKiA</w:t>
      </w:r>
      <w:r w:rsidR="00A35CC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 Oddział w Rzeszowie, koszty utrzymania sieci dróg krajowych w województwie podkarpackim w latach 2014</w:t>
      </w:r>
      <w:r w:rsidR="00A35CC1" w:rsidRPr="009B78DA">
        <w:rPr>
          <w:rFonts w:ascii="Arial" w:hAnsi="Arial" w:cs="Arial"/>
          <w:color w:val="000000" w:themeColor="text1"/>
          <w:sz w:val="22"/>
          <w:szCs w:val="22"/>
        </w:rPr>
        <w:t>-</w:t>
      </w:r>
      <w:r w:rsidRPr="009B78DA">
        <w:rPr>
          <w:rFonts w:ascii="Arial" w:hAnsi="Arial" w:cs="Arial"/>
          <w:color w:val="000000" w:themeColor="text1"/>
          <w:sz w:val="22"/>
          <w:szCs w:val="22"/>
        </w:rPr>
        <w:t>2019 wzrosły o ok. 60%, przy czym w latach 2014 - 2018 rosły niemal liniowo o ok. 12% rocznie, natomiast w 2019 roku ustabilizowały się na poziomie roku 2018.</w:t>
      </w:r>
    </w:p>
    <w:p w14:paraId="22D06F18" w14:textId="61067493" w:rsidR="001767B2" w:rsidRPr="009B78DA" w:rsidRDefault="001767B2" w:rsidP="0054793A">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Wydatki ponoszone na utrzymanie infrastruktury drogowej rokrocznie wzrastają. Na uwagę zasługuje fakt, iż koszty utrzymania dróg krajowych wzrosły z poziomu 65,2 mln zł </w:t>
      </w:r>
      <w:r w:rsidR="00CE4F17" w:rsidRPr="009B78DA">
        <w:rPr>
          <w:rFonts w:ascii="Arial" w:hAnsi="Arial" w:cs="Arial"/>
          <w:color w:val="000000" w:themeColor="text1"/>
          <w:sz w:val="22"/>
          <w:szCs w:val="22"/>
        </w:rPr>
        <w:br/>
      </w:r>
      <w:r w:rsidRPr="009B78DA">
        <w:rPr>
          <w:rFonts w:ascii="Arial" w:hAnsi="Arial" w:cs="Arial"/>
          <w:color w:val="000000" w:themeColor="text1"/>
          <w:sz w:val="22"/>
          <w:szCs w:val="22"/>
        </w:rPr>
        <w:t>w 2014 roku do 103,9 mln zł w 2019 roku. Równocześnie przewiduje się dalszy wzrost kosztów utrzymania o ponad 15% w 2020 roku, tj. do poziomu 120,3 mln zł;</w:t>
      </w:r>
    </w:p>
    <w:p w14:paraId="25173089" w14:textId="4A5C45F8" w:rsidR="00693FD7" w:rsidRPr="009B78DA" w:rsidRDefault="00693FD7" w:rsidP="001E46F1">
      <w:pPr>
        <w:pStyle w:val="Legenda"/>
        <w:keepNext/>
        <w:spacing w:after="120" w:line="276" w:lineRule="auto"/>
        <w:rPr>
          <w:rFonts w:ascii="Arial" w:hAnsi="Arial" w:cs="Arial"/>
          <w:i w:val="0"/>
          <w:color w:val="000000" w:themeColor="text1"/>
          <w:sz w:val="22"/>
          <w:szCs w:val="22"/>
        </w:rPr>
      </w:pPr>
      <w:bookmarkStart w:id="140" w:name="_Toc146785737"/>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7</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Koszty utrzymania dróg krajowych w latach: 2014-2019</w:t>
      </w:r>
      <w:bookmarkEnd w:id="140"/>
    </w:p>
    <w:tbl>
      <w:tblPr>
        <w:tblStyle w:val="Tabela-Siatka"/>
        <w:tblW w:w="5000" w:type="pct"/>
        <w:tblLook w:val="04A0" w:firstRow="1" w:lastRow="0" w:firstColumn="1" w:lastColumn="0" w:noHBand="0" w:noVBand="1"/>
        <w:tblCaption w:val="Tabela 7 Koszty utrzymania dróg krajowych w latach: 2014-2019"/>
        <w:tblDescription w:val="Tabela zawiera Rok, Koszty w mln złotych"/>
      </w:tblPr>
      <w:tblGrid>
        <w:gridCol w:w="2128"/>
        <w:gridCol w:w="6934"/>
      </w:tblGrid>
      <w:tr w:rsidR="006F4FD2" w:rsidRPr="009B78DA" w14:paraId="2A7D8051" w14:textId="77777777" w:rsidTr="00E941C5">
        <w:trPr>
          <w:tblHeader/>
        </w:trPr>
        <w:tc>
          <w:tcPr>
            <w:tcW w:w="1174" w:type="pct"/>
            <w:shd w:val="clear" w:color="auto" w:fill="DEEAF6" w:themeFill="accent1" w:themeFillTint="33"/>
            <w:vAlign w:val="center"/>
          </w:tcPr>
          <w:p w14:paraId="2DC22515" w14:textId="77777777" w:rsidR="007E4589" w:rsidRPr="009B78DA" w:rsidRDefault="007E4589" w:rsidP="00B163BE">
            <w:pPr>
              <w:spacing w:before="120"/>
              <w:jc w:val="center"/>
              <w:rPr>
                <w:rFonts w:ascii="Arial" w:hAnsi="Arial" w:cs="Arial"/>
                <w:b/>
                <w:color w:val="000000" w:themeColor="text1"/>
                <w:sz w:val="22"/>
                <w:szCs w:val="22"/>
              </w:rPr>
            </w:pPr>
            <w:r w:rsidRPr="009B78DA">
              <w:rPr>
                <w:rFonts w:ascii="Arial" w:hAnsi="Arial" w:cs="Arial"/>
                <w:b/>
                <w:color w:val="000000" w:themeColor="text1"/>
                <w:sz w:val="22"/>
                <w:szCs w:val="22"/>
              </w:rPr>
              <w:t>Rok</w:t>
            </w:r>
          </w:p>
        </w:tc>
        <w:tc>
          <w:tcPr>
            <w:tcW w:w="3826" w:type="pct"/>
            <w:shd w:val="clear" w:color="auto" w:fill="DEEAF6" w:themeFill="accent1" w:themeFillTint="33"/>
            <w:vAlign w:val="center"/>
          </w:tcPr>
          <w:p w14:paraId="0C155C2A" w14:textId="77777777" w:rsidR="007E4589" w:rsidRPr="009B78DA" w:rsidRDefault="007E4589" w:rsidP="00B163BE">
            <w:pPr>
              <w:spacing w:before="120"/>
              <w:jc w:val="center"/>
              <w:rPr>
                <w:rFonts w:ascii="Arial" w:hAnsi="Arial" w:cs="Arial"/>
                <w:b/>
                <w:color w:val="000000" w:themeColor="text1"/>
                <w:sz w:val="22"/>
                <w:szCs w:val="22"/>
              </w:rPr>
            </w:pPr>
            <w:r w:rsidRPr="009B78DA">
              <w:rPr>
                <w:rFonts w:ascii="Arial" w:hAnsi="Arial" w:cs="Arial"/>
                <w:b/>
                <w:color w:val="000000" w:themeColor="text1"/>
                <w:sz w:val="22"/>
                <w:szCs w:val="22"/>
              </w:rPr>
              <w:t>Koszty w mln złotych</w:t>
            </w:r>
          </w:p>
        </w:tc>
      </w:tr>
      <w:tr w:rsidR="006F4FD2" w:rsidRPr="009B78DA" w14:paraId="24D16BAC" w14:textId="77777777" w:rsidTr="00E941C5">
        <w:tc>
          <w:tcPr>
            <w:tcW w:w="1174" w:type="pct"/>
            <w:vAlign w:val="center"/>
          </w:tcPr>
          <w:p w14:paraId="2BB05AB9" w14:textId="77777777" w:rsidR="007E4589" w:rsidRPr="009B78DA" w:rsidRDefault="007E4589" w:rsidP="00354781">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2014</w:t>
            </w:r>
          </w:p>
        </w:tc>
        <w:tc>
          <w:tcPr>
            <w:tcW w:w="3826" w:type="pct"/>
            <w:vAlign w:val="center"/>
          </w:tcPr>
          <w:p w14:paraId="279546FF" w14:textId="77777777" w:rsidR="007E4589" w:rsidRPr="009B78DA" w:rsidRDefault="007E4589" w:rsidP="00B80D2A">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65,2</w:t>
            </w:r>
          </w:p>
        </w:tc>
      </w:tr>
      <w:tr w:rsidR="006F4FD2" w:rsidRPr="009B78DA" w14:paraId="73CF6116" w14:textId="77777777" w:rsidTr="00E941C5">
        <w:tc>
          <w:tcPr>
            <w:tcW w:w="1174" w:type="pct"/>
            <w:vAlign w:val="center"/>
          </w:tcPr>
          <w:p w14:paraId="111C6075" w14:textId="77777777" w:rsidR="007E4589" w:rsidRPr="009B78DA" w:rsidRDefault="007E4589" w:rsidP="00354781">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2015</w:t>
            </w:r>
          </w:p>
        </w:tc>
        <w:tc>
          <w:tcPr>
            <w:tcW w:w="3826" w:type="pct"/>
            <w:vAlign w:val="center"/>
          </w:tcPr>
          <w:p w14:paraId="08AD1A1C" w14:textId="77777777" w:rsidR="007E4589" w:rsidRPr="009B78DA" w:rsidRDefault="007E4589" w:rsidP="00B80D2A">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72,6</w:t>
            </w:r>
          </w:p>
        </w:tc>
      </w:tr>
      <w:tr w:rsidR="006F4FD2" w:rsidRPr="009B78DA" w14:paraId="3B151B77" w14:textId="77777777" w:rsidTr="00E941C5">
        <w:tc>
          <w:tcPr>
            <w:tcW w:w="1174" w:type="pct"/>
            <w:vAlign w:val="center"/>
          </w:tcPr>
          <w:p w14:paraId="75CC7CAE" w14:textId="77777777" w:rsidR="007E4589" w:rsidRPr="009B78DA" w:rsidRDefault="007E4589" w:rsidP="00354781">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2016</w:t>
            </w:r>
          </w:p>
        </w:tc>
        <w:tc>
          <w:tcPr>
            <w:tcW w:w="3826" w:type="pct"/>
            <w:vAlign w:val="center"/>
          </w:tcPr>
          <w:p w14:paraId="40D80A6F" w14:textId="77777777" w:rsidR="007E4589" w:rsidRPr="009B78DA" w:rsidRDefault="007E4589" w:rsidP="00B80D2A">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86,0</w:t>
            </w:r>
          </w:p>
        </w:tc>
      </w:tr>
      <w:tr w:rsidR="006F4FD2" w:rsidRPr="009B78DA" w14:paraId="5B0A5B1F" w14:textId="77777777" w:rsidTr="00E941C5">
        <w:tc>
          <w:tcPr>
            <w:tcW w:w="1174" w:type="pct"/>
            <w:vAlign w:val="center"/>
          </w:tcPr>
          <w:p w14:paraId="33CB8796" w14:textId="77777777" w:rsidR="007E4589" w:rsidRPr="009B78DA" w:rsidRDefault="007E4589" w:rsidP="00354781">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2017</w:t>
            </w:r>
          </w:p>
        </w:tc>
        <w:tc>
          <w:tcPr>
            <w:tcW w:w="3826" w:type="pct"/>
            <w:vAlign w:val="center"/>
          </w:tcPr>
          <w:p w14:paraId="221D59CA" w14:textId="77777777" w:rsidR="007E4589" w:rsidRPr="009B78DA" w:rsidRDefault="007E4589" w:rsidP="00B80D2A">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97,1</w:t>
            </w:r>
          </w:p>
        </w:tc>
      </w:tr>
      <w:tr w:rsidR="006F4FD2" w:rsidRPr="009B78DA" w14:paraId="6E4C14C9" w14:textId="77777777" w:rsidTr="00E941C5">
        <w:tc>
          <w:tcPr>
            <w:tcW w:w="1174" w:type="pct"/>
            <w:vAlign w:val="center"/>
          </w:tcPr>
          <w:p w14:paraId="37568BB4" w14:textId="77777777" w:rsidR="007E4589" w:rsidRPr="009B78DA" w:rsidRDefault="007E4589" w:rsidP="00354781">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2018</w:t>
            </w:r>
          </w:p>
        </w:tc>
        <w:tc>
          <w:tcPr>
            <w:tcW w:w="3826" w:type="pct"/>
            <w:vAlign w:val="center"/>
          </w:tcPr>
          <w:p w14:paraId="0E3A5142" w14:textId="77777777" w:rsidR="007E4589" w:rsidRPr="009B78DA" w:rsidRDefault="007E4589" w:rsidP="00B80D2A">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103,7</w:t>
            </w:r>
          </w:p>
        </w:tc>
      </w:tr>
      <w:tr w:rsidR="006F4FD2" w:rsidRPr="009B78DA" w14:paraId="4BBC3E25" w14:textId="77777777" w:rsidTr="00E941C5">
        <w:trPr>
          <w:trHeight w:val="209"/>
        </w:trPr>
        <w:tc>
          <w:tcPr>
            <w:tcW w:w="1174" w:type="pct"/>
            <w:vAlign w:val="center"/>
          </w:tcPr>
          <w:p w14:paraId="77C64B9E" w14:textId="77777777" w:rsidR="007E4589" w:rsidRPr="009B78DA" w:rsidRDefault="007E4589" w:rsidP="00354781">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2019</w:t>
            </w:r>
          </w:p>
        </w:tc>
        <w:tc>
          <w:tcPr>
            <w:tcW w:w="3826" w:type="pct"/>
            <w:vAlign w:val="center"/>
          </w:tcPr>
          <w:p w14:paraId="0D4FDC1F" w14:textId="77777777" w:rsidR="007E4589" w:rsidRPr="009B78DA" w:rsidRDefault="007E4589" w:rsidP="00B80D2A">
            <w:pPr>
              <w:spacing w:before="120"/>
              <w:jc w:val="center"/>
              <w:rPr>
                <w:rFonts w:ascii="Arial" w:hAnsi="Arial" w:cs="Arial"/>
                <w:color w:val="000000" w:themeColor="text1"/>
                <w:sz w:val="22"/>
                <w:szCs w:val="22"/>
              </w:rPr>
            </w:pPr>
            <w:r w:rsidRPr="009B78DA">
              <w:rPr>
                <w:rFonts w:ascii="Arial" w:hAnsi="Arial" w:cs="Arial"/>
                <w:color w:val="000000" w:themeColor="text1"/>
                <w:sz w:val="22"/>
                <w:szCs w:val="22"/>
              </w:rPr>
              <w:t>103,9</w:t>
            </w:r>
          </w:p>
        </w:tc>
      </w:tr>
    </w:tbl>
    <w:p w14:paraId="0FA8E3B7" w14:textId="549061F7" w:rsidR="007E4589" w:rsidRPr="009B78DA" w:rsidRDefault="007E4589" w:rsidP="001E46F1">
      <w:pPr>
        <w:spacing w:before="120" w:line="264"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Pr="009B78DA">
        <w:rPr>
          <w:rFonts w:ascii="Arial" w:hAnsi="Arial" w:cs="Arial"/>
          <w:i/>
          <w:color w:val="000000" w:themeColor="text1"/>
          <w:sz w:val="22"/>
          <w:szCs w:val="22"/>
        </w:rPr>
        <w:t>Diagnoza stanu systemu transportowego w województwie podkarpackim</w:t>
      </w:r>
      <w:r w:rsidRPr="009B78DA">
        <w:rPr>
          <w:rFonts w:ascii="Arial" w:hAnsi="Arial" w:cs="Arial"/>
          <w:color w:val="000000" w:themeColor="text1"/>
          <w:sz w:val="22"/>
          <w:szCs w:val="22"/>
        </w:rPr>
        <w:t xml:space="preserve">, PBPP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w Rzeszowie, 2020</w:t>
      </w:r>
      <w:r w:rsidR="001E00EE" w:rsidRPr="009B78DA">
        <w:rPr>
          <w:rFonts w:ascii="Arial" w:hAnsi="Arial" w:cs="Arial"/>
          <w:color w:val="000000" w:themeColor="text1"/>
          <w:sz w:val="22"/>
          <w:szCs w:val="22"/>
        </w:rPr>
        <w:t>/2021</w:t>
      </w:r>
      <w:r w:rsidR="001E46F1">
        <w:rPr>
          <w:rFonts w:ascii="Arial" w:hAnsi="Arial" w:cs="Arial"/>
          <w:color w:val="000000" w:themeColor="text1"/>
          <w:sz w:val="22"/>
          <w:szCs w:val="22"/>
        </w:rPr>
        <w:t>.</w:t>
      </w:r>
    </w:p>
    <w:p w14:paraId="5D34A7E3" w14:textId="13F449DA" w:rsidR="007E4589" w:rsidRPr="009B78DA" w:rsidRDefault="007E4589" w:rsidP="001E46F1">
      <w:pPr>
        <w:spacing w:before="12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Koszty bieżące utrzymania dróg wojewódzkich w latach 2014</w:t>
      </w:r>
      <w:r w:rsidR="0053649F" w:rsidRPr="009B78DA">
        <w:rPr>
          <w:rFonts w:ascii="Arial" w:hAnsi="Arial" w:cs="Arial"/>
          <w:color w:val="000000" w:themeColor="text1"/>
          <w:sz w:val="22"/>
          <w:szCs w:val="22"/>
        </w:rPr>
        <w:t>-</w:t>
      </w:r>
      <w:r w:rsidRPr="009B78DA">
        <w:rPr>
          <w:rFonts w:ascii="Arial" w:hAnsi="Arial" w:cs="Arial"/>
          <w:color w:val="000000" w:themeColor="text1"/>
          <w:sz w:val="22"/>
          <w:szCs w:val="22"/>
        </w:rPr>
        <w:t>2019 wzrosły o ok. 38% z tym, że w latach 2015</w:t>
      </w:r>
      <w:r w:rsidR="0053649F" w:rsidRPr="009B78DA">
        <w:rPr>
          <w:rFonts w:ascii="Arial" w:hAnsi="Arial" w:cs="Arial"/>
          <w:color w:val="000000" w:themeColor="text1"/>
          <w:sz w:val="22"/>
          <w:szCs w:val="22"/>
        </w:rPr>
        <w:t>-</w:t>
      </w:r>
      <w:r w:rsidRPr="009B78DA">
        <w:rPr>
          <w:rFonts w:ascii="Arial" w:hAnsi="Arial" w:cs="Arial"/>
          <w:color w:val="000000" w:themeColor="text1"/>
          <w:sz w:val="22"/>
          <w:szCs w:val="22"/>
        </w:rPr>
        <w:t>2019 kształtowały się na porównywalnych poziomach z lekką (8%) tendencją spadkową.</w:t>
      </w:r>
    </w:p>
    <w:p w14:paraId="2538F728" w14:textId="750BDC2B" w:rsidR="00693FD7" w:rsidRPr="009B78DA" w:rsidRDefault="00693FD7" w:rsidP="001E46F1">
      <w:pPr>
        <w:pStyle w:val="Legenda"/>
        <w:keepNext/>
        <w:spacing w:after="120"/>
        <w:rPr>
          <w:rFonts w:ascii="Arial" w:hAnsi="Arial" w:cs="Arial"/>
          <w:i w:val="0"/>
          <w:color w:val="000000" w:themeColor="text1"/>
          <w:sz w:val="22"/>
          <w:szCs w:val="22"/>
        </w:rPr>
      </w:pPr>
      <w:bookmarkStart w:id="141" w:name="_Toc146785738"/>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Koszty utrzymania dróg wojewódzkich w latach: 2014-2019</w:t>
      </w:r>
      <w:bookmarkEnd w:id="141"/>
    </w:p>
    <w:tbl>
      <w:tblPr>
        <w:tblStyle w:val="Tabela-Siatka"/>
        <w:tblW w:w="5000" w:type="pct"/>
        <w:tblLook w:val="04A0" w:firstRow="1" w:lastRow="0" w:firstColumn="1" w:lastColumn="0" w:noHBand="0" w:noVBand="1"/>
        <w:tblCaption w:val="Tabela 8 Koszty utrzymania dróg wojewódzkich w latach: 2014-2019"/>
        <w:tblDescription w:val="Tabela zawiera Rok, Koszty ogółem w złotych, Koszty poniesione przez samorząd województwa w złotych, Dotacja z budżetu państwa w złotych"/>
      </w:tblPr>
      <w:tblGrid>
        <w:gridCol w:w="750"/>
        <w:gridCol w:w="1896"/>
        <w:gridCol w:w="3897"/>
        <w:gridCol w:w="2519"/>
      </w:tblGrid>
      <w:tr w:rsidR="006F4FD2" w:rsidRPr="009B78DA" w14:paraId="52377914" w14:textId="77777777" w:rsidTr="0038059E">
        <w:trPr>
          <w:trHeight w:val="258"/>
          <w:tblHeader/>
        </w:trPr>
        <w:tc>
          <w:tcPr>
            <w:tcW w:w="414" w:type="pct"/>
            <w:shd w:val="clear" w:color="auto" w:fill="DEEAF6" w:themeFill="accent1" w:themeFillTint="33"/>
            <w:vAlign w:val="center"/>
          </w:tcPr>
          <w:p w14:paraId="1B866F88" w14:textId="77777777" w:rsidR="007E4589" w:rsidRPr="009B78DA" w:rsidRDefault="007E4589" w:rsidP="00B163BE">
            <w:pPr>
              <w:spacing w:before="120"/>
              <w:jc w:val="center"/>
              <w:rPr>
                <w:rFonts w:ascii="Arial" w:hAnsi="Arial" w:cs="Arial"/>
                <w:b/>
                <w:color w:val="000000" w:themeColor="text1"/>
                <w:sz w:val="22"/>
                <w:szCs w:val="22"/>
              </w:rPr>
            </w:pPr>
            <w:r w:rsidRPr="009B78DA">
              <w:rPr>
                <w:rFonts w:ascii="Arial" w:hAnsi="Arial" w:cs="Arial"/>
                <w:b/>
                <w:color w:val="000000" w:themeColor="text1"/>
                <w:sz w:val="22"/>
                <w:szCs w:val="22"/>
              </w:rPr>
              <w:t>Rok</w:t>
            </w:r>
          </w:p>
        </w:tc>
        <w:tc>
          <w:tcPr>
            <w:tcW w:w="1046" w:type="pct"/>
            <w:shd w:val="clear" w:color="auto" w:fill="DEEAF6" w:themeFill="accent1" w:themeFillTint="33"/>
            <w:vAlign w:val="center"/>
          </w:tcPr>
          <w:p w14:paraId="0F716437" w14:textId="77777777" w:rsidR="007E4589" w:rsidRPr="009B78DA" w:rsidRDefault="007E4589" w:rsidP="00B163BE">
            <w:pPr>
              <w:spacing w:before="120"/>
              <w:jc w:val="center"/>
              <w:rPr>
                <w:rFonts w:ascii="Arial" w:hAnsi="Arial" w:cs="Arial"/>
                <w:b/>
                <w:color w:val="000000" w:themeColor="text1"/>
                <w:sz w:val="22"/>
                <w:szCs w:val="22"/>
              </w:rPr>
            </w:pPr>
            <w:r w:rsidRPr="009B78DA">
              <w:rPr>
                <w:rFonts w:ascii="Arial" w:hAnsi="Arial" w:cs="Arial"/>
                <w:b/>
                <w:color w:val="000000" w:themeColor="text1"/>
                <w:sz w:val="22"/>
                <w:szCs w:val="22"/>
              </w:rPr>
              <w:t>Koszty ogółem w złotych</w:t>
            </w:r>
          </w:p>
        </w:tc>
        <w:tc>
          <w:tcPr>
            <w:tcW w:w="2150" w:type="pct"/>
            <w:shd w:val="clear" w:color="auto" w:fill="DEEAF6" w:themeFill="accent1" w:themeFillTint="33"/>
            <w:vAlign w:val="center"/>
          </w:tcPr>
          <w:p w14:paraId="0C1E411D" w14:textId="77777777" w:rsidR="007E4589" w:rsidRPr="009B78DA" w:rsidRDefault="007E4589" w:rsidP="00B163BE">
            <w:pPr>
              <w:spacing w:before="120"/>
              <w:jc w:val="center"/>
              <w:rPr>
                <w:rFonts w:ascii="Arial" w:hAnsi="Arial" w:cs="Arial"/>
                <w:b/>
                <w:color w:val="000000" w:themeColor="text1"/>
                <w:sz w:val="22"/>
                <w:szCs w:val="22"/>
              </w:rPr>
            </w:pPr>
            <w:r w:rsidRPr="009B78DA">
              <w:rPr>
                <w:rFonts w:ascii="Arial" w:hAnsi="Arial" w:cs="Arial"/>
                <w:b/>
                <w:color w:val="000000" w:themeColor="text1"/>
                <w:sz w:val="22"/>
                <w:szCs w:val="22"/>
              </w:rPr>
              <w:t>Koszty poniesione przez samorząd województwa w złotych</w:t>
            </w:r>
          </w:p>
        </w:tc>
        <w:tc>
          <w:tcPr>
            <w:tcW w:w="1390" w:type="pct"/>
            <w:shd w:val="clear" w:color="auto" w:fill="DEEAF6" w:themeFill="accent1" w:themeFillTint="33"/>
            <w:vAlign w:val="center"/>
          </w:tcPr>
          <w:p w14:paraId="7FB4B2AC" w14:textId="77777777" w:rsidR="007E4589" w:rsidRPr="009B78DA" w:rsidRDefault="007E4589" w:rsidP="00B163BE">
            <w:pPr>
              <w:spacing w:before="120"/>
              <w:jc w:val="center"/>
              <w:rPr>
                <w:rFonts w:ascii="Arial" w:hAnsi="Arial" w:cs="Arial"/>
                <w:b/>
                <w:color w:val="000000" w:themeColor="text1"/>
                <w:sz w:val="22"/>
                <w:szCs w:val="22"/>
              </w:rPr>
            </w:pPr>
            <w:r w:rsidRPr="009B78DA">
              <w:rPr>
                <w:rFonts w:ascii="Arial" w:hAnsi="Arial" w:cs="Arial"/>
                <w:b/>
                <w:color w:val="000000" w:themeColor="text1"/>
                <w:sz w:val="22"/>
                <w:szCs w:val="22"/>
              </w:rPr>
              <w:t>Dotacja z budżetu państwa w złotych</w:t>
            </w:r>
          </w:p>
        </w:tc>
      </w:tr>
      <w:tr w:rsidR="0038059E" w:rsidRPr="009B78DA" w14:paraId="73DE4F28" w14:textId="77777777" w:rsidTr="007E4589">
        <w:tc>
          <w:tcPr>
            <w:tcW w:w="414" w:type="pct"/>
            <w:vAlign w:val="center"/>
          </w:tcPr>
          <w:p w14:paraId="172A2659" w14:textId="7ECD4AF8"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2014</w:t>
            </w:r>
          </w:p>
        </w:tc>
        <w:tc>
          <w:tcPr>
            <w:tcW w:w="1046" w:type="pct"/>
            <w:vAlign w:val="center"/>
          </w:tcPr>
          <w:p w14:paraId="470DEB37" w14:textId="24C201A9"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32 785 577,50</w:t>
            </w:r>
          </w:p>
        </w:tc>
        <w:tc>
          <w:tcPr>
            <w:tcW w:w="2150" w:type="pct"/>
            <w:vAlign w:val="center"/>
          </w:tcPr>
          <w:p w14:paraId="7C05705F" w14:textId="41C663B8"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32 785 577,50</w:t>
            </w:r>
          </w:p>
        </w:tc>
        <w:tc>
          <w:tcPr>
            <w:tcW w:w="1390" w:type="pct"/>
            <w:vAlign w:val="center"/>
          </w:tcPr>
          <w:p w14:paraId="77B4F314" w14:textId="72EC73F0"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w:t>
            </w:r>
          </w:p>
        </w:tc>
      </w:tr>
      <w:tr w:rsidR="0038059E" w:rsidRPr="009B78DA" w14:paraId="47E205F4" w14:textId="77777777" w:rsidTr="007E4589">
        <w:tc>
          <w:tcPr>
            <w:tcW w:w="414" w:type="pct"/>
            <w:vAlign w:val="center"/>
          </w:tcPr>
          <w:p w14:paraId="1A39CEFD" w14:textId="7428C62E"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2015</w:t>
            </w:r>
          </w:p>
        </w:tc>
        <w:tc>
          <w:tcPr>
            <w:tcW w:w="1046" w:type="pct"/>
            <w:vAlign w:val="center"/>
          </w:tcPr>
          <w:p w14:paraId="36C673E9" w14:textId="5B47C6A0"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49 054 019,35</w:t>
            </w:r>
          </w:p>
        </w:tc>
        <w:tc>
          <w:tcPr>
            <w:tcW w:w="2150" w:type="pct"/>
            <w:vAlign w:val="center"/>
          </w:tcPr>
          <w:p w14:paraId="76598DBA" w14:textId="6B9BC1F6"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29 149 826,16</w:t>
            </w:r>
          </w:p>
        </w:tc>
        <w:tc>
          <w:tcPr>
            <w:tcW w:w="1390" w:type="pct"/>
            <w:vAlign w:val="center"/>
          </w:tcPr>
          <w:p w14:paraId="649F21D6" w14:textId="516CF267"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19 905 193,19</w:t>
            </w:r>
          </w:p>
        </w:tc>
      </w:tr>
      <w:tr w:rsidR="0038059E" w:rsidRPr="009B78DA" w14:paraId="2D67E955" w14:textId="77777777" w:rsidTr="007E4589">
        <w:tc>
          <w:tcPr>
            <w:tcW w:w="414" w:type="pct"/>
            <w:vAlign w:val="center"/>
          </w:tcPr>
          <w:p w14:paraId="5BD1A55A" w14:textId="5B9C32F5"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2016</w:t>
            </w:r>
          </w:p>
        </w:tc>
        <w:tc>
          <w:tcPr>
            <w:tcW w:w="1046" w:type="pct"/>
            <w:vAlign w:val="center"/>
          </w:tcPr>
          <w:p w14:paraId="14C1594C" w14:textId="125BBD2B"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44 617 766,45</w:t>
            </w:r>
          </w:p>
        </w:tc>
        <w:tc>
          <w:tcPr>
            <w:tcW w:w="2150" w:type="pct"/>
            <w:vAlign w:val="center"/>
          </w:tcPr>
          <w:p w14:paraId="588B65CA" w14:textId="6474DE21"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30 826 613,45</w:t>
            </w:r>
          </w:p>
        </w:tc>
        <w:tc>
          <w:tcPr>
            <w:tcW w:w="1390" w:type="pct"/>
            <w:vAlign w:val="center"/>
          </w:tcPr>
          <w:p w14:paraId="76CCE486" w14:textId="727A8B13"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13 791 153,00</w:t>
            </w:r>
          </w:p>
        </w:tc>
      </w:tr>
      <w:tr w:rsidR="0038059E" w:rsidRPr="009B78DA" w14:paraId="774A0E08" w14:textId="77777777" w:rsidTr="007E4589">
        <w:tc>
          <w:tcPr>
            <w:tcW w:w="414" w:type="pct"/>
            <w:vAlign w:val="center"/>
          </w:tcPr>
          <w:p w14:paraId="56916B99" w14:textId="6236581A"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2017</w:t>
            </w:r>
          </w:p>
        </w:tc>
        <w:tc>
          <w:tcPr>
            <w:tcW w:w="1046" w:type="pct"/>
            <w:vAlign w:val="center"/>
          </w:tcPr>
          <w:p w14:paraId="23D9AD2B" w14:textId="59DED58E"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47 685 203,77</w:t>
            </w:r>
          </w:p>
        </w:tc>
        <w:tc>
          <w:tcPr>
            <w:tcW w:w="2150" w:type="pct"/>
            <w:vAlign w:val="center"/>
          </w:tcPr>
          <w:p w14:paraId="70D50344" w14:textId="54B388F1"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32 896 196,77</w:t>
            </w:r>
          </w:p>
        </w:tc>
        <w:tc>
          <w:tcPr>
            <w:tcW w:w="1390" w:type="pct"/>
            <w:vAlign w:val="center"/>
          </w:tcPr>
          <w:p w14:paraId="36EB2DD5" w14:textId="06997606"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14 789 007,00</w:t>
            </w:r>
          </w:p>
        </w:tc>
      </w:tr>
      <w:tr w:rsidR="0038059E" w:rsidRPr="009B78DA" w14:paraId="4D344B13" w14:textId="77777777" w:rsidTr="007E4589">
        <w:tc>
          <w:tcPr>
            <w:tcW w:w="414" w:type="pct"/>
            <w:vAlign w:val="center"/>
          </w:tcPr>
          <w:p w14:paraId="65525CBC" w14:textId="485169F2"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2018</w:t>
            </w:r>
          </w:p>
        </w:tc>
        <w:tc>
          <w:tcPr>
            <w:tcW w:w="1046" w:type="pct"/>
            <w:vAlign w:val="center"/>
          </w:tcPr>
          <w:p w14:paraId="23BC7CC7" w14:textId="765A315E"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40 618 877,85</w:t>
            </w:r>
          </w:p>
        </w:tc>
        <w:tc>
          <w:tcPr>
            <w:tcW w:w="2150" w:type="pct"/>
            <w:vAlign w:val="center"/>
          </w:tcPr>
          <w:p w14:paraId="110BA807" w14:textId="7D24D5C9"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24 178 226,85</w:t>
            </w:r>
          </w:p>
        </w:tc>
        <w:tc>
          <w:tcPr>
            <w:tcW w:w="1390" w:type="pct"/>
            <w:vAlign w:val="center"/>
          </w:tcPr>
          <w:p w14:paraId="0739BDD5" w14:textId="092A7CEE"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16 440 651,00</w:t>
            </w:r>
          </w:p>
        </w:tc>
      </w:tr>
      <w:tr w:rsidR="0038059E" w:rsidRPr="009B78DA" w14:paraId="30708585" w14:textId="77777777" w:rsidTr="007E4589">
        <w:tc>
          <w:tcPr>
            <w:tcW w:w="414" w:type="pct"/>
            <w:vAlign w:val="center"/>
          </w:tcPr>
          <w:p w14:paraId="7F5D0BF2" w14:textId="77777777"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2019</w:t>
            </w:r>
          </w:p>
        </w:tc>
        <w:tc>
          <w:tcPr>
            <w:tcW w:w="1046" w:type="pct"/>
            <w:vAlign w:val="center"/>
          </w:tcPr>
          <w:p w14:paraId="2FA04F1B" w14:textId="77777777"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45 281 446,35</w:t>
            </w:r>
          </w:p>
        </w:tc>
        <w:tc>
          <w:tcPr>
            <w:tcW w:w="2150" w:type="pct"/>
            <w:vAlign w:val="center"/>
          </w:tcPr>
          <w:p w14:paraId="340792F4" w14:textId="77777777"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26 806 701,35</w:t>
            </w:r>
          </w:p>
        </w:tc>
        <w:tc>
          <w:tcPr>
            <w:tcW w:w="1390" w:type="pct"/>
            <w:vAlign w:val="center"/>
          </w:tcPr>
          <w:p w14:paraId="219D73CF" w14:textId="77777777" w:rsidR="0038059E" w:rsidRPr="009B78DA" w:rsidRDefault="0038059E" w:rsidP="0038059E">
            <w:pPr>
              <w:jc w:val="center"/>
              <w:rPr>
                <w:rFonts w:ascii="Arial" w:hAnsi="Arial" w:cs="Arial"/>
                <w:color w:val="000000" w:themeColor="text1"/>
                <w:sz w:val="22"/>
                <w:szCs w:val="22"/>
              </w:rPr>
            </w:pPr>
            <w:r w:rsidRPr="009B78DA">
              <w:rPr>
                <w:rFonts w:ascii="Arial" w:hAnsi="Arial" w:cs="Arial"/>
                <w:color w:val="000000" w:themeColor="text1"/>
                <w:sz w:val="22"/>
                <w:szCs w:val="22"/>
              </w:rPr>
              <w:t>18 474 745,00</w:t>
            </w:r>
          </w:p>
        </w:tc>
      </w:tr>
    </w:tbl>
    <w:p w14:paraId="67BF176E" w14:textId="089FD784" w:rsidR="00C54195" w:rsidRPr="009B78DA" w:rsidRDefault="00C54195" w:rsidP="001E46F1">
      <w:pPr>
        <w:spacing w:before="120"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Pr="009B78DA">
        <w:rPr>
          <w:rFonts w:ascii="Arial" w:hAnsi="Arial" w:cs="Arial"/>
          <w:i/>
          <w:color w:val="000000" w:themeColor="text1"/>
          <w:sz w:val="22"/>
          <w:szCs w:val="22"/>
        </w:rPr>
        <w:t>Diagnoza stanu systemu transportowego w województwie podkarpackim</w:t>
      </w:r>
      <w:r w:rsidRPr="009B78DA">
        <w:rPr>
          <w:rFonts w:ascii="Arial" w:hAnsi="Arial" w:cs="Arial"/>
          <w:color w:val="000000" w:themeColor="text1"/>
          <w:sz w:val="22"/>
          <w:szCs w:val="22"/>
        </w:rPr>
        <w:t xml:space="preserve">, PBPP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w Rzeszowie, 2020</w:t>
      </w:r>
      <w:r w:rsidR="001E00EE" w:rsidRPr="009B78DA">
        <w:rPr>
          <w:rFonts w:ascii="Arial" w:hAnsi="Arial" w:cs="Arial"/>
          <w:color w:val="000000" w:themeColor="text1"/>
          <w:sz w:val="22"/>
          <w:szCs w:val="22"/>
        </w:rPr>
        <w:t>/2021</w:t>
      </w:r>
      <w:r w:rsidR="001E46F1">
        <w:rPr>
          <w:rFonts w:ascii="Arial" w:hAnsi="Arial" w:cs="Arial"/>
          <w:color w:val="000000" w:themeColor="text1"/>
          <w:sz w:val="22"/>
          <w:szCs w:val="22"/>
        </w:rPr>
        <w:t>.</w:t>
      </w:r>
    </w:p>
    <w:p w14:paraId="28F2C82E" w14:textId="36306227" w:rsidR="00C54195" w:rsidRPr="009B78DA" w:rsidRDefault="00C54195" w:rsidP="001E46F1">
      <w:pPr>
        <w:spacing w:before="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 podstawie informacji pozyskanych od PKP Polskie Linie Kolejowe S.A. koszty utrzymania i eksploatacji linii kolejowych na terenie województwa podkarpackiego były bardzo zróżnicowane. Najwyższe kosz</w:t>
      </w:r>
      <w:r w:rsidR="00AD7484" w:rsidRPr="009B78DA">
        <w:rPr>
          <w:rFonts w:ascii="Arial" w:hAnsi="Arial" w:cs="Arial"/>
          <w:color w:val="000000" w:themeColor="text1"/>
          <w:sz w:val="22"/>
          <w:szCs w:val="22"/>
        </w:rPr>
        <w:t xml:space="preserve">ty utrzymania </w:t>
      </w:r>
      <w:r w:rsidRPr="009B78DA">
        <w:rPr>
          <w:rFonts w:ascii="Arial" w:hAnsi="Arial" w:cs="Arial"/>
          <w:color w:val="000000" w:themeColor="text1"/>
          <w:sz w:val="22"/>
          <w:szCs w:val="22"/>
        </w:rPr>
        <w:t>i eksploatacji w latach 2014-2019 zostały poniesione na liniach 91, 68, 108, 106, 25. Zróżnicowana była także dynamika wzrostu kosztów na poszczególnych liniach, która kształtowała się w przedziale 30% do 90%.</w:t>
      </w:r>
    </w:p>
    <w:p w14:paraId="44DA231D" w14:textId="7DC7D40C" w:rsidR="00693FD7" w:rsidRPr="009B78DA" w:rsidRDefault="00693FD7" w:rsidP="001E46F1">
      <w:pPr>
        <w:pStyle w:val="Legenda"/>
        <w:keepNext/>
        <w:spacing w:after="0" w:line="276" w:lineRule="auto"/>
        <w:rPr>
          <w:rFonts w:ascii="Arial" w:hAnsi="Arial" w:cs="Arial"/>
          <w:i w:val="0"/>
          <w:color w:val="000000" w:themeColor="text1"/>
          <w:sz w:val="22"/>
          <w:szCs w:val="22"/>
        </w:rPr>
      </w:pPr>
      <w:bookmarkStart w:id="142" w:name="_Toc146785708"/>
      <w:r w:rsidRPr="009B78DA">
        <w:rPr>
          <w:rFonts w:ascii="Arial" w:hAnsi="Arial" w:cs="Arial"/>
          <w:b/>
          <w:i w:val="0"/>
          <w:color w:val="000000" w:themeColor="text1"/>
          <w:sz w:val="22"/>
          <w:szCs w:val="22"/>
        </w:rPr>
        <w:t xml:space="preserve">Wykres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Wykres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bookmarkStart w:id="143" w:name="_Toc75248071"/>
      <w:r w:rsidRPr="009B78DA">
        <w:rPr>
          <w:rFonts w:ascii="Arial" w:hAnsi="Arial" w:cs="Arial"/>
          <w:i w:val="0"/>
          <w:color w:val="000000" w:themeColor="text1"/>
          <w:sz w:val="22"/>
          <w:szCs w:val="22"/>
        </w:rPr>
        <w:t>Koszty utrzymania linii kolejowy</w:t>
      </w:r>
      <w:r w:rsidR="001866FE" w:rsidRPr="009B78DA">
        <w:rPr>
          <w:rFonts w:ascii="Arial" w:hAnsi="Arial" w:cs="Arial"/>
          <w:i w:val="0"/>
          <w:color w:val="000000" w:themeColor="text1"/>
          <w:sz w:val="22"/>
          <w:szCs w:val="22"/>
        </w:rPr>
        <w:t xml:space="preserve">ch w województwie podkarpackim </w:t>
      </w:r>
      <w:r w:rsidRPr="009B78DA">
        <w:rPr>
          <w:rFonts w:ascii="Arial" w:hAnsi="Arial" w:cs="Arial"/>
          <w:i w:val="0"/>
          <w:color w:val="000000" w:themeColor="text1"/>
          <w:sz w:val="22"/>
          <w:szCs w:val="22"/>
        </w:rPr>
        <w:t>(o znaczeniu państwowym i regionalnym) w mln złotych, w latach 2014-2019</w:t>
      </w:r>
      <w:bookmarkEnd w:id="143"/>
      <w:bookmarkEnd w:id="142"/>
    </w:p>
    <w:p w14:paraId="0BE45768" w14:textId="1508814E" w:rsidR="00B163BE" w:rsidRPr="009B78DA" w:rsidRDefault="00C54195" w:rsidP="00B07B8D">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190F7F8F" wp14:editId="04D884FC">
            <wp:extent cx="4705350" cy="2437421"/>
            <wp:effectExtent l="0" t="0" r="0" b="1270"/>
            <wp:docPr id="32" name="Obraz 32" descr="Koszty utrzymania linii 25, 66, 70, 71, 74, 92, 101, 102, 106, 107, 108 w latach od 2014 do 2019 wyniosło od 0 do 40 mln zł. Koszty linii 68 40 mln zł w 2014, 60 mln zł 2015, ok. 55 mln zł w 2016 i 2017, ok. 57 mln zł w 2018, ok. 50 mln zł w 2019. Koszty linii 91 ok. 78 mln zł w 2014, ok. 82 mln zł w 2015, ok. 92 mln zł w 2016, ok. 110 mln zł w 2017, ok. 130 mln zł w 2018, ok. 142 mln zł w 2019" title="Wykres 1 Koszty utrzymania linii kolejowych w województwie podkarpackim (o znaczeniu państwowym i regionalnym) w mln złotych, w latach 2014-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ykres 1. Koszty utrzymania linii kolejowych w województwie podkarpackim (o znaczeniu państwowym i regionalnym) w mln złotych, w latach 2014-2019.jpg"/>
                    <pic:cNvPicPr/>
                  </pic:nvPicPr>
                  <pic:blipFill>
                    <a:blip r:embed="rId45">
                      <a:extLst>
                        <a:ext uri="{28A0092B-C50C-407E-A947-70E740481C1C}">
                          <a14:useLocalDpi xmlns:a14="http://schemas.microsoft.com/office/drawing/2010/main" val="0"/>
                        </a:ext>
                      </a:extLst>
                    </a:blip>
                    <a:stretch>
                      <a:fillRect/>
                    </a:stretch>
                  </pic:blipFill>
                  <pic:spPr>
                    <a:xfrm>
                      <a:off x="0" y="0"/>
                      <a:ext cx="4906773" cy="2541760"/>
                    </a:xfrm>
                    <a:prstGeom prst="rect">
                      <a:avLst/>
                    </a:prstGeom>
                  </pic:spPr>
                </pic:pic>
              </a:graphicData>
            </a:graphic>
          </wp:inline>
        </w:drawing>
      </w:r>
    </w:p>
    <w:p w14:paraId="7FBF9C2F" w14:textId="0252955C" w:rsidR="00C54195" w:rsidRPr="009B78DA" w:rsidRDefault="00C54195" w:rsidP="00B163BE">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Pr="009B78DA">
        <w:rPr>
          <w:rFonts w:ascii="Arial" w:hAnsi="Arial" w:cs="Arial"/>
          <w:i/>
          <w:color w:val="000000" w:themeColor="text1"/>
          <w:sz w:val="22"/>
          <w:szCs w:val="22"/>
        </w:rPr>
        <w:t>Diagnoza stanu systemu transportowego w województwie podkarpackim</w:t>
      </w:r>
      <w:r w:rsidRPr="009B78DA">
        <w:rPr>
          <w:rFonts w:ascii="Arial" w:hAnsi="Arial" w:cs="Arial"/>
          <w:color w:val="000000" w:themeColor="text1"/>
          <w:sz w:val="22"/>
          <w:szCs w:val="22"/>
        </w:rPr>
        <w:t xml:space="preserve">, PBPP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w Rzeszowie, 2020</w:t>
      </w:r>
      <w:r w:rsidR="001E00EE" w:rsidRPr="009B78DA">
        <w:rPr>
          <w:rFonts w:ascii="Arial" w:hAnsi="Arial" w:cs="Arial"/>
          <w:color w:val="000000" w:themeColor="text1"/>
          <w:sz w:val="22"/>
          <w:szCs w:val="22"/>
        </w:rPr>
        <w:t>/2021</w:t>
      </w:r>
      <w:r w:rsidRPr="009B78DA">
        <w:rPr>
          <w:rFonts w:ascii="Arial" w:hAnsi="Arial" w:cs="Arial"/>
          <w:color w:val="000000" w:themeColor="text1"/>
          <w:sz w:val="22"/>
          <w:szCs w:val="22"/>
        </w:rPr>
        <w:t xml:space="preserve">. </w:t>
      </w:r>
    </w:p>
    <w:p w14:paraId="74D7B999" w14:textId="26EA705D" w:rsidR="00C54195" w:rsidRPr="009B78DA" w:rsidRDefault="00C54195" w:rsidP="001E46F1">
      <w:pPr>
        <w:pStyle w:val="Akapitzlist"/>
        <w:numPr>
          <w:ilvl w:val="0"/>
          <w:numId w:val="5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Pośrednio, wzrastające koszty utrzy</w:t>
      </w:r>
      <w:r w:rsidR="00AD7484" w:rsidRPr="009B78DA">
        <w:rPr>
          <w:rFonts w:ascii="Arial" w:hAnsi="Arial" w:cs="Arial"/>
          <w:color w:val="000000" w:themeColor="text1"/>
          <w:sz w:val="22"/>
          <w:szCs w:val="22"/>
        </w:rPr>
        <w:t xml:space="preserve">mania dróg krajowych wiążą się </w:t>
      </w:r>
      <w:r w:rsidRPr="009B78DA">
        <w:rPr>
          <w:rFonts w:ascii="Arial" w:hAnsi="Arial" w:cs="Arial"/>
          <w:color w:val="000000" w:themeColor="text1"/>
          <w:sz w:val="22"/>
          <w:szCs w:val="22"/>
        </w:rPr>
        <w:t xml:space="preserve">z oddawaniem do użytkowania nowych odcinków dróg, </w:t>
      </w:r>
      <w:bookmarkStart w:id="144" w:name="_Hlk92573182"/>
      <w:r w:rsidRPr="009B78DA">
        <w:rPr>
          <w:rFonts w:ascii="Arial" w:hAnsi="Arial" w:cs="Arial"/>
          <w:color w:val="000000" w:themeColor="text1"/>
          <w:sz w:val="22"/>
          <w:szCs w:val="22"/>
        </w:rPr>
        <w:t>w tym S19</w:t>
      </w:r>
      <w:r w:rsidR="00A0580F" w:rsidRPr="009B78DA">
        <w:rPr>
          <w:rFonts w:ascii="Arial" w:hAnsi="Arial" w:cs="Arial"/>
          <w:color w:val="000000" w:themeColor="text1"/>
          <w:sz w:val="22"/>
          <w:szCs w:val="22"/>
        </w:rPr>
        <w:t>, która jest bardzo ważną trasą dla dostępności zewnętrznej regionu.</w:t>
      </w:r>
      <w:bookmarkEnd w:id="144"/>
    </w:p>
    <w:p w14:paraId="12F80C9C" w14:textId="77777777" w:rsidR="00C54195" w:rsidRPr="009B78DA" w:rsidRDefault="00C54195" w:rsidP="001E46F1">
      <w:pPr>
        <w:pStyle w:val="Akapitzlist"/>
        <w:numPr>
          <w:ilvl w:val="0"/>
          <w:numId w:val="5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Koszty utrzymania dróg wojewódzkich kształtują się w latach 2014-2019 na poziomie porównywalnym, tj. od 32 mln zł do 49 mln zł, co sugeruje w miarę stabilny poziom wydatków obciążających budżet regionalny.</w:t>
      </w:r>
    </w:p>
    <w:p w14:paraId="5108710C" w14:textId="3E04E9BA" w:rsidR="00C54195" w:rsidRPr="009B78DA" w:rsidRDefault="00C54195" w:rsidP="001E46F1">
      <w:pPr>
        <w:pStyle w:val="Akapitzlist"/>
        <w:numPr>
          <w:ilvl w:val="0"/>
          <w:numId w:val="5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Wydatki ponoszone na utrzymanie infrastruktury kolejowej, w tym wchodzącej </w:t>
      </w:r>
      <w:r w:rsidR="001E46F1">
        <w:rPr>
          <w:rFonts w:ascii="Arial" w:hAnsi="Arial" w:cs="Arial"/>
          <w:color w:val="000000" w:themeColor="text1"/>
          <w:sz w:val="22"/>
          <w:szCs w:val="22"/>
        </w:rPr>
        <w:br/>
      </w:r>
      <w:r w:rsidRPr="009B78DA">
        <w:rPr>
          <w:rFonts w:ascii="Arial" w:hAnsi="Arial" w:cs="Arial"/>
          <w:color w:val="000000" w:themeColor="text1"/>
          <w:sz w:val="22"/>
          <w:szCs w:val="22"/>
        </w:rPr>
        <w:t xml:space="preserve">w skład sieci bazowej i kompleksowej TEN-T rokrocznie wzrastają. Należy zauważyć, iż koszty utrzymania linii nr </w:t>
      </w:r>
      <w:r w:rsidR="00AD7484" w:rsidRPr="009B78DA">
        <w:rPr>
          <w:rFonts w:ascii="Arial" w:hAnsi="Arial" w:cs="Arial"/>
          <w:color w:val="000000" w:themeColor="text1"/>
          <w:sz w:val="22"/>
          <w:szCs w:val="22"/>
        </w:rPr>
        <w:t xml:space="preserve">91 (sieć bazowa TEN-T) wzrosły </w:t>
      </w:r>
      <w:r w:rsidRPr="009B78DA">
        <w:rPr>
          <w:rFonts w:ascii="Arial" w:hAnsi="Arial" w:cs="Arial"/>
          <w:color w:val="000000" w:themeColor="text1"/>
          <w:sz w:val="22"/>
          <w:szCs w:val="22"/>
        </w:rPr>
        <w:t xml:space="preserve">z poziomu 76,7 mln zł </w:t>
      </w:r>
      <w:r w:rsidR="001E46F1">
        <w:rPr>
          <w:rFonts w:ascii="Arial" w:hAnsi="Arial" w:cs="Arial"/>
          <w:color w:val="000000" w:themeColor="text1"/>
          <w:sz w:val="22"/>
          <w:szCs w:val="22"/>
        </w:rPr>
        <w:br/>
      </w:r>
      <w:r w:rsidRPr="009B78DA">
        <w:rPr>
          <w:rFonts w:ascii="Arial" w:hAnsi="Arial" w:cs="Arial"/>
          <w:color w:val="000000" w:themeColor="text1"/>
          <w:sz w:val="22"/>
          <w:szCs w:val="22"/>
        </w:rPr>
        <w:t>w 2014 roku do 144,0 mln zł (o 88%) w 2019 roku. O około 30% wzrosły koszty utrzymania linii nr 68 i 74 (sieć kompleksowa TEN-T).</w:t>
      </w:r>
    </w:p>
    <w:p w14:paraId="4BE5B1ED" w14:textId="2F293DB4" w:rsidR="00C54195" w:rsidRPr="009B78DA" w:rsidRDefault="004B294B" w:rsidP="001E46F1">
      <w:pPr>
        <w:pStyle w:val="Akapitzlist"/>
        <w:numPr>
          <w:ilvl w:val="0"/>
          <w:numId w:val="5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Relatywnie wysokie</w:t>
      </w:r>
      <w:r w:rsidR="00C54195" w:rsidRPr="009B78DA">
        <w:rPr>
          <w:rFonts w:ascii="Arial" w:hAnsi="Arial" w:cs="Arial"/>
          <w:color w:val="000000" w:themeColor="text1"/>
          <w:sz w:val="22"/>
          <w:szCs w:val="22"/>
        </w:rPr>
        <w:t xml:space="preserve"> koszty utrzymania, prowadzenia ruchu kolejowego </w:t>
      </w:r>
      <w:r w:rsidR="001E46F1">
        <w:rPr>
          <w:rFonts w:ascii="Arial" w:hAnsi="Arial" w:cs="Arial"/>
          <w:color w:val="000000" w:themeColor="text1"/>
          <w:sz w:val="22"/>
          <w:szCs w:val="22"/>
        </w:rPr>
        <w:br/>
      </w:r>
      <w:r w:rsidR="00C54195" w:rsidRPr="009B78DA">
        <w:rPr>
          <w:rFonts w:ascii="Arial" w:hAnsi="Arial" w:cs="Arial"/>
          <w:color w:val="000000" w:themeColor="text1"/>
          <w:sz w:val="22"/>
          <w:szCs w:val="22"/>
        </w:rPr>
        <w:t>i administrowania dotyczą następujących linii w województwie podkarpackim: nr 108 relacji Stróże-Krościenko, nr 70 relacji Włoszczowice-Chmielów, nr 106 relacji Rzeszów Główny-Jasło oraz nr 25 relacji Łódź Kaliska</w:t>
      </w:r>
      <w:r w:rsidR="0053649F" w:rsidRPr="009B78DA">
        <w:rPr>
          <w:rFonts w:ascii="Arial" w:hAnsi="Arial" w:cs="Arial"/>
          <w:color w:val="000000" w:themeColor="text1"/>
          <w:sz w:val="22"/>
          <w:szCs w:val="22"/>
        </w:rPr>
        <w:t>-</w:t>
      </w:r>
      <w:r w:rsidR="00C54195" w:rsidRPr="009B78DA">
        <w:rPr>
          <w:rFonts w:ascii="Arial" w:hAnsi="Arial" w:cs="Arial"/>
          <w:color w:val="000000" w:themeColor="text1"/>
          <w:sz w:val="22"/>
          <w:szCs w:val="22"/>
        </w:rPr>
        <w:t>Dębica.</w:t>
      </w:r>
    </w:p>
    <w:p w14:paraId="45E79F66" w14:textId="5DF9BD14" w:rsidR="00C54195" w:rsidRPr="009B78DA" w:rsidRDefault="004B294B" w:rsidP="001E46F1">
      <w:pPr>
        <w:pStyle w:val="Akapitzlist"/>
        <w:numPr>
          <w:ilvl w:val="0"/>
          <w:numId w:val="5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Na liniach kolejowych nr 25, 106 i 108 dokonano dużych inwestycji dotyczących poprawy ich stanu, a ruch pasażerski jest na nich ożywiany. Natomiast wyrobienie nawyków w takim stopniu by wzrosła liczba pasażerów wymaga dłuższego, nawet kilkuletniego okresu.</w:t>
      </w:r>
    </w:p>
    <w:p w14:paraId="57D7CD0B" w14:textId="475EFF9B" w:rsidR="00973085" w:rsidRPr="009B78DA" w:rsidRDefault="00973085" w:rsidP="001E46F1">
      <w:pPr>
        <w:pStyle w:val="Akapitzlist"/>
        <w:numPr>
          <w:ilvl w:val="0"/>
          <w:numId w:val="5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Zaangażowanie dużej ilość środków na modernizacje/przebudowę linii kolejowych (znaczące zachęty dla pasażerów) zwiększają oczekiwania na jeszcze skuteczniejsze efekty poprawy konkurencyjności transportu kolejowego</w:t>
      </w:r>
      <w:r w:rsidR="001E46F1">
        <w:rPr>
          <w:rFonts w:ascii="Arial" w:hAnsi="Arial" w:cs="Arial"/>
          <w:color w:val="000000" w:themeColor="text1"/>
          <w:sz w:val="22"/>
          <w:szCs w:val="22"/>
        </w:rPr>
        <w:t xml:space="preserve"> względem transportu drogowego.</w:t>
      </w:r>
    </w:p>
    <w:p w14:paraId="61DADEC6" w14:textId="5C18AE53" w:rsidR="00C54195" w:rsidRPr="009B78DA" w:rsidRDefault="00C54195" w:rsidP="001E46F1">
      <w:pPr>
        <w:pStyle w:val="Akapitzlist"/>
        <w:numPr>
          <w:ilvl w:val="0"/>
          <w:numId w:val="5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Konieczna jest kontynuacja prac na linia</w:t>
      </w:r>
      <w:r w:rsidR="001E46F1">
        <w:rPr>
          <w:rFonts w:ascii="Arial" w:hAnsi="Arial" w:cs="Arial"/>
          <w:color w:val="000000" w:themeColor="text1"/>
          <w:sz w:val="22"/>
          <w:szCs w:val="22"/>
        </w:rPr>
        <w:t xml:space="preserve">ch kolejowych województwa, aby </w:t>
      </w:r>
      <w:r w:rsidRPr="009B78DA">
        <w:rPr>
          <w:rFonts w:ascii="Arial" w:hAnsi="Arial" w:cs="Arial"/>
          <w:color w:val="000000" w:themeColor="text1"/>
          <w:sz w:val="22"/>
          <w:szCs w:val="22"/>
        </w:rPr>
        <w:t>w znaczący sposób podnieść atrakcyjność transportu kolejowego i przywrócić jego rangę.</w:t>
      </w:r>
    </w:p>
    <w:p w14:paraId="24A14027" w14:textId="2A166EEE" w:rsidR="00C54195" w:rsidRPr="009B78DA" w:rsidRDefault="00950B3D" w:rsidP="001E46F1">
      <w:pPr>
        <w:pStyle w:val="Nagwek3"/>
        <w:numPr>
          <w:ilvl w:val="1"/>
          <w:numId w:val="258"/>
        </w:numPr>
        <w:rPr>
          <w:rFonts w:cs="Arial"/>
          <w:color w:val="000000" w:themeColor="text1"/>
          <w:sz w:val="24"/>
        </w:rPr>
      </w:pPr>
      <w:bookmarkStart w:id="145" w:name="_Toc100335063"/>
      <w:bookmarkStart w:id="146" w:name="_Toc146785787"/>
      <w:r w:rsidRPr="009B78DA">
        <w:rPr>
          <w:color w:val="000000" w:themeColor="text1"/>
          <w:sz w:val="24"/>
        </w:rPr>
        <w:t xml:space="preserve">Wpływ </w:t>
      </w:r>
      <w:r w:rsidR="00F9737F" w:rsidRPr="009B78DA">
        <w:rPr>
          <w:color w:val="000000" w:themeColor="text1"/>
          <w:sz w:val="24"/>
        </w:rPr>
        <w:t xml:space="preserve">transportu </w:t>
      </w:r>
      <w:r w:rsidRPr="009B78DA">
        <w:rPr>
          <w:color w:val="000000" w:themeColor="text1"/>
          <w:sz w:val="24"/>
        </w:rPr>
        <w:t>na bezpieczeństwo i środowisko</w:t>
      </w:r>
      <w:bookmarkEnd w:id="145"/>
      <w:bookmarkEnd w:id="146"/>
    </w:p>
    <w:p w14:paraId="2A52ED76" w14:textId="39E47D85" w:rsidR="00107163" w:rsidRPr="009B78DA" w:rsidRDefault="00C54195" w:rsidP="001E46F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Rozwój gospodarczy nie byłby możliwy bez rozwoju środków transportu osób </w:t>
      </w:r>
      <w:r w:rsidR="00725FD6" w:rsidRPr="009B78DA">
        <w:rPr>
          <w:rFonts w:ascii="Arial" w:hAnsi="Arial" w:cs="Arial"/>
          <w:color w:val="000000" w:themeColor="text1"/>
          <w:sz w:val="22"/>
          <w:szCs w:val="22"/>
        </w:rPr>
        <w:br/>
      </w:r>
      <w:r w:rsidRPr="009B78DA">
        <w:rPr>
          <w:rFonts w:ascii="Arial" w:hAnsi="Arial" w:cs="Arial"/>
          <w:color w:val="000000" w:themeColor="text1"/>
          <w:sz w:val="22"/>
          <w:szCs w:val="22"/>
        </w:rPr>
        <w:t>i towarów, niemniej jednak skutkuje on także niekorzystnym oddziaływaniem na uczestników ruchu oraz na środowisko.</w:t>
      </w:r>
    </w:p>
    <w:p w14:paraId="2EF26A00" w14:textId="102BDED1" w:rsidR="00107163" w:rsidRPr="009B78DA" w:rsidRDefault="00107163" w:rsidP="001E46F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Wzrost natężenia ruchu a także stan techniczny dróg wpływa na poziom bezpieczeństwa ruchu. Według danych statystycznych Komendy Głównej Policji, liczba wypadków drogowych oraz liczba poszkodowanych, odniesiona do 100 tys. mieszkańców województwa podkarpackiego, w 2018 roku kształtowała się nieco poniżej średniej krajowej </w:t>
      </w:r>
      <w:r w:rsidR="00FB5888" w:rsidRPr="009B78DA">
        <w:rPr>
          <w:rFonts w:ascii="Arial" w:hAnsi="Arial" w:cs="Arial"/>
          <w:color w:val="000000" w:themeColor="text1"/>
          <w:sz w:val="22"/>
          <w:szCs w:val="22"/>
        </w:rPr>
        <w:br/>
      </w:r>
      <w:r w:rsidRPr="009B78DA">
        <w:rPr>
          <w:rFonts w:ascii="Arial" w:hAnsi="Arial" w:cs="Arial"/>
          <w:color w:val="000000" w:themeColor="text1"/>
          <w:sz w:val="22"/>
          <w:szCs w:val="22"/>
        </w:rPr>
        <w:t>i wynosiła:</w:t>
      </w:r>
    </w:p>
    <w:p w14:paraId="24D95DCA" w14:textId="77777777" w:rsidR="00107163" w:rsidRPr="009B78DA" w:rsidRDefault="00107163" w:rsidP="001E46F1">
      <w:pPr>
        <w:pStyle w:val="Akapitzlist"/>
        <w:numPr>
          <w:ilvl w:val="0"/>
          <w:numId w:val="60"/>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Wskaźnik liczby wypadków na 100 tys. mieszkańców – 69,6 (w kraju 82,5);</w:t>
      </w:r>
    </w:p>
    <w:p w14:paraId="41EFD56A" w14:textId="77777777" w:rsidR="00107163" w:rsidRPr="009B78DA" w:rsidRDefault="00107163" w:rsidP="001E46F1">
      <w:pPr>
        <w:pStyle w:val="Akapitzlist"/>
        <w:numPr>
          <w:ilvl w:val="0"/>
          <w:numId w:val="60"/>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Wskaźnik liczby zabitych na 100 tys. mieszkańców – 8,9 (w kraju 7,5);</w:t>
      </w:r>
    </w:p>
    <w:p w14:paraId="12D47354" w14:textId="4AA431CB" w:rsidR="00044593" w:rsidRPr="001E46F1" w:rsidRDefault="00107163" w:rsidP="001E46F1">
      <w:pPr>
        <w:pStyle w:val="Akapitzlist"/>
        <w:numPr>
          <w:ilvl w:val="0"/>
          <w:numId w:val="60"/>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Wskaźnik liczby rannych na 100 tys. mieszkańców – 83,4 (w kraju 97,3)</w:t>
      </w:r>
    </w:p>
    <w:p w14:paraId="43A5B18D" w14:textId="6E3AF90E" w:rsidR="001866FE" w:rsidRPr="009B78DA" w:rsidRDefault="001866FE" w:rsidP="001866FE">
      <w:pPr>
        <w:pStyle w:val="Legenda"/>
        <w:keepNext/>
        <w:spacing w:after="0" w:line="276" w:lineRule="auto"/>
        <w:jc w:val="both"/>
        <w:rPr>
          <w:rFonts w:ascii="Arial" w:hAnsi="Arial" w:cs="Arial"/>
          <w:i w:val="0"/>
          <w:color w:val="000000" w:themeColor="text1"/>
          <w:sz w:val="22"/>
          <w:szCs w:val="22"/>
        </w:rPr>
      </w:pPr>
      <w:bookmarkStart w:id="147" w:name="_Toc146785709"/>
      <w:r w:rsidRPr="009B78DA">
        <w:rPr>
          <w:rFonts w:ascii="Arial" w:hAnsi="Arial" w:cs="Arial"/>
          <w:b/>
          <w:i w:val="0"/>
          <w:color w:val="000000" w:themeColor="text1"/>
          <w:sz w:val="22"/>
          <w:szCs w:val="22"/>
        </w:rPr>
        <w:t xml:space="preserve">Wykres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Wykres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bookmarkStart w:id="148" w:name="_Toc75248072"/>
      <w:r w:rsidRPr="009B78DA">
        <w:rPr>
          <w:rFonts w:ascii="Arial" w:hAnsi="Arial" w:cs="Arial"/>
          <w:i w:val="0"/>
          <w:color w:val="000000" w:themeColor="text1"/>
          <w:sz w:val="22"/>
          <w:szCs w:val="22"/>
        </w:rPr>
        <w:t>Liczba wypadków drogowych ogółem w latach 2015-2018</w:t>
      </w:r>
      <w:bookmarkEnd w:id="148"/>
      <w:bookmarkEnd w:id="147"/>
    </w:p>
    <w:p w14:paraId="46ADDC32" w14:textId="469B80BA" w:rsidR="00C54195" w:rsidRPr="009B78DA" w:rsidRDefault="00C54195" w:rsidP="003C206F">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6B6002FB" wp14:editId="47643BE3">
            <wp:extent cx="4615536" cy="2238375"/>
            <wp:effectExtent l="0" t="0" r="0" b="0"/>
            <wp:docPr id="33" name="Obraz 33" descr="Wykres przedstawia wypadki drogowe niebieska linia od 2015 do 2017 r. wartość nie zmieniała się i wynosiła ok. 1575, ok. 1500 w 2018. Liczba ofiar śmiertelnych pomarańczowa linią od 2015 do 2018 wartość nie zmieniała się i wynosiła ok. 200. Liczba rannych szara linia ok. 2200 w 2015, ok. 2000 od 2016 do 2017, ok. 1575 w 2018." title="Wykres 2 Liczba wypadków drogowych ogółem w latach 201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Wykres 2. Ilość wypadków drogowych ogółem w latach 2015-2018.jpg"/>
                    <pic:cNvPicPr/>
                  </pic:nvPicPr>
                  <pic:blipFill rotWithShape="1">
                    <a:blip r:embed="rId46">
                      <a:extLst>
                        <a:ext uri="{28A0092B-C50C-407E-A947-70E740481C1C}">
                          <a14:useLocalDpi xmlns:a14="http://schemas.microsoft.com/office/drawing/2010/main" val="0"/>
                        </a:ext>
                      </a:extLst>
                    </a:blip>
                    <a:srcRect t="11195"/>
                    <a:stretch/>
                  </pic:blipFill>
                  <pic:spPr bwMode="auto">
                    <a:xfrm>
                      <a:off x="0" y="0"/>
                      <a:ext cx="4798695" cy="2327201"/>
                    </a:xfrm>
                    <a:prstGeom prst="rect">
                      <a:avLst/>
                    </a:prstGeom>
                    <a:ln>
                      <a:noFill/>
                    </a:ln>
                    <a:extLst>
                      <a:ext uri="{53640926-AAD7-44D8-BBD7-CCE9431645EC}">
                        <a14:shadowObscured xmlns:a14="http://schemas.microsoft.com/office/drawing/2010/main"/>
                      </a:ext>
                    </a:extLst>
                  </pic:spPr>
                </pic:pic>
              </a:graphicData>
            </a:graphic>
          </wp:inline>
        </w:drawing>
      </w:r>
    </w:p>
    <w:p w14:paraId="18E1A9BE" w14:textId="3ED9FCDC" w:rsidR="00F50A51" w:rsidRPr="009B78DA" w:rsidRDefault="00C54195" w:rsidP="001E46F1">
      <w:pPr>
        <w:spacing w:before="120" w:after="0" w:line="264"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Pr="009B78DA">
        <w:rPr>
          <w:rFonts w:ascii="Arial" w:hAnsi="Arial" w:cs="Arial"/>
          <w:i/>
          <w:color w:val="000000" w:themeColor="text1"/>
          <w:sz w:val="22"/>
          <w:szCs w:val="22"/>
        </w:rPr>
        <w:t>Diagnoza stanu systemu transportowego w województwie podkarpackim</w:t>
      </w:r>
      <w:r w:rsidRPr="009B78DA">
        <w:rPr>
          <w:rFonts w:ascii="Arial" w:hAnsi="Arial" w:cs="Arial"/>
          <w:color w:val="000000" w:themeColor="text1"/>
          <w:sz w:val="22"/>
          <w:szCs w:val="22"/>
        </w:rPr>
        <w:t xml:space="preserve">, PBPP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w Rzeszowie, 2020</w:t>
      </w:r>
      <w:r w:rsidR="001E00EE" w:rsidRPr="009B78DA">
        <w:rPr>
          <w:rFonts w:ascii="Arial" w:hAnsi="Arial" w:cs="Arial"/>
          <w:color w:val="000000" w:themeColor="text1"/>
          <w:sz w:val="22"/>
          <w:szCs w:val="22"/>
        </w:rPr>
        <w:t>/2021</w:t>
      </w:r>
      <w:r w:rsidRPr="009B78DA">
        <w:rPr>
          <w:rFonts w:ascii="Arial" w:hAnsi="Arial" w:cs="Arial"/>
          <w:color w:val="000000" w:themeColor="text1"/>
          <w:sz w:val="22"/>
          <w:szCs w:val="22"/>
        </w:rPr>
        <w:t xml:space="preserve">. </w:t>
      </w:r>
    </w:p>
    <w:p w14:paraId="00ED6022" w14:textId="0470E2B3" w:rsidR="00044593" w:rsidRPr="009B78DA" w:rsidRDefault="00547928" w:rsidP="001E46F1">
      <w:pPr>
        <w:spacing w:before="120"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Liczba </w:t>
      </w:r>
      <w:r w:rsidR="00F50A51" w:rsidRPr="009B78DA">
        <w:rPr>
          <w:rFonts w:ascii="Arial" w:hAnsi="Arial" w:cs="Arial"/>
          <w:color w:val="000000" w:themeColor="text1"/>
          <w:sz w:val="22"/>
          <w:szCs w:val="22"/>
        </w:rPr>
        <w:t xml:space="preserve">wypadków drogowych w powiatach województwa podkarpackiego wg GUS wskazuje, że w latach 2015-2018 najwięcej wypadków było w powiecie: rzeszowskim, dębickim, stalowowolskim, przeworskim, jasielskim oraz mieście Rzeszów, a najmniej </w:t>
      </w:r>
      <w:r w:rsidR="00FB5888" w:rsidRPr="009B78DA">
        <w:rPr>
          <w:rFonts w:ascii="Arial" w:hAnsi="Arial" w:cs="Arial"/>
          <w:color w:val="000000" w:themeColor="text1"/>
          <w:sz w:val="22"/>
          <w:szCs w:val="22"/>
        </w:rPr>
        <w:br/>
      </w:r>
      <w:r w:rsidR="00F50A51" w:rsidRPr="009B78DA">
        <w:rPr>
          <w:rFonts w:ascii="Arial" w:hAnsi="Arial" w:cs="Arial"/>
          <w:color w:val="000000" w:themeColor="text1"/>
          <w:sz w:val="22"/>
          <w:szCs w:val="22"/>
        </w:rPr>
        <w:t>w brzozowskim, leskim, bieszczadzkim i lubaczowskim. Największa (42 osoby) łączna liczba ofiar śmiertelnych w okresie 2015-2018 miała miejsce w powiecie rzeszowskim, najmniejsza (2 osoby</w:t>
      </w:r>
      <w:r w:rsidR="001E46F1">
        <w:rPr>
          <w:rFonts w:ascii="Arial" w:hAnsi="Arial" w:cs="Arial"/>
          <w:color w:val="000000" w:themeColor="text1"/>
          <w:sz w:val="22"/>
          <w:szCs w:val="22"/>
        </w:rPr>
        <w:t>) zaś w powiecie bieszczadzkim.</w:t>
      </w:r>
    </w:p>
    <w:p w14:paraId="43D6465C" w14:textId="7C6B9F51" w:rsidR="001866FE" w:rsidRPr="001E46F1" w:rsidRDefault="001866FE" w:rsidP="001E46F1">
      <w:pPr>
        <w:pStyle w:val="Legenda"/>
        <w:keepNext/>
        <w:jc w:val="both"/>
        <w:rPr>
          <w:rFonts w:ascii="Arial" w:hAnsi="Arial" w:cs="Arial"/>
          <w:i w:val="0"/>
          <w:color w:val="000000" w:themeColor="text1"/>
          <w:sz w:val="22"/>
          <w:szCs w:val="22"/>
        </w:rPr>
      </w:pPr>
      <w:bookmarkStart w:id="149" w:name="_Toc146785663"/>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Lokalizacja odcinków niebezpiecznych na drogach wojewódzkich w latach 2015-2018</w:t>
      </w:r>
      <w:bookmarkEnd w:id="149"/>
    </w:p>
    <w:p w14:paraId="382DC9DB" w14:textId="7715F458" w:rsidR="00EA2186" w:rsidRPr="009B78DA" w:rsidRDefault="009A7DCC" w:rsidP="00EA2186">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734E7DB7" wp14:editId="110B3617">
            <wp:extent cx="5760720" cy="5182870"/>
            <wp:effectExtent l="0" t="0" r="0" b="0"/>
            <wp:docPr id="1038775653" name="Obraz 7" descr="Mapa przedstawia województwo podkarpackie w tym Autostradę A4 z węzłami, Drogę ekspresową S19 z węzłami, Drogę ekspresową S19 z węzłami w realizacji, Drogi krajowe, Drogi wojewódzkie, Linie kolejowe. Zaznaczono lokalizacje odcinków niebezpiecznych na drogach wojewódzkich w latach 2015-2018: 1 nr 835 kilometraż 189+200-189+700, 2 nr 869 kilometraż 1+400-2+000, 3 nr 878 kilometraż 470+000-470+700, 4 nr 878 kilometraż 9+100-10+200, 5 nr 884 kilometraż 41+600-43+300, 6 nr 835 kilometraż 148+000-148+700, 7 nr 835 kilometraż 131+300-131+700" title="Rysunek 34 Lokalizacja odcinków niebezpiecznych na drogach wojewódzkich w latach 2015-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775653" name="Obraz 7" descr="Obraz zawierający tekst, mapa, atlas, diagram&#10;&#10;Opis wygenerowany automatyczni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720" cy="5182870"/>
                    </a:xfrm>
                    <a:prstGeom prst="rect">
                      <a:avLst/>
                    </a:prstGeom>
                  </pic:spPr>
                </pic:pic>
              </a:graphicData>
            </a:graphic>
          </wp:inline>
        </w:drawing>
      </w:r>
    </w:p>
    <w:p w14:paraId="47B7CEA4" w14:textId="071F7A5E" w:rsidR="00EA2186" w:rsidRPr="009B78DA" w:rsidRDefault="00EA2186" w:rsidP="001E46F1">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1C5F28" w:rsidRPr="009B78DA">
        <w:rPr>
          <w:rFonts w:ascii="Arial" w:hAnsi="Arial" w:cs="Arial"/>
          <w:color w:val="000000" w:themeColor="text1"/>
          <w:sz w:val="22"/>
          <w:szCs w:val="22"/>
        </w:rPr>
        <w:t>Opracowanie własne.</w:t>
      </w:r>
    </w:p>
    <w:p w14:paraId="00A5E923" w14:textId="467EA7B5" w:rsidR="007862F6" w:rsidRPr="001E46F1" w:rsidRDefault="002F440C" w:rsidP="001E46F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latach 2015</w:t>
      </w:r>
      <w:r w:rsidR="00547928"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2018 zanotowano stały spadek liczby wypadków i poszkodowanych. Niekorzystnym zjawiskiem jest jednak wzrost liczby ofiar śmiertelnych na drogach krajowych, pomimo spadku liczby wypadków i rannych. Na drogach wojewódzkich natomiast odnotowano w tym samym okresie zauważalny spadek zarówno liczby wypadków jak </w:t>
      </w:r>
      <w:r w:rsidR="001E46F1">
        <w:rPr>
          <w:rFonts w:ascii="Arial" w:hAnsi="Arial" w:cs="Arial"/>
          <w:color w:val="000000" w:themeColor="text1"/>
          <w:sz w:val="22"/>
          <w:szCs w:val="22"/>
        </w:rPr>
        <w:br/>
      </w:r>
      <w:r w:rsidRPr="009B78DA">
        <w:rPr>
          <w:rFonts w:ascii="Arial" w:hAnsi="Arial" w:cs="Arial"/>
          <w:color w:val="000000" w:themeColor="text1"/>
          <w:sz w:val="22"/>
          <w:szCs w:val="22"/>
        </w:rPr>
        <w:t>i poszkodowanych.</w:t>
      </w:r>
    </w:p>
    <w:p w14:paraId="0C038C51" w14:textId="7465B0CC" w:rsidR="009B425F" w:rsidRPr="009B78DA" w:rsidRDefault="009B425F" w:rsidP="009B425F">
      <w:pPr>
        <w:pStyle w:val="Legenda"/>
        <w:keepNext/>
        <w:jc w:val="both"/>
        <w:rPr>
          <w:rFonts w:ascii="Arial" w:hAnsi="Arial" w:cs="Arial"/>
          <w:i w:val="0"/>
          <w:color w:val="000000" w:themeColor="text1"/>
          <w:sz w:val="22"/>
          <w:szCs w:val="22"/>
        </w:rPr>
      </w:pPr>
      <w:bookmarkStart w:id="150" w:name="_Toc146785664"/>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Lokalizacja miejsc niebezpiecznych dla rowerzystów na terenie województwa podkarpackiego w 2019 roku</w:t>
      </w:r>
      <w:bookmarkEnd w:id="150"/>
    </w:p>
    <w:p w14:paraId="637401E4" w14:textId="6E8F8082" w:rsidR="00F51562" w:rsidRPr="009B78DA" w:rsidRDefault="00F51562" w:rsidP="00EB06D6">
      <w:pPr>
        <w:spacing w:after="0" w:line="276" w:lineRule="auto"/>
        <w:jc w:val="both"/>
        <w:rPr>
          <w:rFonts w:ascii="Arial" w:hAnsi="Arial" w:cs="Arial"/>
          <w:i/>
          <w:color w:val="000000" w:themeColor="text1"/>
          <w:sz w:val="22"/>
          <w:szCs w:val="22"/>
        </w:rPr>
      </w:pPr>
      <w:r w:rsidRPr="009B78DA">
        <w:rPr>
          <w:rFonts w:eastAsiaTheme="majorEastAsia" w:cstheme="majorBidi"/>
          <w:b/>
          <w:noProof/>
          <w:color w:val="000000" w:themeColor="text1"/>
          <w:szCs w:val="56"/>
        </w:rPr>
        <w:drawing>
          <wp:inline distT="0" distB="0" distL="0" distR="0" wp14:anchorId="731CE6D4" wp14:editId="6995A342">
            <wp:extent cx="6134777" cy="5519222"/>
            <wp:effectExtent l="0" t="0" r="0" b="5715"/>
            <wp:docPr id="97" name="Obraz 97" descr="Województwo podkarpackie w tym Autostradę A4 z węzłami, Drogę ekspresową S19 z węzłami, Drogę ekspresową S19 z węzłami w realizacji, Drogi krajowe, Drogi wojewódzkie, Linie kolejowe. Zaznaczono niebezpieczne miejsca dla rowerzystów od góry Tarnobrzeg, Stalowa Wola, Nisko, Mielec i Dulcza Wielka, Borowa, Padew Narodowa, Kolbuszowa, Leżajsk, Nowa Sarzyna, Lubaczów, Dębica, Ropczyce, Rzeszów, Łańcut, Markowa, Jarosław, Krajowice, Krosno, Strzyżów, Brzozów, Sanok, Lesko, Krościenko " title="Rysunek 35 Lokalizacja miejsc niebezpiecznych dla rowerzystów na terenie województwa podkarpackiego w 2019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ejsca_niebezpieczne_dla_rowerzystów_0909"/>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6134777" cy="5519222"/>
                    </a:xfrm>
                    <a:prstGeom prst="rect">
                      <a:avLst/>
                    </a:prstGeom>
                    <a:noFill/>
                    <a:ln>
                      <a:noFill/>
                    </a:ln>
                  </pic:spPr>
                </pic:pic>
              </a:graphicData>
            </a:graphic>
          </wp:inline>
        </w:drawing>
      </w:r>
    </w:p>
    <w:p w14:paraId="64C75A58" w14:textId="56A99427" w:rsidR="00EB06D6" w:rsidRPr="009B78DA" w:rsidRDefault="00EB06D6" w:rsidP="00726936">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1C5F28" w:rsidRPr="009B78DA">
        <w:rPr>
          <w:rFonts w:ascii="Arial" w:hAnsi="Arial" w:cs="Arial"/>
          <w:color w:val="000000" w:themeColor="text1"/>
          <w:sz w:val="22"/>
          <w:szCs w:val="22"/>
        </w:rPr>
        <w:t>Opracowanie własne.</w:t>
      </w:r>
    </w:p>
    <w:p w14:paraId="1D86F325" w14:textId="2CA517CF" w:rsidR="007862F6" w:rsidRPr="009B78DA" w:rsidRDefault="00CD3789" w:rsidP="0072693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Istotnym problemem jest także </w:t>
      </w:r>
      <w:r w:rsidR="00222B84" w:rsidRPr="009B78DA">
        <w:rPr>
          <w:rFonts w:ascii="Arial" w:hAnsi="Arial" w:cs="Arial"/>
          <w:color w:val="000000" w:themeColor="text1"/>
          <w:sz w:val="22"/>
          <w:szCs w:val="22"/>
        </w:rPr>
        <w:t>liczba</w:t>
      </w:r>
      <w:r w:rsidRPr="009B78DA">
        <w:rPr>
          <w:rFonts w:ascii="Arial" w:hAnsi="Arial" w:cs="Arial"/>
          <w:color w:val="000000" w:themeColor="text1"/>
          <w:sz w:val="22"/>
          <w:szCs w:val="22"/>
        </w:rPr>
        <w:t xml:space="preserve"> wypadków drogowych z udziałem rowerzystów. </w:t>
      </w:r>
      <w:r w:rsidRPr="009B78DA">
        <w:rPr>
          <w:rFonts w:ascii="Arial" w:hAnsi="Arial" w:cs="Arial"/>
          <w:color w:val="000000" w:themeColor="text1"/>
          <w:sz w:val="22"/>
          <w:szCs w:val="22"/>
        </w:rPr>
        <w:br/>
        <w:t>W 2019 roku odnotowano niemal dwukrotny wzrost ofiar śmiertelnych (rowerzystów), pomimo spadku liczby wypadków z udziałem rowerzystów i rannych w wyniku tych zdarzeń.</w:t>
      </w:r>
    </w:p>
    <w:p w14:paraId="7ECB36E1" w14:textId="4219A241" w:rsidR="009B425F" w:rsidRPr="009B78DA" w:rsidRDefault="009B425F" w:rsidP="009B425F">
      <w:pPr>
        <w:pStyle w:val="Legenda"/>
        <w:keepNext/>
        <w:jc w:val="both"/>
        <w:rPr>
          <w:rFonts w:ascii="Arial" w:hAnsi="Arial" w:cs="Arial"/>
          <w:i w:val="0"/>
          <w:color w:val="000000" w:themeColor="text1"/>
          <w:sz w:val="22"/>
          <w:szCs w:val="22"/>
        </w:rPr>
      </w:pPr>
      <w:bookmarkStart w:id="151" w:name="_Toc146785665"/>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Zdarzenia na drogach wojewódzkich wg gmin w 2020 r. (liczba ofiar śmiertelnych oraz osób rannych).</w:t>
      </w:r>
      <w:bookmarkEnd w:id="151"/>
    </w:p>
    <w:p w14:paraId="5748999F" w14:textId="7975CE4B" w:rsidR="00613F44" w:rsidRPr="009B78DA" w:rsidRDefault="00613F44" w:rsidP="003C206F">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73942927" wp14:editId="238925A6">
            <wp:extent cx="3336668" cy="4457700"/>
            <wp:effectExtent l="0" t="0" r="0" b="0"/>
            <wp:docPr id="41" name="Obraz 41" descr="Powyżej 10 Rzeszów, Tarnobrzeg. Od 6 do 10 Zaklików Radomyśl nad Sanem, Grębów Baranów Sandomierski, Mielec, Przecław, gmina Dębica, Strzyżów, Trzebownisko, Czarna, Przeworsk, Tyczyn, Hyżne, gmina Dynów. Od 1 do 5 Gorzyce, Stalowa Wola, Pysznica, Bojanów, Majdan Królewski, gmina Baranów Sandomierski, Tuszów narodowy, Gawłuszowice, Czermin, gmina Radomyśl Wielki, Niwiska, gmina, miasto Kolbuszowa, Dzikowiec, Raniżów, Jeżowe, gmina, miasto Sokołów Małopolski, Rakszawa, Żołynia, Leżajsk, Krzeszów, Adamówka, Tryńcza, Wiązownica, Oleszyce, Cieszanów, Narol, Ostrów, Ropczyce, Sędziszów Małopolski, Wielopole Skrzyńskie, Wiśniowa, Frysztak, gmina, miasto Jasłom Nowy Żmigród, Osiek Jasielski, Krempna, Korczyna, Niebylec, Jasienica Rosielna, Brzozów, Iwonicz-Zdrój, Dydnia, Chmielnik, Łańcut, Markowa, Kańczuga Zarzecze, Jarosław, Przemyśl, Rokietnica, Orły, Żurawica, Medyka, Roźwienica, Chłopice, Ustrzyki Dolne, Czarna, Lutowiska, Solina, Lesko, Zagórz. 0 pozostałe gminy i miasta " title="Rysunek 36 Zdarzenia na drogach wojewódzkich wg gmin w 2020 r. (liczba ofiar śmiertelnych oraz osób rann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361738" cy="4491193"/>
                    </a:xfrm>
                    <a:prstGeom prst="rect">
                      <a:avLst/>
                    </a:prstGeom>
                  </pic:spPr>
                </pic:pic>
              </a:graphicData>
            </a:graphic>
          </wp:inline>
        </w:drawing>
      </w:r>
    </w:p>
    <w:p w14:paraId="1C4699C4" w14:textId="3A1D34A4" w:rsidR="00BF4F04" w:rsidRPr="009B78DA" w:rsidRDefault="00613F44" w:rsidP="00726936">
      <w:p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1C5F28" w:rsidRPr="009B78DA">
        <w:rPr>
          <w:rFonts w:ascii="Arial" w:hAnsi="Arial" w:cs="Arial"/>
          <w:color w:val="000000" w:themeColor="text1"/>
          <w:sz w:val="22"/>
          <w:szCs w:val="22"/>
        </w:rPr>
        <w:t xml:space="preserve">Opracowanie własne </w:t>
      </w:r>
      <w:r w:rsidR="007C480E" w:rsidRPr="009B78DA">
        <w:rPr>
          <w:rFonts w:ascii="Arial" w:hAnsi="Arial" w:cs="Arial"/>
          <w:color w:val="000000" w:themeColor="text1"/>
          <w:sz w:val="22"/>
          <w:szCs w:val="22"/>
        </w:rPr>
        <w:t>na p</w:t>
      </w:r>
      <w:r w:rsidR="00726936">
        <w:rPr>
          <w:rFonts w:ascii="Arial" w:hAnsi="Arial" w:cs="Arial"/>
          <w:color w:val="000000" w:themeColor="text1"/>
          <w:sz w:val="22"/>
          <w:szCs w:val="22"/>
        </w:rPr>
        <w:t>odstawie danych KWP w Rzeszowie</w:t>
      </w:r>
    </w:p>
    <w:p w14:paraId="6CC62378" w14:textId="0CB0734D" w:rsidR="00613F44" w:rsidRPr="009B78DA" w:rsidRDefault="00613F44" w:rsidP="0072693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Na mapie wskazano rozkład liczby ofiar śmiertelnych oraz osób rannych </w:t>
      </w:r>
      <w:r w:rsidRPr="009B78DA">
        <w:rPr>
          <w:rFonts w:ascii="Arial" w:hAnsi="Arial" w:cs="Arial"/>
          <w:color w:val="000000" w:themeColor="text1"/>
          <w:sz w:val="22"/>
          <w:szCs w:val="22"/>
        </w:rPr>
        <w:br/>
        <w:t>w zdarzeniach na drogach wojewódzkich wg gmin w 2020 r. Dane ilustrują i uzasadniają konieczność poprawy bezpieczeństwa. Wskazują ocenę ryzyk dla bezpieczeństwa ruchu drogowego.</w:t>
      </w:r>
    </w:p>
    <w:p w14:paraId="67852659" w14:textId="77777777" w:rsidR="00C54195" w:rsidRPr="009B78DA" w:rsidRDefault="00C54195" w:rsidP="0072693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Liczba wypadków w transporcie kolejowym, których następstwem są ofiary śmiertelne jest w Polsce stosunkowo niska. Bardzo często wypadki w ruchu kolejowym mają miejsce na przejazdach kolejowo-drogowych. Ich ofiarami są przeważnie użytkownicy samochodów będący sprawcami tych wypadków. Na istniejących w województwie podkarpackim liniach kolejowych w latach 2015 – 2019 odnotowano 37 wypadków, w których 8 osób poniosło śmierć a 23 zostało rannych.</w:t>
      </w:r>
    </w:p>
    <w:p w14:paraId="485EA0C3" w14:textId="13375FF5" w:rsidR="003C206F" w:rsidRPr="009B78DA" w:rsidRDefault="00C54195" w:rsidP="00726936">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Województwo podkarpackie stanowi ważny węzeł komunikacyjny, przez który przebiegają korytarze transportowe o znaczeniu krajowym i międzynarodowym. Dynamiczny rozwój transportu jest istotnym czynnikiem rozwoju gospodarczego i jednocześnie znaczącym źródłem uciążliwości i niekorzystnego oddziaływania na środowisko. Niekorzystnymi efektami i niejako ubocznymi skutkami rozwoju transportu są: hałas, zanieczyszczenie powietrza i pośrednio zanieczysz</w:t>
      </w:r>
      <w:r w:rsidR="00AD7484" w:rsidRPr="009B78DA">
        <w:rPr>
          <w:rFonts w:ascii="Arial" w:hAnsi="Arial" w:cs="Arial"/>
          <w:color w:val="000000" w:themeColor="text1"/>
          <w:sz w:val="22"/>
          <w:szCs w:val="22"/>
        </w:rPr>
        <w:t>czenie gleb</w:t>
      </w:r>
      <w:r w:rsidR="00284BB2" w:rsidRPr="009B78DA">
        <w:rPr>
          <w:rFonts w:ascii="Arial" w:hAnsi="Arial" w:cs="Arial"/>
          <w:color w:val="000000" w:themeColor="text1"/>
          <w:sz w:val="22"/>
          <w:szCs w:val="22"/>
        </w:rPr>
        <w:t xml:space="preserve">, </w:t>
      </w:r>
      <w:r w:rsidR="00AD7484" w:rsidRPr="009B78DA">
        <w:rPr>
          <w:rFonts w:ascii="Arial" w:hAnsi="Arial" w:cs="Arial"/>
          <w:color w:val="000000" w:themeColor="text1"/>
          <w:sz w:val="22"/>
          <w:szCs w:val="22"/>
        </w:rPr>
        <w:t xml:space="preserve">wód oraz kolizje </w:t>
      </w:r>
      <w:r w:rsidR="00726936">
        <w:rPr>
          <w:rFonts w:ascii="Arial" w:hAnsi="Arial" w:cs="Arial"/>
          <w:color w:val="000000" w:themeColor="text1"/>
          <w:sz w:val="22"/>
          <w:szCs w:val="22"/>
        </w:rPr>
        <w:br/>
      </w:r>
      <w:r w:rsidRPr="009B78DA">
        <w:rPr>
          <w:rFonts w:ascii="Arial" w:hAnsi="Arial" w:cs="Arial"/>
          <w:color w:val="000000" w:themeColor="text1"/>
          <w:sz w:val="22"/>
          <w:szCs w:val="22"/>
        </w:rPr>
        <w:t>z korytarzami ekologicznymi. Najważniejszymi</w:t>
      </w:r>
      <w:r w:rsidR="00AD7484" w:rsidRPr="009B78DA">
        <w:rPr>
          <w:rFonts w:ascii="Arial" w:hAnsi="Arial" w:cs="Arial"/>
          <w:color w:val="000000" w:themeColor="text1"/>
          <w:sz w:val="22"/>
          <w:szCs w:val="22"/>
        </w:rPr>
        <w:t xml:space="preserve"> problemami jakie mają związek </w:t>
      </w:r>
      <w:r w:rsidRPr="009B78DA">
        <w:rPr>
          <w:rFonts w:ascii="Arial" w:hAnsi="Arial" w:cs="Arial"/>
          <w:color w:val="000000" w:themeColor="text1"/>
          <w:sz w:val="22"/>
          <w:szCs w:val="22"/>
        </w:rPr>
        <w:t>z migrującymi zwierzętami przez drogi, linie kolejowe i w</w:t>
      </w:r>
      <w:r w:rsidR="00AD7484" w:rsidRPr="009B78DA">
        <w:rPr>
          <w:rFonts w:ascii="Arial" w:hAnsi="Arial" w:cs="Arial"/>
          <w:color w:val="000000" w:themeColor="text1"/>
          <w:sz w:val="22"/>
          <w:szCs w:val="22"/>
        </w:rPr>
        <w:t xml:space="preserve"> lotnictwie są kolizje </w:t>
      </w:r>
      <w:r w:rsidRPr="009B78DA">
        <w:rPr>
          <w:rFonts w:ascii="Arial" w:hAnsi="Arial" w:cs="Arial"/>
          <w:color w:val="000000" w:themeColor="text1"/>
          <w:sz w:val="22"/>
          <w:szCs w:val="22"/>
        </w:rPr>
        <w:t>i wypadki z</w:t>
      </w:r>
      <w:r w:rsidR="005E1BCA" w:rsidRPr="009B78DA">
        <w:rPr>
          <w:rFonts w:ascii="Arial" w:hAnsi="Arial" w:cs="Arial"/>
          <w:color w:val="000000" w:themeColor="text1"/>
          <w:sz w:val="22"/>
          <w:szCs w:val="22"/>
        </w:rPr>
        <w:t xml:space="preserve"> ich udziałem</w:t>
      </w:r>
      <w:r w:rsidRPr="009B78DA">
        <w:rPr>
          <w:rFonts w:ascii="Arial" w:hAnsi="Arial" w:cs="Arial"/>
          <w:color w:val="000000" w:themeColor="text1"/>
          <w:sz w:val="22"/>
          <w:szCs w:val="22"/>
        </w:rPr>
        <w:t xml:space="preserve"> oraz wysokie koszty społeczne i materialne tych zdarzeń. Ciągi komunikacyjne tworzą efekt barierowy, prowa</w:t>
      </w:r>
      <w:r w:rsidR="00AD7484" w:rsidRPr="009B78DA">
        <w:rPr>
          <w:rFonts w:ascii="Arial" w:hAnsi="Arial" w:cs="Arial"/>
          <w:color w:val="000000" w:themeColor="text1"/>
          <w:sz w:val="22"/>
          <w:szCs w:val="22"/>
        </w:rPr>
        <w:t xml:space="preserve">dzący do fragmentacji siedlisk </w:t>
      </w:r>
      <w:r w:rsidRPr="009B78DA">
        <w:rPr>
          <w:rFonts w:ascii="Arial" w:hAnsi="Arial" w:cs="Arial"/>
          <w:color w:val="000000" w:themeColor="text1"/>
          <w:sz w:val="22"/>
          <w:szCs w:val="22"/>
        </w:rPr>
        <w:t xml:space="preserve">i krajobrazu. W miejscach kolizyjnych </w:t>
      </w:r>
      <w:r w:rsidR="00726936">
        <w:rPr>
          <w:rFonts w:ascii="Arial" w:hAnsi="Arial" w:cs="Arial"/>
          <w:color w:val="000000" w:themeColor="text1"/>
          <w:sz w:val="22"/>
          <w:szCs w:val="22"/>
        </w:rPr>
        <w:br/>
      </w:r>
      <w:r w:rsidRPr="009B78DA">
        <w:rPr>
          <w:rFonts w:ascii="Arial" w:hAnsi="Arial" w:cs="Arial"/>
          <w:color w:val="000000" w:themeColor="text1"/>
          <w:sz w:val="22"/>
          <w:szCs w:val="22"/>
        </w:rPr>
        <w:t xml:space="preserve">z korytarzami migracyjnymi zwierząt najczęściej dochodzi do wypadków z udziałem zwierząt, które skutkują dużymi stratami w populacjach, zwłaszcza </w:t>
      </w:r>
      <w:r w:rsidR="005E1BCA" w:rsidRPr="009B78DA">
        <w:rPr>
          <w:rFonts w:ascii="Arial" w:hAnsi="Arial" w:cs="Arial"/>
          <w:color w:val="000000" w:themeColor="text1"/>
          <w:sz w:val="22"/>
          <w:szCs w:val="22"/>
        </w:rPr>
        <w:t xml:space="preserve">gatunków </w:t>
      </w:r>
      <w:r w:rsidRPr="009B78DA">
        <w:rPr>
          <w:rFonts w:ascii="Arial" w:hAnsi="Arial" w:cs="Arial"/>
          <w:color w:val="000000" w:themeColor="text1"/>
          <w:sz w:val="22"/>
          <w:szCs w:val="22"/>
        </w:rPr>
        <w:t>chronionych</w:t>
      </w:r>
      <w:r w:rsidR="005E1BCA" w:rsidRPr="009B78DA">
        <w:rPr>
          <w:rStyle w:val="Odwoaniedokomentarza"/>
          <w:color w:val="000000" w:themeColor="text1"/>
        </w:rPr>
        <w:t>.</w:t>
      </w:r>
    </w:p>
    <w:p w14:paraId="23E51E36" w14:textId="12E783AC" w:rsidR="009B425F" w:rsidRPr="00726936" w:rsidRDefault="009B425F" w:rsidP="00726936">
      <w:pPr>
        <w:pStyle w:val="Legenda"/>
        <w:keepNext/>
        <w:rPr>
          <w:rFonts w:ascii="Arial" w:hAnsi="Arial" w:cs="Arial"/>
          <w:i w:val="0"/>
          <w:color w:val="000000" w:themeColor="text1"/>
          <w:sz w:val="22"/>
          <w:szCs w:val="22"/>
        </w:rPr>
      </w:pPr>
      <w:bookmarkStart w:id="152" w:name="_Toc146785666"/>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37</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Sieć transportowa (istniejąca i projektowana) województwa podkarpackiego</w:t>
      </w:r>
      <w:r w:rsidR="00726936">
        <w:rPr>
          <w:rFonts w:ascii="Arial" w:hAnsi="Arial" w:cs="Arial"/>
          <w:i w:val="0"/>
          <w:color w:val="000000" w:themeColor="text1"/>
          <w:sz w:val="22"/>
          <w:szCs w:val="22"/>
        </w:rPr>
        <w:t xml:space="preserve"> </w:t>
      </w:r>
      <w:r w:rsidR="00726936">
        <w:rPr>
          <w:rFonts w:ascii="Arial" w:hAnsi="Arial" w:cs="Arial"/>
          <w:i w:val="0"/>
          <w:color w:val="000000" w:themeColor="text1"/>
          <w:sz w:val="22"/>
          <w:szCs w:val="22"/>
        </w:rPr>
        <w:br/>
      </w:r>
      <w:r w:rsidRPr="009B78DA">
        <w:rPr>
          <w:rFonts w:ascii="Arial" w:hAnsi="Arial" w:cs="Arial"/>
          <w:i w:val="0"/>
          <w:color w:val="000000" w:themeColor="text1"/>
          <w:sz w:val="22"/>
          <w:szCs w:val="22"/>
        </w:rPr>
        <w:t>a korytarze ekologiczne.</w:t>
      </w:r>
      <w:bookmarkEnd w:id="152"/>
    </w:p>
    <w:p w14:paraId="7903DBBD" w14:textId="5C39C2AD" w:rsidR="00C54195" w:rsidRPr="009B78DA" w:rsidRDefault="00C54195" w:rsidP="003C206F">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28B1BBE0" wp14:editId="56B31681">
            <wp:extent cx="5095264" cy="4584011"/>
            <wp:effectExtent l="0" t="0" r="0" b="7620"/>
            <wp:docPr id="34" name="Obraz 34" descr="Województwo podkarpackie, południowa cześć województwa od Strzyżowa po Przemyśl zidentyfikowane ciągi migracyjne zwierząt, większość województwa to korytarz ekologiczny łączący obszar Natura 2000 wg ZBS PAN (obecnie IBS PAN), 2011 r. Zaznaczono korytarze rzeczne w obrębie Stalowej Woli, Leżajska, Mielca, Lubaczowa. Monitorowanie górne przejście dla dużych/ średnich zwierząt w pasie autostrady A4 Dębica, Ropczyce, przy granicy z Ukraina, Monitorowanie dolne od Jarosława do granicy z Ukraina. Pozostałe przejścia od Rzeszowa do przeworska na odcinku autostrady. Na mapie zaznaczono autostradę A4 z węzłami, Drogę ekspresową S19 z węzłami i z węzłami w realizacji. Zaznaczono drogi krajowe i wojewódzki oraz Linie kolejowe. Zaznaczono Kolizje na drogach z udziałem zwierząt pod ochroną ścisła, częściowa, zwierząt łownych i z innymi zwierzętami dziko żyjącymi " title="Rysunek 37 Sieć transportowa (istniejąca i projektowana) województwa podkarpackiego a korytarze ekologi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095264" cy="4584011"/>
                    </a:xfrm>
                    <a:prstGeom prst="rect">
                      <a:avLst/>
                    </a:prstGeom>
                    <a:noFill/>
                  </pic:spPr>
                </pic:pic>
              </a:graphicData>
            </a:graphic>
          </wp:inline>
        </w:drawing>
      </w:r>
    </w:p>
    <w:p w14:paraId="2411E4A3" w14:textId="112CA926" w:rsidR="00C54195" w:rsidRPr="009B78DA" w:rsidRDefault="00C54195" w:rsidP="00726936">
      <w:pPr>
        <w:spacing w:before="120" w:after="120" w:line="276" w:lineRule="auto"/>
        <w:rPr>
          <w:rFonts w:ascii="Arial" w:hAnsi="Arial" w:cs="Arial"/>
          <w:color w:val="000000" w:themeColor="text1"/>
          <w:sz w:val="22"/>
          <w:szCs w:val="22"/>
        </w:rPr>
      </w:pPr>
      <w:bookmarkStart w:id="153" w:name="_Hlk82681682"/>
      <w:r w:rsidRPr="009B78DA">
        <w:rPr>
          <w:rFonts w:ascii="Arial" w:hAnsi="Arial" w:cs="Arial"/>
          <w:color w:val="000000" w:themeColor="text1"/>
          <w:sz w:val="22"/>
          <w:szCs w:val="22"/>
        </w:rPr>
        <w:t xml:space="preserve">Źródło: </w:t>
      </w:r>
      <w:r w:rsidR="001C5F28" w:rsidRPr="009B78DA">
        <w:rPr>
          <w:rFonts w:ascii="Arial" w:hAnsi="Arial" w:cs="Arial"/>
          <w:color w:val="000000" w:themeColor="text1"/>
          <w:sz w:val="22"/>
          <w:szCs w:val="22"/>
        </w:rPr>
        <w:t>Opracowanie własne.</w:t>
      </w:r>
    </w:p>
    <w:bookmarkEnd w:id="153"/>
    <w:p w14:paraId="5D7D082C" w14:textId="690E61C2" w:rsidR="00C54195" w:rsidRPr="009B78DA" w:rsidRDefault="00C54195" w:rsidP="0072693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Niemal połowa powierzchni województwa (44,9%) z uwagi na cenne walory przyrodniczo-krajobrazowe objęta została różnego rodzaju formami ochrony przyrody. Zastosowane formy ochrony przyrody nie zabezpieczają jednak skutecznie przestrzeni życiowych znacznej liczby gatunków, ponieważ dla ochrony różnorodności biologicznej na poziomie siedliskowym, gatunkowym i genetycznym niezbędne jest zachowanie łączności ekologicznej (korytarzy ekologicznych). Realizacja liniowych inwestycji transportowych powinna już na etapie planowania uwzględniać wszystkie uwarunkowania środowiskowe aby maksymalnie minimalizować niekorzystne zjawiska wynikające z kolizji korytarzy transportowych z korytarzami migracyjnymi zwierząt.</w:t>
      </w:r>
    </w:p>
    <w:p w14:paraId="20AF5A5A" w14:textId="64DC0DE8" w:rsidR="00C54195" w:rsidRPr="009B78DA" w:rsidRDefault="00C54195" w:rsidP="00726936">
      <w:pPr>
        <w:pStyle w:val="Akapitzlist"/>
        <w:numPr>
          <w:ilvl w:val="0"/>
          <w:numId w:val="61"/>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Negatywny wpływ transportu drogowego na środowisko związany z dużym natężeniem ruchu i kolizjami ciągów migracyjnych zwierząt oraz ich śmiertelnością na drogach, </w:t>
      </w:r>
      <w:r w:rsidR="008E63EF">
        <w:rPr>
          <w:rFonts w:ascii="Arial" w:hAnsi="Arial" w:cs="Arial"/>
          <w:color w:val="000000" w:themeColor="text1"/>
          <w:sz w:val="22"/>
          <w:szCs w:val="22"/>
        </w:rPr>
        <w:t>a</w:t>
      </w:r>
      <w:r w:rsidRPr="009B78DA">
        <w:rPr>
          <w:rFonts w:ascii="Arial" w:hAnsi="Arial" w:cs="Arial"/>
          <w:color w:val="000000" w:themeColor="text1"/>
          <w:sz w:val="22"/>
          <w:szCs w:val="22"/>
        </w:rPr>
        <w:t xml:space="preserve"> także z fragmentacją siedli</w:t>
      </w:r>
      <w:r w:rsidR="00AD7484" w:rsidRPr="009B78DA">
        <w:rPr>
          <w:rFonts w:ascii="Arial" w:hAnsi="Arial" w:cs="Arial"/>
          <w:color w:val="000000" w:themeColor="text1"/>
          <w:sz w:val="22"/>
          <w:szCs w:val="22"/>
        </w:rPr>
        <w:t xml:space="preserve">sk przyrodniczych </w:t>
      </w:r>
      <w:r w:rsidRPr="009B78DA">
        <w:rPr>
          <w:rFonts w:ascii="Arial" w:hAnsi="Arial" w:cs="Arial"/>
          <w:color w:val="000000" w:themeColor="text1"/>
          <w:sz w:val="22"/>
          <w:szCs w:val="22"/>
        </w:rPr>
        <w:t>i krajobrazu kumuluje się obecnie w ciągu dróg:</w:t>
      </w:r>
    </w:p>
    <w:p w14:paraId="0229E46C" w14:textId="1120513E" w:rsidR="00C54195" w:rsidRPr="009B78DA" w:rsidRDefault="00C54195" w:rsidP="00726936">
      <w:pPr>
        <w:pStyle w:val="Akapitzlist"/>
        <w:numPr>
          <w:ilvl w:val="0"/>
          <w:numId w:val="62"/>
        </w:numPr>
        <w:spacing w:after="0"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DK28/DK84 Krosno – Sanok– Ustrzyki Dolne (droga przechodzi przez obrzeża parków krajobrazowych: Gór Słonnych i Ciśniańsko-Wetlińskiego oraz Wschodniobeskidzkiego Obszar</w:t>
      </w:r>
      <w:r w:rsidR="005631D3" w:rsidRPr="009B78DA">
        <w:rPr>
          <w:rFonts w:ascii="Arial" w:hAnsi="Arial" w:cs="Arial"/>
          <w:color w:val="000000" w:themeColor="text1"/>
          <w:sz w:val="22"/>
          <w:szCs w:val="22"/>
        </w:rPr>
        <w:t>u</w:t>
      </w:r>
      <w:r w:rsidRPr="009B78DA">
        <w:rPr>
          <w:rFonts w:ascii="Arial" w:hAnsi="Arial" w:cs="Arial"/>
          <w:color w:val="000000" w:themeColor="text1"/>
          <w:sz w:val="22"/>
          <w:szCs w:val="22"/>
        </w:rPr>
        <w:t xml:space="preserve"> Chronionego Krajobrazu);</w:t>
      </w:r>
    </w:p>
    <w:p w14:paraId="1C2CBFC7" w14:textId="77777777" w:rsidR="00C54195" w:rsidRPr="009B78DA" w:rsidRDefault="00C54195" w:rsidP="00726936">
      <w:pPr>
        <w:pStyle w:val="Akapitzlist"/>
        <w:numPr>
          <w:ilvl w:val="0"/>
          <w:numId w:val="62"/>
        </w:numPr>
        <w:spacing w:after="0"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DK19 przecinającej paneuropejski korytarz ekologiczny (Korytarz Karpacki);</w:t>
      </w:r>
    </w:p>
    <w:p w14:paraId="7BC60624" w14:textId="766008D6" w:rsidR="00C54195" w:rsidRPr="009B78DA" w:rsidRDefault="00C54195" w:rsidP="00726936">
      <w:pPr>
        <w:pStyle w:val="Akapitzlist"/>
        <w:numPr>
          <w:ilvl w:val="0"/>
          <w:numId w:val="62"/>
        </w:numPr>
        <w:spacing w:after="0" w:line="276" w:lineRule="auto"/>
        <w:ind w:left="924" w:hanging="357"/>
        <w:rPr>
          <w:rFonts w:ascii="Arial" w:hAnsi="Arial" w:cs="Arial"/>
          <w:color w:val="000000" w:themeColor="text1"/>
          <w:sz w:val="22"/>
          <w:szCs w:val="22"/>
        </w:rPr>
      </w:pPr>
      <w:r w:rsidRPr="009B78DA">
        <w:rPr>
          <w:rFonts w:ascii="Arial" w:hAnsi="Arial" w:cs="Arial"/>
          <w:color w:val="000000" w:themeColor="text1"/>
          <w:sz w:val="22"/>
          <w:szCs w:val="22"/>
        </w:rPr>
        <w:t>DW 988 Rzeszów-Jasło, przecinającej Czarnorzecko-Strzyżowski Park Krajobrazowy, ale występuje również na innych drogach wojewódzkich oraz powiatowych i gminnych, gdzie odnotowuje się dużą liczbę kolizji ze zwierzętami;</w:t>
      </w:r>
    </w:p>
    <w:p w14:paraId="76E6838B" w14:textId="77777777" w:rsidR="00C54195" w:rsidRPr="009B78DA" w:rsidRDefault="00C54195" w:rsidP="00726936">
      <w:pPr>
        <w:pStyle w:val="Akapitzlist"/>
        <w:numPr>
          <w:ilvl w:val="0"/>
          <w:numId w:val="63"/>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Transport kolejowy, z uwagi na ograniczenie częstotliwości kursowania pociągów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i niewielkie prędkości (z wyjątkiem linii nr 91 i 71), wywiera obecnie znacznie mniejszą presję na środowisko niż transport drogowy;</w:t>
      </w:r>
    </w:p>
    <w:p w14:paraId="04515E11" w14:textId="321AD26D" w:rsidR="00C54195" w:rsidRPr="009B78DA" w:rsidRDefault="00C54195" w:rsidP="00726936">
      <w:pPr>
        <w:pStyle w:val="Akapitzlist"/>
        <w:numPr>
          <w:ilvl w:val="0"/>
          <w:numId w:val="63"/>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Transport lotniczy województwa podkarpackiego, w skali kraju ma niewielki wpływ na środowisko, a uciążliwość dla środowiska związana jest z poj</w:t>
      </w:r>
      <w:r w:rsidR="003127DF">
        <w:rPr>
          <w:rFonts w:ascii="Arial" w:hAnsi="Arial" w:cs="Arial"/>
          <w:color w:val="000000" w:themeColor="text1"/>
          <w:sz w:val="22"/>
          <w:szCs w:val="22"/>
        </w:rPr>
        <w:t>edynczymi przelotami samolotów.</w:t>
      </w:r>
    </w:p>
    <w:p w14:paraId="6744DBA4" w14:textId="1902F5B2" w:rsidR="0019276F" w:rsidRPr="009B78DA" w:rsidRDefault="0019276F" w:rsidP="00726936">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Głównym źródłem zanieczyszczenia powietrza w województwie podkarpackim jest emisja pochodząca z sektora komunalno-bytow</w:t>
      </w:r>
      <w:r w:rsidR="003127DF">
        <w:rPr>
          <w:rFonts w:ascii="Arial" w:hAnsi="Arial" w:cs="Arial"/>
          <w:color w:val="000000" w:themeColor="text1"/>
          <w:sz w:val="22"/>
          <w:szCs w:val="22"/>
        </w:rPr>
        <w:t xml:space="preserve">ego (emisja powierzchniowa), ze </w:t>
      </w:r>
      <w:r w:rsidRPr="009B78DA">
        <w:rPr>
          <w:rFonts w:ascii="Arial" w:hAnsi="Arial" w:cs="Arial"/>
          <w:color w:val="000000" w:themeColor="text1"/>
          <w:sz w:val="22"/>
          <w:szCs w:val="22"/>
        </w:rPr>
        <w:t>środków transportu drogowego i wtórnej emisji zanieczyszczeń z dróg (emisja liniowa)</w:t>
      </w:r>
      <w:r w:rsidR="005631D3"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oraz </w:t>
      </w:r>
      <w:r w:rsidR="003127DF">
        <w:rPr>
          <w:rFonts w:ascii="Arial" w:hAnsi="Arial" w:cs="Arial"/>
          <w:color w:val="000000" w:themeColor="text1"/>
          <w:sz w:val="22"/>
          <w:szCs w:val="22"/>
        </w:rPr>
        <w:br/>
      </w:r>
      <w:r w:rsidRPr="009B78DA">
        <w:rPr>
          <w:rFonts w:ascii="Arial" w:hAnsi="Arial" w:cs="Arial"/>
          <w:color w:val="000000" w:themeColor="text1"/>
          <w:sz w:val="22"/>
          <w:szCs w:val="22"/>
        </w:rPr>
        <w:t>z procesów energetycznego</w:t>
      </w:r>
      <w:r w:rsidR="005631D3"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spalania paliw i przemysłowych procesów tech</w:t>
      </w:r>
      <w:r w:rsidR="003127DF">
        <w:rPr>
          <w:rFonts w:ascii="Arial" w:hAnsi="Arial" w:cs="Arial"/>
          <w:color w:val="000000" w:themeColor="text1"/>
          <w:sz w:val="22"/>
          <w:szCs w:val="22"/>
        </w:rPr>
        <w:t>nologicznych (emisja punktowa).</w:t>
      </w:r>
    </w:p>
    <w:p w14:paraId="23A4C2F3" w14:textId="15C7CDC2" w:rsidR="0019276F" w:rsidRPr="009B78DA" w:rsidRDefault="0019276F" w:rsidP="00726936">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Według bilansu emisji w 2019 r. z terenu województwa podkarpackiego sporządzonego przez KOBiZE</w:t>
      </w:r>
      <w:r w:rsidRPr="009B78DA">
        <w:rPr>
          <w:rFonts w:ascii="Arial" w:hAnsi="Arial" w:cs="Arial"/>
          <w:color w:val="000000" w:themeColor="text1"/>
          <w:sz w:val="22"/>
          <w:szCs w:val="22"/>
          <w:vertAlign w:val="superscript"/>
        </w:rPr>
        <w:footnoteReference w:id="19"/>
      </w:r>
      <w:r w:rsidRPr="009B78DA">
        <w:rPr>
          <w:rFonts w:ascii="Arial" w:hAnsi="Arial" w:cs="Arial"/>
          <w:color w:val="000000" w:themeColor="text1"/>
          <w:sz w:val="22"/>
          <w:szCs w:val="22"/>
        </w:rPr>
        <w:t xml:space="preserve"> do atmosfery wprowadzonych zostało ogółem 11 664,8 Mg tlenków siarki (3,3% emisji krajowej); 28 856,5 Mg tlenków azotu (4,2% emisji krajowej); 30 602,3 Mg zanieczyszczeń pyłowych PM10 i PM2,5 (5% emisji krajowej); 7,17 Mg benzo(a)pirenu (5,4% emisji kr</w:t>
      </w:r>
      <w:r w:rsidR="003127DF">
        <w:rPr>
          <w:rFonts w:ascii="Arial" w:hAnsi="Arial" w:cs="Arial"/>
          <w:color w:val="000000" w:themeColor="text1"/>
          <w:sz w:val="22"/>
          <w:szCs w:val="22"/>
        </w:rPr>
        <w:t>ajowej).</w:t>
      </w:r>
    </w:p>
    <w:p w14:paraId="6E0D06A1" w14:textId="048CBE9A" w:rsidR="003C206F" w:rsidRPr="009B78DA" w:rsidRDefault="0019276F" w:rsidP="00726936">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Ze źródeł liniowych w województwie podkarpackim wyemitowano do powietrza ogółem 15,33 Mg zanieczyszczeń (22% całkowitej emisji), najwięcej dwutlenku azotu </w:t>
      </w:r>
      <w:r w:rsidR="00B07B8D">
        <w:rPr>
          <w:rFonts w:ascii="Arial" w:hAnsi="Arial" w:cs="Arial"/>
          <w:color w:val="000000" w:themeColor="text1"/>
          <w:sz w:val="22"/>
          <w:szCs w:val="22"/>
        </w:rPr>
        <w:br/>
      </w:r>
      <w:r w:rsidRPr="009B78DA">
        <w:rPr>
          <w:rFonts w:ascii="Arial" w:hAnsi="Arial" w:cs="Arial"/>
          <w:color w:val="000000" w:themeColor="text1"/>
          <w:sz w:val="22"/>
          <w:szCs w:val="22"/>
        </w:rPr>
        <w:t>13,73 Mg</w:t>
      </w:r>
      <w:bookmarkStart w:id="154" w:name="_Toc52187778"/>
      <w:r w:rsidR="00B07B8D">
        <w:rPr>
          <w:rFonts w:ascii="Arial" w:hAnsi="Arial" w:cs="Arial"/>
          <w:color w:val="000000" w:themeColor="text1"/>
          <w:sz w:val="22"/>
          <w:szCs w:val="22"/>
        </w:rPr>
        <w:t>.</w:t>
      </w:r>
    </w:p>
    <w:p w14:paraId="13AD7A55" w14:textId="14837A35" w:rsidR="009F6FE3" w:rsidRPr="009B78DA" w:rsidRDefault="009F6FE3" w:rsidP="00726936">
      <w:pPr>
        <w:pStyle w:val="Legenda"/>
        <w:keepNext/>
        <w:rPr>
          <w:rFonts w:ascii="Arial" w:hAnsi="Arial" w:cs="Arial"/>
          <w:i w:val="0"/>
          <w:color w:val="000000" w:themeColor="text1"/>
          <w:sz w:val="22"/>
          <w:szCs w:val="22"/>
        </w:rPr>
      </w:pPr>
      <w:bookmarkStart w:id="155" w:name="_Toc146785710"/>
      <w:bookmarkEnd w:id="154"/>
      <w:r w:rsidRPr="009B78DA">
        <w:rPr>
          <w:rFonts w:ascii="Arial" w:hAnsi="Arial" w:cs="Arial"/>
          <w:b/>
          <w:i w:val="0"/>
          <w:color w:val="000000" w:themeColor="text1"/>
          <w:sz w:val="22"/>
          <w:szCs w:val="22"/>
        </w:rPr>
        <w:t xml:space="preserve">Wykres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Wykres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r w:rsidRPr="009B78DA">
        <w:rPr>
          <w:rFonts w:ascii="Arial" w:hAnsi="Arial" w:cs="Arial"/>
          <w:i w:val="0"/>
          <w:iCs w:val="0"/>
          <w:color w:val="000000" w:themeColor="text1"/>
          <w:sz w:val="22"/>
          <w:szCs w:val="22"/>
        </w:rPr>
        <w:t>Udział poszczególnych źródeł emisji na terenie województwa podkarpackiego, ogółem w roku 2019</w:t>
      </w:r>
      <w:bookmarkEnd w:id="155"/>
    </w:p>
    <w:p w14:paraId="28DF4BC5" w14:textId="285AB3EA" w:rsidR="0019276F" w:rsidRPr="009B78DA" w:rsidRDefault="003127DF" w:rsidP="0019276F">
      <w:pPr>
        <w:spacing w:line="276" w:lineRule="auto"/>
        <w:ind w:firstLine="227"/>
        <w:jc w:val="both"/>
        <w:rPr>
          <w:rFonts w:ascii="Arial" w:hAnsi="Arial" w:cs="Arial"/>
          <w:color w:val="000000" w:themeColor="text1"/>
          <w:sz w:val="22"/>
          <w:szCs w:val="22"/>
        </w:rPr>
      </w:pPr>
      <w:r w:rsidRPr="004309A3">
        <w:rPr>
          <w:rFonts w:ascii="Arial" w:hAnsi="Arial" w:cs="Arial"/>
          <w:noProof/>
          <w:color w:val="000000" w:themeColor="text1"/>
          <w:sz w:val="22"/>
          <w:szCs w:val="22"/>
        </w:rPr>
        <w:drawing>
          <wp:inline distT="0" distB="0" distL="0" distR="0" wp14:anchorId="3AB4D47A" wp14:editId="3662C393">
            <wp:extent cx="4324350" cy="2352675"/>
            <wp:effectExtent l="0" t="0" r="0" b="9525"/>
            <wp:docPr id="27" name="Obraz 27" descr="Komunalno-bytowa (jasno niebieskim) 47%, transport drogowy (pomarańczowy) 22%, punktowa (szary) 17%, hałdy i wyrobiska (żółty) 1%, inne (ciemno niebieski) 13%" title="Wykres 3 Udział poszczególnych źródeł emisji na terenie województwa podkarpackiego, ogółem w roku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ykres 3. Udział poszczególnych źródeł emisji na terenie województwa podkarpackiego, ogółem w roku 2019.jpg"/>
                    <pic:cNvPicPr/>
                  </pic:nvPicPr>
                  <pic:blipFill>
                    <a:blip r:embed="rId51">
                      <a:extLst>
                        <a:ext uri="{28A0092B-C50C-407E-A947-70E740481C1C}">
                          <a14:useLocalDpi xmlns:a14="http://schemas.microsoft.com/office/drawing/2010/main" val="0"/>
                        </a:ext>
                      </a:extLst>
                    </a:blip>
                    <a:stretch>
                      <a:fillRect/>
                    </a:stretch>
                  </pic:blipFill>
                  <pic:spPr>
                    <a:xfrm>
                      <a:off x="0" y="0"/>
                      <a:ext cx="4324350" cy="2352675"/>
                    </a:xfrm>
                    <a:prstGeom prst="rect">
                      <a:avLst/>
                    </a:prstGeom>
                  </pic:spPr>
                </pic:pic>
              </a:graphicData>
            </a:graphic>
          </wp:inline>
        </w:drawing>
      </w:r>
    </w:p>
    <w:p w14:paraId="2F9360FB" w14:textId="23E8BDDD" w:rsidR="0019276F" w:rsidRPr="009B78DA" w:rsidRDefault="0019276F" w:rsidP="003127DF">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Pr="009B78DA">
        <w:rPr>
          <w:rFonts w:ascii="Arial" w:hAnsi="Arial" w:cs="Arial"/>
          <w:i/>
          <w:color w:val="000000" w:themeColor="text1"/>
          <w:sz w:val="22"/>
          <w:szCs w:val="22"/>
        </w:rPr>
        <w:t>Diagnoza stanu systemu transportowego w województwie podkarpackim</w:t>
      </w:r>
      <w:r w:rsidRPr="009B78DA">
        <w:rPr>
          <w:rFonts w:ascii="Arial" w:hAnsi="Arial" w:cs="Arial"/>
          <w:color w:val="000000" w:themeColor="text1"/>
          <w:sz w:val="22"/>
          <w:szCs w:val="22"/>
        </w:rPr>
        <w:t xml:space="preserve">, PBPP </w:t>
      </w:r>
      <w:r w:rsidRPr="009B78DA">
        <w:rPr>
          <w:rFonts w:ascii="Arial" w:hAnsi="Arial" w:cs="Arial"/>
          <w:color w:val="000000" w:themeColor="text1"/>
          <w:sz w:val="22"/>
          <w:szCs w:val="22"/>
        </w:rPr>
        <w:br/>
        <w:t>w Rzeszowie, 2020</w:t>
      </w:r>
      <w:r w:rsidR="001E00EE" w:rsidRPr="009B78DA">
        <w:rPr>
          <w:rFonts w:ascii="Arial" w:hAnsi="Arial" w:cs="Arial"/>
          <w:color w:val="000000" w:themeColor="text1"/>
          <w:sz w:val="22"/>
          <w:szCs w:val="22"/>
        </w:rPr>
        <w:t>/2021</w:t>
      </w:r>
      <w:r w:rsidRPr="009B78DA">
        <w:rPr>
          <w:rFonts w:ascii="Arial" w:hAnsi="Arial" w:cs="Arial"/>
          <w:color w:val="000000" w:themeColor="text1"/>
          <w:sz w:val="22"/>
          <w:szCs w:val="22"/>
        </w:rPr>
        <w:t xml:space="preserve">. </w:t>
      </w:r>
    </w:p>
    <w:p w14:paraId="5F5B851D" w14:textId="0710F16A" w:rsidR="009F6FE3" w:rsidRPr="009B78DA" w:rsidRDefault="009F6FE3" w:rsidP="003127DF">
      <w:pPr>
        <w:pStyle w:val="Legenda"/>
        <w:keepNext/>
        <w:rPr>
          <w:rFonts w:ascii="Arial" w:hAnsi="Arial" w:cs="Arial"/>
          <w:i w:val="0"/>
          <w:color w:val="000000" w:themeColor="text1"/>
          <w:sz w:val="22"/>
          <w:szCs w:val="22"/>
        </w:rPr>
      </w:pPr>
      <w:bookmarkStart w:id="156" w:name="_Toc146785711"/>
      <w:r w:rsidRPr="009B78DA">
        <w:rPr>
          <w:rFonts w:ascii="Arial" w:hAnsi="Arial" w:cs="Arial"/>
          <w:b/>
          <w:i w:val="0"/>
          <w:color w:val="000000" w:themeColor="text1"/>
          <w:sz w:val="22"/>
          <w:szCs w:val="22"/>
        </w:rPr>
        <w:t xml:space="preserve">Wykres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Wykres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r w:rsidRPr="009B78DA">
        <w:rPr>
          <w:rFonts w:ascii="Arial" w:hAnsi="Arial" w:cs="Arial"/>
          <w:i w:val="0"/>
          <w:iCs w:val="0"/>
          <w:color w:val="000000" w:themeColor="text1"/>
          <w:sz w:val="22"/>
          <w:szCs w:val="22"/>
        </w:rPr>
        <w:t>Udział zanieczyszczeń ze źródeł liniowych (pochodzących z transportu drogowego) -w emisji ogółem z terenu województwa podkarpackiego w roku 2019.</w:t>
      </w:r>
      <w:bookmarkEnd w:id="156"/>
    </w:p>
    <w:p w14:paraId="26F4738D" w14:textId="63A32D6E" w:rsidR="003F60B3" w:rsidRPr="009B78DA" w:rsidRDefault="003127DF" w:rsidP="00B07B8D">
      <w:pPr>
        <w:spacing w:after="120" w:line="276" w:lineRule="auto"/>
        <w:ind w:firstLine="227"/>
        <w:jc w:val="center"/>
        <w:rPr>
          <w:rFonts w:ascii="Arial" w:hAnsi="Arial" w:cs="Arial"/>
          <w:color w:val="000000" w:themeColor="text1"/>
          <w:sz w:val="22"/>
          <w:szCs w:val="22"/>
        </w:rPr>
      </w:pPr>
      <w:r w:rsidRPr="004309A3">
        <w:rPr>
          <w:rFonts w:ascii="Arial" w:hAnsi="Arial" w:cs="Arial"/>
          <w:noProof/>
          <w:color w:val="000000" w:themeColor="text1"/>
          <w:sz w:val="22"/>
          <w:szCs w:val="22"/>
        </w:rPr>
        <w:drawing>
          <wp:inline distT="0" distB="0" distL="0" distR="0" wp14:anchorId="0612CE6C" wp14:editId="1A85C992">
            <wp:extent cx="4572000" cy="2743200"/>
            <wp:effectExtent l="0" t="0" r="0" b="0"/>
            <wp:docPr id="66" name="Obraz 66" descr="Wykres słupkowy: NO2 89,55%, PM10 5,89%, PM2,5 4,37%, SO2 0,18%, B(a)P 0,00%" title="Wykres 4. Udział zanieczyszczeń ze źródeł liniowych w emisji ogółem z terenu województwa podkarpackiego, w roku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ykres 4. Udział zanieczyszczeń ze źródeł liniowych w emisji ogółem z terenu województwa podkarpackiego, w roku 2019.jpg"/>
                    <pic:cNvPicPr/>
                  </pic:nvPicPr>
                  <pic:blipFill>
                    <a:blip r:embed="rId52">
                      <a:extLst>
                        <a:ext uri="{28A0092B-C50C-407E-A947-70E740481C1C}">
                          <a14:useLocalDpi xmlns:a14="http://schemas.microsoft.com/office/drawing/2010/main" val="0"/>
                        </a:ext>
                      </a:extLst>
                    </a:blip>
                    <a:stretch>
                      <a:fillRect/>
                    </a:stretch>
                  </pic:blipFill>
                  <pic:spPr>
                    <a:xfrm>
                      <a:off x="0" y="0"/>
                      <a:ext cx="4572000" cy="2743200"/>
                    </a:xfrm>
                    <a:prstGeom prst="rect">
                      <a:avLst/>
                    </a:prstGeom>
                  </pic:spPr>
                </pic:pic>
              </a:graphicData>
            </a:graphic>
          </wp:inline>
        </w:drawing>
      </w:r>
    </w:p>
    <w:p w14:paraId="0B01AB5D" w14:textId="3C51CC68" w:rsidR="003F60B3" w:rsidRPr="009B78DA" w:rsidRDefault="003F60B3" w:rsidP="003127DF">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Pr="009B78DA">
        <w:rPr>
          <w:rFonts w:ascii="Arial" w:hAnsi="Arial" w:cs="Arial"/>
          <w:i/>
          <w:color w:val="000000" w:themeColor="text1"/>
          <w:sz w:val="22"/>
          <w:szCs w:val="22"/>
        </w:rPr>
        <w:t>Diagnoza stanu systemu transportowego w województwie podkarpackim</w:t>
      </w:r>
      <w:r w:rsidRPr="009B78DA">
        <w:rPr>
          <w:rFonts w:ascii="Arial" w:hAnsi="Arial" w:cs="Arial"/>
          <w:color w:val="000000" w:themeColor="text1"/>
          <w:sz w:val="22"/>
          <w:szCs w:val="22"/>
        </w:rPr>
        <w:t xml:space="preserve">, PBPP </w:t>
      </w:r>
      <w:r w:rsidRPr="009B78DA">
        <w:rPr>
          <w:rFonts w:ascii="Arial" w:hAnsi="Arial" w:cs="Arial"/>
          <w:color w:val="000000" w:themeColor="text1"/>
          <w:sz w:val="22"/>
          <w:szCs w:val="22"/>
        </w:rPr>
        <w:br/>
        <w:t>w Rzeszowie, 2020</w:t>
      </w:r>
      <w:r w:rsidR="001E00EE" w:rsidRPr="009B78DA">
        <w:rPr>
          <w:rFonts w:ascii="Arial" w:hAnsi="Arial" w:cs="Arial"/>
          <w:color w:val="000000" w:themeColor="text1"/>
          <w:sz w:val="22"/>
          <w:szCs w:val="22"/>
        </w:rPr>
        <w:t>/2021</w:t>
      </w:r>
      <w:r w:rsidRPr="009B78DA">
        <w:rPr>
          <w:rFonts w:ascii="Arial" w:hAnsi="Arial" w:cs="Arial"/>
          <w:color w:val="000000" w:themeColor="text1"/>
          <w:sz w:val="22"/>
          <w:szCs w:val="22"/>
        </w:rPr>
        <w:t xml:space="preserve">. </w:t>
      </w:r>
    </w:p>
    <w:p w14:paraId="6C95CA7A" w14:textId="69EE9F4E" w:rsidR="003F60B3" w:rsidRPr="009B78DA" w:rsidRDefault="003F60B3" w:rsidP="003127DF">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Największe stężenia zanieczyszczeń występują na skrzyżowaniach i drogach</w:t>
      </w:r>
      <w:r w:rsidR="003127DF">
        <w:rPr>
          <w:rFonts w:ascii="Arial" w:hAnsi="Arial" w:cs="Arial"/>
          <w:color w:val="000000" w:themeColor="text1"/>
          <w:sz w:val="22"/>
          <w:szCs w:val="22"/>
        </w:rPr>
        <w:t xml:space="preserve"> </w:t>
      </w:r>
      <w:r w:rsidR="003127DF">
        <w:rPr>
          <w:rFonts w:ascii="Arial" w:hAnsi="Arial" w:cs="Arial"/>
          <w:color w:val="000000" w:themeColor="text1"/>
          <w:sz w:val="22"/>
          <w:szCs w:val="22"/>
        </w:rPr>
        <w:br/>
      </w:r>
      <w:r w:rsidRPr="009B78DA">
        <w:rPr>
          <w:rFonts w:ascii="Arial" w:hAnsi="Arial" w:cs="Arial"/>
          <w:color w:val="000000" w:themeColor="text1"/>
          <w:sz w:val="22"/>
          <w:szCs w:val="22"/>
        </w:rPr>
        <w:t>o znacznym natężeniu ruchu, które przebiegają przez obszary położone w zwartej zabudowie, a zwłaszcza w mieście Rzeszów. Na pogorszenie jakości powietrza ma wpływ stale zwiększający się poziom motoryzacji oraz zły stan techniczny dróg. Rozwój elektromobilności przyczyni się do poprawy jakości powietrza, przede wszystkim w dużych aglomeracjach.</w:t>
      </w:r>
      <w:r w:rsidR="006D32EE" w:rsidRPr="009B78DA">
        <w:rPr>
          <w:rFonts w:ascii="Arial" w:hAnsi="Arial" w:cs="Arial"/>
          <w:color w:val="000000" w:themeColor="text1"/>
          <w:sz w:val="22"/>
          <w:szCs w:val="22"/>
        </w:rPr>
        <w:t xml:space="preserve"> Również działania nakierowane na podniesienie konkurencyjności kolei (zarówno sieci jak i taboru) </w:t>
      </w:r>
      <w:r w:rsidR="002D5B7E" w:rsidRPr="009B78DA">
        <w:rPr>
          <w:rFonts w:ascii="Arial" w:hAnsi="Arial" w:cs="Arial"/>
          <w:color w:val="000000" w:themeColor="text1"/>
          <w:sz w:val="22"/>
          <w:szCs w:val="22"/>
        </w:rPr>
        <w:t>będą miały</w:t>
      </w:r>
      <w:r w:rsidR="006D32EE" w:rsidRPr="009B78DA">
        <w:rPr>
          <w:rFonts w:ascii="Arial" w:hAnsi="Arial" w:cs="Arial"/>
          <w:color w:val="000000" w:themeColor="text1"/>
          <w:sz w:val="22"/>
          <w:szCs w:val="22"/>
        </w:rPr>
        <w:t xml:space="preserve"> pozytywny wpływ na obniżenie emisyjności gospodarki i ochronę środowiska przyrodniczego</w:t>
      </w:r>
      <w:r w:rsidR="005631D3" w:rsidRPr="009B78DA">
        <w:rPr>
          <w:rFonts w:ascii="Arial" w:hAnsi="Arial" w:cs="Arial"/>
          <w:color w:val="000000" w:themeColor="text1"/>
          <w:sz w:val="22"/>
          <w:szCs w:val="22"/>
        </w:rPr>
        <w:t>.</w:t>
      </w:r>
    </w:p>
    <w:p w14:paraId="1950CA7A" w14:textId="00CB88C5" w:rsidR="00E31549" w:rsidRPr="003127DF" w:rsidRDefault="00AB4D03" w:rsidP="003127DF">
      <w:pPr>
        <w:spacing w:after="12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Czynnik, jakim jest brak możliwości całościowego, instytucjonalnego odziaływania ze strony Samorządu Województwa na system transportowy regionu, jest szczególnie istotny</w:t>
      </w:r>
      <w:r w:rsidR="003127DF">
        <w:rPr>
          <w:rFonts w:ascii="Arial" w:hAnsi="Arial" w:cs="Arial"/>
          <w:color w:val="000000" w:themeColor="text1"/>
          <w:sz w:val="22"/>
          <w:szCs w:val="22"/>
        </w:rPr>
        <w:t xml:space="preserve"> </w:t>
      </w:r>
      <w:r w:rsidRPr="009B78DA">
        <w:rPr>
          <w:rFonts w:ascii="Arial" w:hAnsi="Arial" w:cs="Arial"/>
          <w:color w:val="000000" w:themeColor="text1"/>
          <w:sz w:val="22"/>
          <w:szCs w:val="22"/>
        </w:rPr>
        <w:t>w kontekście</w:t>
      </w:r>
      <w:r w:rsidR="004F1643"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ewentualnego wywierania </w:t>
      </w:r>
      <w:r w:rsidR="004F1643" w:rsidRPr="009B78DA">
        <w:rPr>
          <w:rFonts w:ascii="Arial" w:hAnsi="Arial" w:cs="Arial"/>
          <w:color w:val="000000" w:themeColor="text1"/>
          <w:sz w:val="22"/>
          <w:szCs w:val="22"/>
        </w:rPr>
        <w:t>wpływu na zmniejszenie emisji gazów cieplarnianych.</w:t>
      </w:r>
      <w:bookmarkStart w:id="157" w:name="_Hlk82172514"/>
    </w:p>
    <w:p w14:paraId="2EC952DB" w14:textId="10B0E209" w:rsidR="009F6FE3" w:rsidRDefault="009F6FE3" w:rsidP="003127DF">
      <w:pPr>
        <w:pStyle w:val="Legenda"/>
        <w:keepNext/>
        <w:rPr>
          <w:rFonts w:ascii="Arial" w:hAnsi="Arial" w:cs="Arial"/>
          <w:i w:val="0"/>
          <w:color w:val="000000" w:themeColor="text1"/>
          <w:sz w:val="22"/>
          <w:szCs w:val="22"/>
        </w:rPr>
      </w:pPr>
      <w:bookmarkStart w:id="158" w:name="_Toc146785739"/>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9</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bookmarkStart w:id="159" w:name="_Toc81487868"/>
      <w:r w:rsidRPr="009B78DA">
        <w:rPr>
          <w:rFonts w:ascii="Arial" w:hAnsi="Arial" w:cs="Arial"/>
          <w:i w:val="0"/>
          <w:color w:val="000000" w:themeColor="text1"/>
          <w:sz w:val="22"/>
          <w:szCs w:val="22"/>
        </w:rPr>
        <w:t>Emisja wybranych gazów cieplarnianych z sektora transportu w województwie podkarpackim w 2018 r</w:t>
      </w:r>
      <w:r w:rsidRPr="009B78DA">
        <w:rPr>
          <w:rStyle w:val="Odwoanieprzypisudolnego"/>
          <w:rFonts w:ascii="Arial" w:hAnsi="Arial" w:cs="Arial"/>
          <w:i w:val="0"/>
          <w:color w:val="000000" w:themeColor="text1"/>
          <w:sz w:val="22"/>
          <w:szCs w:val="22"/>
        </w:rPr>
        <w:footnoteReference w:id="20"/>
      </w:r>
      <w:r w:rsidRPr="009B78DA">
        <w:rPr>
          <w:rFonts w:ascii="Arial" w:hAnsi="Arial" w:cs="Arial"/>
          <w:i w:val="0"/>
          <w:color w:val="000000" w:themeColor="text1"/>
          <w:sz w:val="22"/>
          <w:szCs w:val="22"/>
        </w:rPr>
        <w:t>.</w:t>
      </w:r>
      <w:bookmarkEnd w:id="159"/>
      <w:bookmarkEnd w:id="158"/>
    </w:p>
    <w:p w14:paraId="0E2B4E38" w14:textId="77777777" w:rsidR="003127DF" w:rsidRPr="004309A3" w:rsidRDefault="003127DF" w:rsidP="003127DF">
      <w:pPr>
        <w:keepNext/>
        <w:spacing w:after="0"/>
        <w:jc w:val="center"/>
        <w:rPr>
          <w:rFonts w:ascii="Arial" w:hAnsi="Arial" w:cs="Arial"/>
          <w:b/>
          <w:color w:val="000000" w:themeColor="text1"/>
          <w:sz w:val="22"/>
          <w:szCs w:val="22"/>
        </w:rPr>
      </w:pPr>
      <w:r w:rsidRPr="004309A3">
        <w:rPr>
          <w:rFonts w:ascii="Arial" w:hAnsi="Arial" w:cs="Arial"/>
          <w:b/>
          <w:color w:val="000000" w:themeColor="text1"/>
          <w:sz w:val="22"/>
          <w:szCs w:val="22"/>
        </w:rPr>
        <w:t>Emisja gazów cieplarnianych w sektorze transportu</w:t>
      </w:r>
    </w:p>
    <w:tbl>
      <w:tblPr>
        <w:tblStyle w:val="Tabela-Siatka"/>
        <w:tblpPr w:leftFromText="141" w:rightFromText="141" w:vertAnchor="text" w:tblpXSpec="center" w:tblpY="144"/>
        <w:tblW w:w="7980" w:type="dxa"/>
        <w:tblLook w:val="04A0" w:firstRow="1" w:lastRow="0" w:firstColumn="1" w:lastColumn="0" w:noHBand="0" w:noVBand="1"/>
        <w:tblCaption w:val="Tabela 9. Emisja wybranych gazów cieplarnianych z sektora transportu w województwie podkarpackim w 2018 r."/>
        <w:tblDescription w:val="Tabela zawiera Gaz cieplarniany, wartość: Ogółem, Dwutlenek węgla, Metan, Podtlenek azotu"/>
      </w:tblPr>
      <w:tblGrid>
        <w:gridCol w:w="3077"/>
        <w:gridCol w:w="1217"/>
        <w:gridCol w:w="1244"/>
        <w:gridCol w:w="1219"/>
        <w:gridCol w:w="1223"/>
      </w:tblGrid>
      <w:tr w:rsidR="003127DF" w:rsidRPr="00B07B8D" w14:paraId="24647AB7" w14:textId="77777777" w:rsidTr="004B463F">
        <w:trPr>
          <w:trHeight w:val="560"/>
          <w:tblHeader/>
        </w:trPr>
        <w:tc>
          <w:tcPr>
            <w:tcW w:w="3100" w:type="dxa"/>
            <w:vAlign w:val="center"/>
          </w:tcPr>
          <w:p w14:paraId="2E647F34" w14:textId="77777777" w:rsidR="003127DF" w:rsidRPr="00B07B8D" w:rsidRDefault="003127DF" w:rsidP="00B07B8D">
            <w:pPr>
              <w:spacing w:line="276" w:lineRule="auto"/>
              <w:jc w:val="center"/>
              <w:rPr>
                <w:rFonts w:ascii="Arial" w:hAnsi="Arial" w:cs="Arial"/>
                <w:color w:val="000000" w:themeColor="text1"/>
                <w:sz w:val="22"/>
                <w:szCs w:val="22"/>
              </w:rPr>
            </w:pPr>
            <w:r w:rsidRPr="00B07B8D">
              <w:rPr>
                <w:rFonts w:ascii="Arial" w:hAnsi="Arial" w:cs="Arial"/>
                <w:color w:val="000000" w:themeColor="text1"/>
                <w:sz w:val="22"/>
                <w:szCs w:val="22"/>
              </w:rPr>
              <w:t>Gaz cieplarniany</w:t>
            </w:r>
          </w:p>
        </w:tc>
        <w:tc>
          <w:tcPr>
            <w:tcW w:w="1219" w:type="dxa"/>
            <w:vAlign w:val="center"/>
          </w:tcPr>
          <w:p w14:paraId="6070C4F5" w14:textId="77777777" w:rsidR="003127DF" w:rsidRPr="00B07B8D" w:rsidRDefault="003127DF" w:rsidP="00B07B8D">
            <w:pPr>
              <w:spacing w:line="276" w:lineRule="auto"/>
              <w:jc w:val="center"/>
              <w:rPr>
                <w:rFonts w:ascii="Arial" w:hAnsi="Arial" w:cs="Arial"/>
                <w:b/>
                <w:color w:val="000000" w:themeColor="text1"/>
                <w:sz w:val="22"/>
                <w:szCs w:val="22"/>
              </w:rPr>
            </w:pPr>
            <w:r w:rsidRPr="00B07B8D">
              <w:rPr>
                <w:rFonts w:ascii="Arial" w:hAnsi="Arial" w:cs="Arial"/>
                <w:b/>
                <w:color w:val="000000" w:themeColor="text1"/>
                <w:sz w:val="22"/>
                <w:szCs w:val="22"/>
              </w:rPr>
              <w:t>Ogółem</w:t>
            </w:r>
          </w:p>
        </w:tc>
        <w:tc>
          <w:tcPr>
            <w:tcW w:w="1219" w:type="dxa"/>
            <w:noWrap/>
            <w:vAlign w:val="center"/>
          </w:tcPr>
          <w:p w14:paraId="6140C764" w14:textId="77777777" w:rsidR="003127DF" w:rsidRPr="00B07B8D" w:rsidRDefault="003127DF" w:rsidP="00B07B8D">
            <w:pPr>
              <w:spacing w:line="276" w:lineRule="auto"/>
              <w:jc w:val="center"/>
              <w:rPr>
                <w:rFonts w:ascii="Arial" w:hAnsi="Arial" w:cs="Arial"/>
                <w:color w:val="000000" w:themeColor="text1"/>
                <w:sz w:val="22"/>
                <w:szCs w:val="22"/>
              </w:rPr>
            </w:pPr>
            <w:r w:rsidRPr="00B07B8D">
              <w:rPr>
                <w:rFonts w:ascii="Arial" w:hAnsi="Arial" w:cs="Arial"/>
                <w:color w:val="000000" w:themeColor="text1"/>
                <w:sz w:val="22"/>
                <w:szCs w:val="22"/>
              </w:rPr>
              <w:t>Dwutlenek węgla</w:t>
            </w:r>
          </w:p>
        </w:tc>
        <w:tc>
          <w:tcPr>
            <w:tcW w:w="1219" w:type="dxa"/>
            <w:noWrap/>
            <w:vAlign w:val="center"/>
          </w:tcPr>
          <w:p w14:paraId="0D2E1FBF" w14:textId="77777777" w:rsidR="003127DF" w:rsidRPr="00B07B8D" w:rsidRDefault="003127DF" w:rsidP="00B07B8D">
            <w:pPr>
              <w:spacing w:line="276" w:lineRule="auto"/>
              <w:jc w:val="center"/>
              <w:rPr>
                <w:rFonts w:ascii="Arial" w:hAnsi="Arial" w:cs="Arial"/>
                <w:color w:val="000000" w:themeColor="text1"/>
                <w:sz w:val="22"/>
                <w:szCs w:val="22"/>
              </w:rPr>
            </w:pPr>
            <w:r w:rsidRPr="00B07B8D">
              <w:rPr>
                <w:rFonts w:ascii="Arial" w:hAnsi="Arial" w:cs="Arial"/>
                <w:color w:val="000000" w:themeColor="text1"/>
                <w:sz w:val="22"/>
                <w:szCs w:val="22"/>
              </w:rPr>
              <w:t>Metan</w:t>
            </w:r>
          </w:p>
        </w:tc>
        <w:tc>
          <w:tcPr>
            <w:tcW w:w="1223" w:type="dxa"/>
            <w:noWrap/>
            <w:vAlign w:val="center"/>
          </w:tcPr>
          <w:p w14:paraId="3D84A2C0" w14:textId="77777777" w:rsidR="003127DF" w:rsidRPr="00B07B8D" w:rsidRDefault="003127DF" w:rsidP="00B07B8D">
            <w:pPr>
              <w:spacing w:line="276" w:lineRule="auto"/>
              <w:jc w:val="center"/>
              <w:rPr>
                <w:rFonts w:ascii="Arial" w:hAnsi="Arial" w:cs="Arial"/>
                <w:color w:val="000000" w:themeColor="text1"/>
                <w:sz w:val="22"/>
                <w:szCs w:val="22"/>
              </w:rPr>
            </w:pPr>
            <w:r w:rsidRPr="00B07B8D">
              <w:rPr>
                <w:rFonts w:ascii="Arial" w:hAnsi="Arial" w:cs="Arial"/>
                <w:color w:val="000000" w:themeColor="text1"/>
                <w:sz w:val="22"/>
                <w:szCs w:val="22"/>
              </w:rPr>
              <w:t>Podtlenek azotu</w:t>
            </w:r>
          </w:p>
        </w:tc>
      </w:tr>
      <w:tr w:rsidR="003127DF" w:rsidRPr="00B07B8D" w14:paraId="1217DA50" w14:textId="77777777" w:rsidTr="004B463F">
        <w:trPr>
          <w:trHeight w:val="560"/>
        </w:trPr>
        <w:tc>
          <w:tcPr>
            <w:tcW w:w="3100" w:type="dxa"/>
            <w:vAlign w:val="center"/>
          </w:tcPr>
          <w:p w14:paraId="3DC48596" w14:textId="77777777" w:rsidR="003127DF" w:rsidRPr="00B07B8D" w:rsidRDefault="003127DF" w:rsidP="00B07B8D">
            <w:pPr>
              <w:spacing w:line="276" w:lineRule="auto"/>
              <w:jc w:val="center"/>
              <w:rPr>
                <w:rFonts w:ascii="Arial" w:hAnsi="Arial" w:cs="Arial"/>
                <w:color w:val="000000" w:themeColor="text1"/>
                <w:sz w:val="22"/>
                <w:szCs w:val="22"/>
              </w:rPr>
            </w:pPr>
            <w:r w:rsidRPr="00B07B8D">
              <w:rPr>
                <w:rFonts w:ascii="Arial" w:hAnsi="Arial" w:cs="Arial"/>
                <w:color w:val="000000" w:themeColor="text1"/>
                <w:sz w:val="22"/>
                <w:szCs w:val="22"/>
              </w:rPr>
              <w:t>Tysiące ton</w:t>
            </w:r>
          </w:p>
        </w:tc>
        <w:tc>
          <w:tcPr>
            <w:tcW w:w="1219" w:type="dxa"/>
            <w:vAlign w:val="center"/>
          </w:tcPr>
          <w:p w14:paraId="3745B3CB" w14:textId="1566AEF0" w:rsidR="003127DF" w:rsidRPr="00B07B8D" w:rsidRDefault="003127DF" w:rsidP="00B07B8D">
            <w:pPr>
              <w:spacing w:line="276" w:lineRule="auto"/>
              <w:jc w:val="center"/>
              <w:rPr>
                <w:rFonts w:ascii="Arial" w:hAnsi="Arial" w:cs="Arial"/>
                <w:b/>
                <w:color w:val="000000" w:themeColor="text1"/>
                <w:sz w:val="22"/>
                <w:szCs w:val="22"/>
              </w:rPr>
            </w:pPr>
            <w:r w:rsidRPr="00B07B8D">
              <w:rPr>
                <w:rFonts w:ascii="Arial" w:hAnsi="Arial" w:cs="Arial"/>
                <w:b/>
                <w:color w:val="000000" w:themeColor="text1"/>
                <w:sz w:val="22"/>
                <w:szCs w:val="22"/>
              </w:rPr>
              <w:t>3 129,47</w:t>
            </w:r>
          </w:p>
        </w:tc>
        <w:tc>
          <w:tcPr>
            <w:tcW w:w="1219" w:type="dxa"/>
            <w:noWrap/>
            <w:vAlign w:val="center"/>
          </w:tcPr>
          <w:p w14:paraId="080F4698" w14:textId="23A045DF" w:rsidR="003127DF" w:rsidRPr="00B07B8D" w:rsidRDefault="003127DF" w:rsidP="00B07B8D">
            <w:pPr>
              <w:spacing w:line="276" w:lineRule="auto"/>
              <w:jc w:val="center"/>
              <w:rPr>
                <w:rFonts w:ascii="Arial" w:hAnsi="Arial" w:cs="Arial"/>
                <w:color w:val="000000" w:themeColor="text1"/>
                <w:sz w:val="22"/>
                <w:szCs w:val="22"/>
              </w:rPr>
            </w:pPr>
            <w:r w:rsidRPr="00B07B8D">
              <w:rPr>
                <w:rFonts w:ascii="Arial" w:hAnsi="Arial" w:cs="Arial"/>
                <w:color w:val="000000" w:themeColor="text1"/>
                <w:sz w:val="22"/>
                <w:szCs w:val="22"/>
              </w:rPr>
              <w:t>3 129,07</w:t>
            </w:r>
          </w:p>
        </w:tc>
        <w:tc>
          <w:tcPr>
            <w:tcW w:w="1219" w:type="dxa"/>
            <w:noWrap/>
            <w:vAlign w:val="center"/>
          </w:tcPr>
          <w:p w14:paraId="4D13F282" w14:textId="77777777" w:rsidR="003127DF" w:rsidRPr="00B07B8D" w:rsidRDefault="003127DF" w:rsidP="00B07B8D">
            <w:pPr>
              <w:spacing w:line="276" w:lineRule="auto"/>
              <w:jc w:val="center"/>
              <w:rPr>
                <w:rFonts w:ascii="Arial" w:hAnsi="Arial" w:cs="Arial"/>
                <w:color w:val="000000" w:themeColor="text1"/>
                <w:sz w:val="22"/>
                <w:szCs w:val="22"/>
              </w:rPr>
            </w:pPr>
            <w:r w:rsidRPr="00B07B8D">
              <w:rPr>
                <w:rFonts w:ascii="Arial" w:hAnsi="Arial" w:cs="Arial"/>
                <w:color w:val="000000" w:themeColor="text1"/>
                <w:sz w:val="22"/>
                <w:szCs w:val="22"/>
              </w:rPr>
              <w:t>0,29</w:t>
            </w:r>
          </w:p>
        </w:tc>
        <w:tc>
          <w:tcPr>
            <w:tcW w:w="1223" w:type="dxa"/>
            <w:noWrap/>
            <w:vAlign w:val="center"/>
          </w:tcPr>
          <w:p w14:paraId="114B5566" w14:textId="77777777" w:rsidR="003127DF" w:rsidRPr="00B07B8D" w:rsidRDefault="003127DF" w:rsidP="00B07B8D">
            <w:pPr>
              <w:spacing w:line="276" w:lineRule="auto"/>
              <w:jc w:val="center"/>
              <w:rPr>
                <w:rFonts w:ascii="Arial" w:hAnsi="Arial" w:cs="Arial"/>
                <w:color w:val="000000" w:themeColor="text1"/>
                <w:sz w:val="22"/>
                <w:szCs w:val="22"/>
              </w:rPr>
            </w:pPr>
            <w:r w:rsidRPr="00B07B8D">
              <w:rPr>
                <w:rFonts w:ascii="Arial" w:hAnsi="Arial" w:cs="Arial"/>
                <w:color w:val="000000" w:themeColor="text1"/>
                <w:sz w:val="22"/>
                <w:szCs w:val="22"/>
              </w:rPr>
              <w:t>0,11</w:t>
            </w:r>
          </w:p>
        </w:tc>
      </w:tr>
    </w:tbl>
    <w:p w14:paraId="381EE1A4" w14:textId="77777777" w:rsidR="003127DF" w:rsidRPr="006F4FD2" w:rsidRDefault="003127DF" w:rsidP="003127DF">
      <w:pPr>
        <w:spacing w:before="120" w:after="0" w:line="240" w:lineRule="auto"/>
        <w:rPr>
          <w:rFonts w:ascii="Arial" w:hAnsi="Arial" w:cs="Arial"/>
          <w:sz w:val="22"/>
          <w:szCs w:val="22"/>
          <w:lang w:eastAsia="en-US"/>
        </w:rPr>
      </w:pPr>
      <w:r w:rsidRPr="006F4FD2">
        <w:rPr>
          <w:rFonts w:ascii="Arial" w:hAnsi="Arial" w:cs="Arial"/>
          <w:sz w:val="22"/>
          <w:szCs w:val="22"/>
          <w:lang w:eastAsia="en-US"/>
        </w:rPr>
        <w:t xml:space="preserve">Źródło: Opracowanie własne na podstawie: </w:t>
      </w:r>
      <w:r w:rsidRPr="006F4FD2">
        <w:rPr>
          <w:rFonts w:ascii="Arial" w:hAnsi="Arial" w:cs="Arial"/>
          <w:i/>
          <w:sz w:val="22"/>
          <w:szCs w:val="22"/>
          <w:lang w:eastAsia="en-US"/>
        </w:rPr>
        <w:t>Ochrona Środowiska</w:t>
      </w:r>
      <w:r w:rsidRPr="006F4FD2">
        <w:rPr>
          <w:rFonts w:ascii="Arial" w:hAnsi="Arial" w:cs="Arial"/>
          <w:sz w:val="22"/>
          <w:szCs w:val="22"/>
          <w:lang w:eastAsia="en-US"/>
        </w:rPr>
        <w:t>, GUS, 2020.</w:t>
      </w:r>
    </w:p>
    <w:p w14:paraId="5C9F1F79" w14:textId="3CEFFD1B" w:rsidR="00941218" w:rsidRPr="009B78DA" w:rsidRDefault="008A0529" w:rsidP="00DE5AB3">
      <w:pPr>
        <w:spacing w:after="0" w:line="276" w:lineRule="auto"/>
        <w:ind w:firstLine="851"/>
        <w:rPr>
          <w:rFonts w:ascii="Arial" w:hAnsi="Arial" w:cs="Arial"/>
          <w:color w:val="000000" w:themeColor="text1"/>
          <w:sz w:val="22"/>
          <w:szCs w:val="22"/>
        </w:rPr>
      </w:pPr>
      <w:bookmarkStart w:id="160" w:name="_Hlk92576509"/>
      <w:r w:rsidRPr="009B78DA">
        <w:rPr>
          <w:rFonts w:ascii="Arial" w:hAnsi="Arial" w:cs="Arial"/>
          <w:iCs/>
          <w:color w:val="000000" w:themeColor="text1"/>
          <w:sz w:val="22"/>
          <w:szCs w:val="22"/>
        </w:rPr>
        <w:t xml:space="preserve">Problematyka dotycząca środowiska naturalnego </w:t>
      </w:r>
      <w:r w:rsidR="00A13F29" w:rsidRPr="009B78DA">
        <w:rPr>
          <w:rFonts w:ascii="Arial" w:hAnsi="Arial" w:cs="Arial"/>
          <w:iCs/>
          <w:color w:val="000000" w:themeColor="text1"/>
          <w:sz w:val="22"/>
          <w:szCs w:val="22"/>
        </w:rPr>
        <w:t>(kwesti</w:t>
      </w:r>
      <w:r w:rsidR="00A317BE" w:rsidRPr="009B78DA">
        <w:rPr>
          <w:rFonts w:ascii="Arial" w:hAnsi="Arial" w:cs="Arial"/>
          <w:iCs/>
          <w:color w:val="000000" w:themeColor="text1"/>
          <w:sz w:val="22"/>
          <w:szCs w:val="22"/>
        </w:rPr>
        <w:t>i</w:t>
      </w:r>
      <w:r w:rsidR="00A13F29" w:rsidRPr="009B78DA">
        <w:rPr>
          <w:rFonts w:ascii="Arial" w:hAnsi="Arial" w:cs="Arial"/>
          <w:iCs/>
          <w:color w:val="000000" w:themeColor="text1"/>
          <w:sz w:val="22"/>
          <w:szCs w:val="22"/>
        </w:rPr>
        <w:t xml:space="preserve"> klimatyczn</w:t>
      </w:r>
      <w:r w:rsidR="00A317BE" w:rsidRPr="009B78DA">
        <w:rPr>
          <w:rFonts w:ascii="Arial" w:hAnsi="Arial" w:cs="Arial"/>
          <w:iCs/>
          <w:color w:val="000000" w:themeColor="text1"/>
          <w:sz w:val="22"/>
          <w:szCs w:val="22"/>
        </w:rPr>
        <w:t>ych</w:t>
      </w:r>
      <w:r w:rsidR="00A13F29" w:rsidRPr="009B78DA">
        <w:rPr>
          <w:rFonts w:ascii="Arial" w:hAnsi="Arial" w:cs="Arial"/>
          <w:iCs/>
          <w:color w:val="000000" w:themeColor="text1"/>
          <w:sz w:val="22"/>
          <w:szCs w:val="22"/>
        </w:rPr>
        <w:t xml:space="preserve"> etc.) jest obecna</w:t>
      </w:r>
      <w:r w:rsidR="006D32EE" w:rsidRPr="009B78DA">
        <w:rPr>
          <w:rFonts w:ascii="Arial" w:hAnsi="Arial" w:cs="Arial"/>
          <w:iCs/>
          <w:color w:val="000000" w:themeColor="text1"/>
          <w:sz w:val="22"/>
          <w:szCs w:val="22"/>
        </w:rPr>
        <w:t xml:space="preserve"> </w:t>
      </w:r>
      <w:r w:rsidR="00A13F29" w:rsidRPr="009B78DA">
        <w:rPr>
          <w:rFonts w:ascii="Arial" w:hAnsi="Arial" w:cs="Arial"/>
          <w:iCs/>
          <w:color w:val="000000" w:themeColor="text1"/>
          <w:sz w:val="22"/>
          <w:szCs w:val="22"/>
        </w:rPr>
        <w:t xml:space="preserve">w </w:t>
      </w:r>
      <w:r w:rsidR="00872C28" w:rsidRPr="009B78DA">
        <w:rPr>
          <w:rFonts w:ascii="Arial" w:hAnsi="Arial" w:cs="Arial"/>
          <w:iCs/>
          <w:color w:val="000000" w:themeColor="text1"/>
          <w:sz w:val="22"/>
          <w:szCs w:val="22"/>
        </w:rPr>
        <w:t xml:space="preserve">całym </w:t>
      </w:r>
      <w:r w:rsidR="00A13F29" w:rsidRPr="009B78DA">
        <w:rPr>
          <w:rFonts w:ascii="Arial" w:hAnsi="Arial" w:cs="Arial"/>
          <w:iCs/>
          <w:color w:val="000000" w:themeColor="text1"/>
          <w:sz w:val="22"/>
          <w:szCs w:val="22"/>
        </w:rPr>
        <w:t xml:space="preserve">procesie programowania rozwoju sytemu transportowego regionu. </w:t>
      </w:r>
      <w:r w:rsidR="00397DAA" w:rsidRPr="009B78DA">
        <w:rPr>
          <w:rFonts w:ascii="Arial" w:hAnsi="Arial" w:cs="Arial"/>
          <w:iCs/>
          <w:color w:val="000000" w:themeColor="text1"/>
          <w:sz w:val="22"/>
          <w:szCs w:val="22"/>
        </w:rPr>
        <w:t xml:space="preserve">Ponadto </w:t>
      </w:r>
      <w:r w:rsidR="00D54DD1" w:rsidRPr="009B78DA">
        <w:rPr>
          <w:rFonts w:ascii="Arial" w:hAnsi="Arial" w:cs="Arial"/>
          <w:iCs/>
          <w:color w:val="000000" w:themeColor="text1"/>
          <w:sz w:val="22"/>
          <w:szCs w:val="22"/>
        </w:rPr>
        <w:t>dokumentem powiązanym z</w:t>
      </w:r>
      <w:r w:rsidR="00AC0F65" w:rsidRPr="009B78DA">
        <w:rPr>
          <w:rFonts w:ascii="Arial" w:hAnsi="Arial" w:cs="Arial"/>
          <w:i/>
          <w:color w:val="000000" w:themeColor="text1"/>
          <w:sz w:val="22"/>
          <w:szCs w:val="22"/>
        </w:rPr>
        <w:t xml:space="preserve"> Program</w:t>
      </w:r>
      <w:r w:rsidR="0010060F" w:rsidRPr="009B78DA">
        <w:rPr>
          <w:rFonts w:ascii="Arial" w:hAnsi="Arial" w:cs="Arial"/>
          <w:i/>
          <w:color w:val="000000" w:themeColor="text1"/>
          <w:sz w:val="22"/>
          <w:szCs w:val="22"/>
        </w:rPr>
        <w:t>em</w:t>
      </w:r>
      <w:r w:rsidR="00AC0F65" w:rsidRPr="009B78DA">
        <w:rPr>
          <w:rFonts w:ascii="Arial" w:hAnsi="Arial" w:cs="Arial"/>
          <w:i/>
          <w:color w:val="000000" w:themeColor="text1"/>
          <w:sz w:val="22"/>
          <w:szCs w:val="22"/>
        </w:rPr>
        <w:t xml:space="preserve"> Strategiczn</w:t>
      </w:r>
      <w:r w:rsidR="0010060F" w:rsidRPr="009B78DA">
        <w:rPr>
          <w:rFonts w:ascii="Arial" w:hAnsi="Arial" w:cs="Arial"/>
          <w:i/>
          <w:color w:val="000000" w:themeColor="text1"/>
          <w:sz w:val="22"/>
          <w:szCs w:val="22"/>
        </w:rPr>
        <w:t>ym</w:t>
      </w:r>
      <w:r w:rsidR="00AC0F65" w:rsidRPr="009B78DA">
        <w:rPr>
          <w:rFonts w:ascii="Arial" w:hAnsi="Arial" w:cs="Arial"/>
          <w:i/>
          <w:color w:val="000000" w:themeColor="text1"/>
          <w:sz w:val="22"/>
          <w:szCs w:val="22"/>
        </w:rPr>
        <w:t xml:space="preserve"> Rozwoju Transportu Województwa Podkarpackiego do roku 2030</w:t>
      </w:r>
      <w:r w:rsidR="00AC0F65" w:rsidRPr="009B78DA">
        <w:rPr>
          <w:rFonts w:ascii="Arial" w:hAnsi="Arial" w:cs="Arial"/>
          <w:color w:val="000000" w:themeColor="text1"/>
          <w:sz w:val="22"/>
          <w:szCs w:val="22"/>
        </w:rPr>
        <w:t xml:space="preserve"> jest </w:t>
      </w:r>
      <w:r w:rsidR="00AC0F65" w:rsidRPr="009B78DA">
        <w:rPr>
          <w:rFonts w:ascii="Arial" w:hAnsi="Arial" w:cs="Arial"/>
          <w:i/>
          <w:iCs/>
          <w:color w:val="000000" w:themeColor="text1"/>
          <w:sz w:val="22"/>
          <w:szCs w:val="22"/>
        </w:rPr>
        <w:t>Prognoza Oddziaływania na środowisko</w:t>
      </w:r>
      <w:r w:rsidR="00AC0F65" w:rsidRPr="009B78DA">
        <w:rPr>
          <w:rFonts w:ascii="Arial" w:hAnsi="Arial" w:cs="Arial"/>
          <w:color w:val="000000" w:themeColor="text1"/>
          <w:sz w:val="22"/>
          <w:szCs w:val="22"/>
        </w:rPr>
        <w:t xml:space="preserve">, </w:t>
      </w:r>
      <w:r w:rsidR="00D54DD1" w:rsidRPr="009B78DA">
        <w:rPr>
          <w:rFonts w:ascii="Arial" w:hAnsi="Arial" w:cs="Arial"/>
          <w:color w:val="000000" w:themeColor="text1"/>
          <w:sz w:val="22"/>
          <w:szCs w:val="22"/>
        </w:rPr>
        <w:br/>
      </w:r>
      <w:r w:rsidR="00AC0F65" w:rsidRPr="009B78DA">
        <w:rPr>
          <w:rFonts w:ascii="Arial" w:hAnsi="Arial" w:cs="Arial"/>
          <w:color w:val="000000" w:themeColor="text1"/>
          <w:sz w:val="22"/>
          <w:szCs w:val="22"/>
        </w:rPr>
        <w:t>w której uwzględnione są aspekty środowiskowe/zmian klimatu</w:t>
      </w:r>
      <w:r w:rsidR="000F2185" w:rsidRPr="009B78DA">
        <w:rPr>
          <w:rFonts w:ascii="Arial" w:hAnsi="Arial" w:cs="Arial"/>
          <w:color w:val="000000" w:themeColor="text1"/>
          <w:sz w:val="22"/>
          <w:szCs w:val="22"/>
        </w:rPr>
        <w:t>, a o</w:t>
      </w:r>
      <w:r w:rsidR="00EF43DC" w:rsidRPr="009B78DA">
        <w:rPr>
          <w:rFonts w:ascii="Arial" w:hAnsi="Arial" w:cs="Arial"/>
          <w:color w:val="000000" w:themeColor="text1"/>
          <w:sz w:val="22"/>
          <w:szCs w:val="22"/>
        </w:rPr>
        <w:t xml:space="preserve">pracowywanie Prognozy jest ściśle powiązane z zawartością pozostałej części Programu. </w:t>
      </w:r>
      <w:r w:rsidR="00AC0F65" w:rsidRPr="009B78DA">
        <w:rPr>
          <w:rFonts w:ascii="Arial" w:hAnsi="Arial" w:cs="Arial"/>
          <w:color w:val="000000" w:themeColor="text1"/>
          <w:sz w:val="22"/>
          <w:szCs w:val="22"/>
        </w:rPr>
        <w:t>Zadaniem Prognozy jest kontrybuowanie do ogólnych celów zagadnień środowiskowych i</w:t>
      </w:r>
      <w:r w:rsidR="002E129A" w:rsidRPr="009B78DA">
        <w:rPr>
          <w:rFonts w:ascii="Arial" w:hAnsi="Arial" w:cs="Arial"/>
          <w:color w:val="000000" w:themeColor="text1"/>
          <w:sz w:val="22"/>
          <w:szCs w:val="22"/>
        </w:rPr>
        <w:t xml:space="preserve"> klimatycznych</w:t>
      </w:r>
      <w:r w:rsidR="00D54DD1" w:rsidRPr="009B78DA">
        <w:rPr>
          <w:rFonts w:ascii="Arial" w:hAnsi="Arial" w:cs="Arial"/>
          <w:color w:val="000000" w:themeColor="text1"/>
          <w:sz w:val="22"/>
          <w:szCs w:val="22"/>
        </w:rPr>
        <w:t>.</w:t>
      </w:r>
      <w:bookmarkEnd w:id="160"/>
    </w:p>
    <w:p w14:paraId="40925B50" w14:textId="5A2970DA" w:rsidR="00C54195" w:rsidRPr="009B78DA" w:rsidRDefault="00C54195" w:rsidP="00DE5AB3">
      <w:pPr>
        <w:pStyle w:val="Nagwek3"/>
        <w:numPr>
          <w:ilvl w:val="1"/>
          <w:numId w:val="258"/>
        </w:numPr>
        <w:rPr>
          <w:rFonts w:cs="Arial"/>
          <w:color w:val="000000" w:themeColor="text1"/>
          <w:sz w:val="24"/>
        </w:rPr>
      </w:pPr>
      <w:bookmarkStart w:id="161" w:name="_Toc100335064"/>
      <w:bookmarkStart w:id="162" w:name="_Toc146785788"/>
      <w:bookmarkEnd w:id="157"/>
      <w:r w:rsidRPr="009B78DA">
        <w:rPr>
          <w:rFonts w:cs="Arial"/>
          <w:color w:val="000000" w:themeColor="text1"/>
          <w:sz w:val="24"/>
        </w:rPr>
        <w:t>Inwestycje infrastrukturalne</w:t>
      </w:r>
      <w:bookmarkEnd w:id="161"/>
      <w:bookmarkEnd w:id="162"/>
    </w:p>
    <w:p w14:paraId="49C5DB30" w14:textId="6C1AF9C5" w:rsidR="00B743C4" w:rsidRPr="009B78DA" w:rsidRDefault="00C54195" w:rsidP="00DE5AB3">
      <w:pPr>
        <w:spacing w:before="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Diagnozie wskazane zostały inwestycje zrealizowane w latach 2014-2020 oraz planowane i rekomendowane do realizacji w ramach nowej perspektywy finansowej</w:t>
      </w:r>
      <w:r w:rsidR="006537D4" w:rsidRPr="009B78DA">
        <w:rPr>
          <w:rFonts w:ascii="Arial" w:hAnsi="Arial" w:cs="Arial"/>
          <w:color w:val="000000" w:themeColor="text1"/>
          <w:sz w:val="22"/>
          <w:szCs w:val="22"/>
        </w:rPr>
        <w:t xml:space="preserve"> </w:t>
      </w:r>
      <w:bookmarkStart w:id="163" w:name="_Hlk92698121"/>
      <w:r w:rsidR="006537D4" w:rsidRPr="009B78DA">
        <w:rPr>
          <w:rFonts w:ascii="Arial" w:hAnsi="Arial" w:cs="Arial"/>
          <w:color w:val="000000" w:themeColor="text1"/>
          <w:sz w:val="22"/>
          <w:szCs w:val="22"/>
        </w:rPr>
        <w:t>(inwestycje planowane do realizacji znajdują się w dalszej części dokumentu, w tabeli pn. Inwestycje w ramach celów i kierunków rozwoju regionalnego systemu transportowego).</w:t>
      </w:r>
      <w:bookmarkEnd w:id="163"/>
    </w:p>
    <w:p w14:paraId="51CC060F" w14:textId="67D979D2" w:rsidR="00E97677" w:rsidRPr="009B78DA" w:rsidRDefault="00E97677" w:rsidP="00DE5AB3">
      <w:pPr>
        <w:spacing w:before="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Do najczęściej występujących problemów w procesach inwestycyjnych na sieci transportowej województwa należą m.in.: przedłużające się procedury przetargowe </w:t>
      </w:r>
      <w:bookmarkStart w:id="164" w:name="_Hlk77922588"/>
      <w:r w:rsidRPr="009B78DA">
        <w:rPr>
          <w:rFonts w:ascii="Arial" w:hAnsi="Arial" w:cs="Arial"/>
          <w:color w:val="000000" w:themeColor="text1"/>
          <w:sz w:val="22"/>
          <w:szCs w:val="22"/>
        </w:rPr>
        <w:t xml:space="preserve">oraz oferty przetargowe przekraczające środki finansowe zabezpieczone na realizacje inwestycji, </w:t>
      </w:r>
      <w:bookmarkEnd w:id="164"/>
      <w:r w:rsidRPr="009B78DA">
        <w:rPr>
          <w:rFonts w:ascii="Arial" w:hAnsi="Arial" w:cs="Arial"/>
          <w:color w:val="000000" w:themeColor="text1"/>
          <w:sz w:val="22"/>
          <w:szCs w:val="22"/>
        </w:rPr>
        <w:t xml:space="preserve">wydłużające się terminy pozyskiwania decyzji administracyjnych, zmiany przepisów prawnych, protesty </w:t>
      </w:r>
      <w:r w:rsidR="005631D3" w:rsidRPr="009B78DA">
        <w:rPr>
          <w:rFonts w:ascii="Arial" w:hAnsi="Arial" w:cs="Arial"/>
          <w:color w:val="000000" w:themeColor="text1"/>
          <w:sz w:val="22"/>
          <w:szCs w:val="22"/>
        </w:rPr>
        <w:t>społeczności</w:t>
      </w:r>
      <w:r w:rsidRPr="009B78DA">
        <w:rPr>
          <w:rFonts w:ascii="Arial" w:hAnsi="Arial" w:cs="Arial"/>
          <w:color w:val="000000" w:themeColor="text1"/>
          <w:sz w:val="22"/>
          <w:szCs w:val="22"/>
        </w:rPr>
        <w:t xml:space="preserve"> lokalnej i organizacji ekologicznych, kolizje z infrastrukturą obcą itp.</w:t>
      </w:r>
    </w:p>
    <w:p w14:paraId="6D73AF72" w14:textId="22BC9729" w:rsidR="009F6FE3" w:rsidRPr="009B78DA" w:rsidRDefault="009F6FE3" w:rsidP="0036685E">
      <w:pPr>
        <w:pStyle w:val="Legenda"/>
        <w:keepNext/>
        <w:rPr>
          <w:rFonts w:ascii="Arial" w:hAnsi="Arial" w:cs="Arial"/>
          <w:i w:val="0"/>
          <w:color w:val="000000" w:themeColor="text1"/>
          <w:sz w:val="22"/>
          <w:szCs w:val="22"/>
        </w:rPr>
      </w:pPr>
      <w:bookmarkStart w:id="165" w:name="_Toc146785667"/>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Najważniejsze inwestycje drogowe i kolejowe zrealizowane oraz będące </w:t>
      </w:r>
      <w:r w:rsidR="0036685E">
        <w:rPr>
          <w:rFonts w:ascii="Arial" w:hAnsi="Arial" w:cs="Arial"/>
          <w:i w:val="0"/>
          <w:color w:val="000000" w:themeColor="text1"/>
          <w:sz w:val="22"/>
          <w:szCs w:val="22"/>
        </w:rPr>
        <w:br/>
      </w:r>
      <w:r w:rsidRPr="009B78DA">
        <w:rPr>
          <w:rFonts w:ascii="Arial" w:hAnsi="Arial" w:cs="Arial"/>
          <w:i w:val="0"/>
          <w:color w:val="000000" w:themeColor="text1"/>
          <w:sz w:val="22"/>
          <w:szCs w:val="22"/>
        </w:rPr>
        <w:t>w trakcie realizacji przy wykorzystaniu Funduszy Europejskich dostępnych w ramach perspektywy finansowej 2014-2020.</w:t>
      </w:r>
      <w:bookmarkEnd w:id="165"/>
    </w:p>
    <w:p w14:paraId="7338829F" w14:textId="0FFC20A0" w:rsidR="004A0168" w:rsidRPr="009B78DA" w:rsidRDefault="00BC01A2" w:rsidP="007862F6">
      <w:pPr>
        <w:pStyle w:val="Legenda"/>
        <w:keepNext/>
        <w:spacing w:after="0" w:line="240" w:lineRule="auto"/>
        <w:ind w:left="-142" w:right="-142"/>
        <w:jc w:val="both"/>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28FF83EC" wp14:editId="6AEF6E62">
            <wp:extent cx="5619750" cy="8029453"/>
            <wp:effectExtent l="0" t="0" r="0" b="0"/>
            <wp:docPr id="1907378592" name="Obraz 6" descr="Mapa przedstawia województwo podkarpackie w tym granice kraju od wschodu i południa, granice województwa od północy i zachodu, granice powiatów oraz miasta powiatowe. Na mapie zlokalizowana została autostrada A4 z węzłami, doga ekspresowa S19 z węzłami, planowana droga ekspresowa, drogi krajowe, wojewódzkie, linie kolejowe, Przeworska Kolej Wąskotorowa, Bieszczadzka Kolej Leśna. Zaznaczono podwójnymi liniami zielonymi inwestycje infrastruktury drogowej zrealizowane, kolorem fioletowym inwestycje infrastruktury drogowej w trakcie realizacji. Zaznaczono kolorem zielono-czarnym inwestycje infrastruktury kolejowej zrealizowane i fioletowo-czarnym inwestycje infrastruktury kolejowej w trakcie realizacji. Zaznaczono obszary zagrożone wykluczeniem transportowym m.in. południowa część województwa, powiat Brzozowski i Lubaczowski. Zaznaczono kolorem żółtym powiazania transportowe wymagające wsparcia, praktycznie całe województwo na kolor seledynowy obszary wymagające poprawy obsługi transportowej oraz strzałkami czerwonymi układy skośne wymagające poprawy obsługi transportowej " title="Rysunek 38 Najważniejsze inwestycje drogowe i kolejowe zrealizowane oraz będące w trakcie realizacji przy wykorzystaniu Funduszy Europejskich dostępnych w ramach perspektywy finansowej 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378592" name="Obraz 6" descr="Obraz zawierający tekst, mapa, diagram, atlas&#10;&#10;Opis wygenerowany automatyczni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621497" cy="8031949"/>
                    </a:xfrm>
                    <a:prstGeom prst="rect">
                      <a:avLst/>
                    </a:prstGeom>
                  </pic:spPr>
                </pic:pic>
              </a:graphicData>
            </a:graphic>
          </wp:inline>
        </w:drawing>
      </w:r>
    </w:p>
    <w:p w14:paraId="54022AF1" w14:textId="733D0348" w:rsidR="00E91928" w:rsidRPr="009B78DA" w:rsidRDefault="00E91928" w:rsidP="004A0168">
      <w:pPr>
        <w:pStyle w:val="Legenda"/>
        <w:keepNext/>
        <w:spacing w:after="0" w:line="276" w:lineRule="auto"/>
        <w:ind w:left="-142" w:right="-142"/>
        <w:jc w:val="both"/>
        <w:rPr>
          <w:rFonts w:ascii="Arial" w:hAnsi="Arial" w:cs="Arial"/>
          <w:i w:val="0"/>
          <w:color w:val="000000" w:themeColor="text1"/>
          <w:sz w:val="22"/>
          <w:szCs w:val="22"/>
        </w:rPr>
      </w:pPr>
      <w:r w:rsidRPr="009B78DA">
        <w:rPr>
          <w:rFonts w:ascii="Arial" w:hAnsi="Arial" w:cs="Arial"/>
          <w:i w:val="0"/>
          <w:iCs w:val="0"/>
          <w:color w:val="000000" w:themeColor="text1"/>
          <w:sz w:val="22"/>
          <w:szCs w:val="22"/>
        </w:rPr>
        <w:t>Źródło:</w:t>
      </w:r>
      <w:r w:rsidRPr="009B78DA">
        <w:rPr>
          <w:rFonts w:ascii="Arial" w:hAnsi="Arial" w:cs="Arial"/>
          <w:color w:val="000000" w:themeColor="text1"/>
          <w:sz w:val="22"/>
          <w:szCs w:val="22"/>
        </w:rPr>
        <w:t xml:space="preserve"> </w:t>
      </w:r>
      <w:r w:rsidR="0007711E" w:rsidRPr="009B78DA">
        <w:rPr>
          <w:rFonts w:ascii="Arial" w:hAnsi="Arial" w:cs="Arial"/>
          <w:i w:val="0"/>
          <w:color w:val="000000" w:themeColor="text1"/>
          <w:sz w:val="22"/>
          <w:szCs w:val="22"/>
        </w:rPr>
        <w:t>Opracowanie własne.</w:t>
      </w:r>
    </w:p>
    <w:p w14:paraId="6F5DD5B7" w14:textId="7A3E6EA4" w:rsidR="00B743C4" w:rsidRPr="009B78DA" w:rsidRDefault="00B743C4" w:rsidP="0007791F">
      <w:pPr>
        <w:pStyle w:val="Nagwek2"/>
        <w:numPr>
          <w:ilvl w:val="0"/>
          <w:numId w:val="259"/>
        </w:numPr>
        <w:rPr>
          <w:rFonts w:cs="Arial"/>
          <w:b w:val="0"/>
          <w:bCs/>
          <w:sz w:val="26"/>
        </w:rPr>
      </w:pPr>
      <w:bookmarkStart w:id="166" w:name="_Toc100335065"/>
      <w:bookmarkStart w:id="167" w:name="_Toc146785789"/>
      <w:r w:rsidRPr="009B78DA">
        <w:rPr>
          <w:rFonts w:cs="Arial"/>
          <w:bCs/>
          <w:sz w:val="26"/>
        </w:rPr>
        <w:t>Analiza popytowa uzupełniona o wykorzystanie elementów istniejących modeli krajowych</w:t>
      </w:r>
      <w:bookmarkEnd w:id="166"/>
      <w:bookmarkEnd w:id="167"/>
    </w:p>
    <w:p w14:paraId="3799CB65" w14:textId="77777777" w:rsidR="007425C0" w:rsidRPr="009B78DA" w:rsidRDefault="007425C0" w:rsidP="0007791F">
      <w:pPr>
        <w:pStyle w:val="Akapitzlist"/>
        <w:keepNext/>
        <w:keepLines/>
        <w:numPr>
          <w:ilvl w:val="0"/>
          <w:numId w:val="261"/>
        </w:numPr>
        <w:spacing w:before="120" w:after="120"/>
        <w:contextualSpacing w:val="0"/>
        <w:outlineLvl w:val="2"/>
        <w:rPr>
          <w:rFonts w:ascii="Arial" w:eastAsiaTheme="majorEastAsia" w:hAnsi="Arial" w:cs="Arial"/>
          <w:b/>
          <w:vanish/>
          <w:color w:val="000000" w:themeColor="text1"/>
        </w:rPr>
      </w:pPr>
      <w:bookmarkStart w:id="168" w:name="_Toc101510778"/>
      <w:bookmarkStart w:id="169" w:name="_Toc101510827"/>
      <w:bookmarkStart w:id="170" w:name="_Toc101511224"/>
      <w:bookmarkStart w:id="171" w:name="_Toc101511632"/>
      <w:bookmarkStart w:id="172" w:name="_Toc146200644"/>
      <w:bookmarkStart w:id="173" w:name="_Toc146785790"/>
      <w:bookmarkStart w:id="174" w:name="_Toc100335066"/>
      <w:bookmarkEnd w:id="168"/>
      <w:bookmarkEnd w:id="169"/>
      <w:bookmarkEnd w:id="170"/>
      <w:bookmarkEnd w:id="171"/>
      <w:bookmarkEnd w:id="172"/>
      <w:bookmarkEnd w:id="173"/>
    </w:p>
    <w:p w14:paraId="4413B96A" w14:textId="77777777" w:rsidR="007425C0" w:rsidRPr="009B78DA" w:rsidRDefault="007425C0" w:rsidP="0007791F">
      <w:pPr>
        <w:pStyle w:val="Akapitzlist"/>
        <w:keepNext/>
        <w:keepLines/>
        <w:numPr>
          <w:ilvl w:val="0"/>
          <w:numId w:val="261"/>
        </w:numPr>
        <w:spacing w:before="120" w:after="120"/>
        <w:contextualSpacing w:val="0"/>
        <w:outlineLvl w:val="2"/>
        <w:rPr>
          <w:rFonts w:ascii="Arial" w:eastAsiaTheme="majorEastAsia" w:hAnsi="Arial" w:cs="Arial"/>
          <w:b/>
          <w:vanish/>
          <w:color w:val="000000" w:themeColor="text1"/>
        </w:rPr>
      </w:pPr>
      <w:bookmarkStart w:id="175" w:name="_Toc101510779"/>
      <w:bookmarkStart w:id="176" w:name="_Toc101510828"/>
      <w:bookmarkStart w:id="177" w:name="_Toc101511225"/>
      <w:bookmarkStart w:id="178" w:name="_Toc101511633"/>
      <w:bookmarkStart w:id="179" w:name="_Toc146200645"/>
      <w:bookmarkStart w:id="180" w:name="_Toc146785791"/>
      <w:bookmarkEnd w:id="175"/>
      <w:bookmarkEnd w:id="176"/>
      <w:bookmarkEnd w:id="177"/>
      <w:bookmarkEnd w:id="178"/>
      <w:bookmarkEnd w:id="179"/>
      <w:bookmarkEnd w:id="180"/>
    </w:p>
    <w:p w14:paraId="7DDCBA7F" w14:textId="59D20FCD" w:rsidR="00B743C4" w:rsidRPr="009B78DA" w:rsidRDefault="00B743C4" w:rsidP="0007791F">
      <w:pPr>
        <w:pStyle w:val="Nagwek3"/>
        <w:numPr>
          <w:ilvl w:val="1"/>
          <w:numId w:val="261"/>
        </w:numPr>
        <w:rPr>
          <w:rFonts w:cs="Arial"/>
          <w:color w:val="000000" w:themeColor="text1"/>
          <w:sz w:val="24"/>
        </w:rPr>
      </w:pPr>
      <w:bookmarkStart w:id="181" w:name="_Toc146785792"/>
      <w:r w:rsidRPr="009B78DA">
        <w:rPr>
          <w:rFonts w:cs="Arial"/>
          <w:color w:val="000000" w:themeColor="text1"/>
          <w:sz w:val="24"/>
        </w:rPr>
        <w:t>Analiza popytowa uzupełniona o wykorzystanie elementów istniejących modeli krajowych – wprowadzenie</w:t>
      </w:r>
      <w:bookmarkEnd w:id="174"/>
      <w:bookmarkEnd w:id="181"/>
    </w:p>
    <w:p w14:paraId="17EBA56E" w14:textId="77777777" w:rsidR="00020661" w:rsidRPr="009B78DA" w:rsidRDefault="00B743C4" w:rsidP="0007791F">
      <w:pPr>
        <w:spacing w:before="80" w:after="8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 potrzeby tworzenia planu transportowego województwa podkarpackiego wykonano analizę popytową uzupełnioną o wykorzystanie elementów</w:t>
      </w:r>
      <w:r w:rsidR="00020661" w:rsidRPr="009B78DA">
        <w:rPr>
          <w:rFonts w:ascii="Arial" w:hAnsi="Arial" w:cs="Arial"/>
          <w:color w:val="000000" w:themeColor="text1"/>
          <w:sz w:val="22"/>
          <w:szCs w:val="22"/>
        </w:rPr>
        <w:t xml:space="preserve"> istniejących modeli krajowych.</w:t>
      </w:r>
    </w:p>
    <w:p w14:paraId="46363A36" w14:textId="42C066AC" w:rsidR="00B743C4" w:rsidRPr="009B78DA" w:rsidRDefault="003B09BE" w:rsidP="0007791F">
      <w:pPr>
        <w:spacing w:before="80" w:after="8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w:t>
      </w:r>
      <w:r w:rsidR="002A1DE9" w:rsidRPr="009B78DA">
        <w:rPr>
          <w:rFonts w:ascii="Arial" w:hAnsi="Arial" w:cs="Arial"/>
          <w:color w:val="000000" w:themeColor="text1"/>
          <w:sz w:val="22"/>
          <w:szCs w:val="22"/>
        </w:rPr>
        <w:t>ykonano ekspertyzę, w której dokonano zestawienia konfrontującego wyniki diagnozy popytu na infrastrukturę i przewozy z wynikami modeli krajowych (m.in. Krajowym Modelem Ruchu 2007, modelem PKP PLK S.A., modelem CUPT, modelami naukowymi Komar i HGV-Monit).</w:t>
      </w:r>
      <w:r w:rsidR="00B743C4" w:rsidRPr="009B78DA">
        <w:rPr>
          <w:rFonts w:ascii="Arial" w:hAnsi="Arial" w:cs="Arial"/>
          <w:color w:val="000000" w:themeColor="text1"/>
          <w:sz w:val="22"/>
          <w:szCs w:val="22"/>
        </w:rPr>
        <w:t xml:space="preserve"> Zastosowanie takiego podejścia wymaga</w:t>
      </w:r>
      <w:r w:rsidR="00F45FD0" w:rsidRPr="009B78DA">
        <w:rPr>
          <w:rFonts w:ascii="Arial" w:hAnsi="Arial" w:cs="Arial"/>
          <w:color w:val="000000" w:themeColor="text1"/>
          <w:sz w:val="22"/>
          <w:szCs w:val="22"/>
        </w:rPr>
        <w:t>ło</w:t>
      </w:r>
      <w:r w:rsidR="00B743C4" w:rsidRPr="009B78DA">
        <w:rPr>
          <w:rFonts w:ascii="Arial" w:hAnsi="Arial" w:cs="Arial"/>
          <w:color w:val="000000" w:themeColor="text1"/>
          <w:sz w:val="22"/>
          <w:szCs w:val="22"/>
        </w:rPr>
        <w:t xml:space="preserve"> identyfikacji następujących informacji:</w:t>
      </w:r>
    </w:p>
    <w:p w14:paraId="29640DDF" w14:textId="2B913872" w:rsidR="00B743C4" w:rsidRPr="009B78DA" w:rsidRDefault="00B743C4" w:rsidP="0007791F">
      <w:pPr>
        <w:pStyle w:val="Akapitzlist"/>
        <w:numPr>
          <w:ilvl w:val="0"/>
          <w:numId w:val="64"/>
        </w:numPr>
        <w:spacing w:before="80" w:after="8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informacji o ruchu źródłowo-docelowym w motywacjach związanych z dojazdami do usług</w:t>
      </w:r>
      <w:r w:rsidR="0064049B" w:rsidRPr="009B78DA">
        <w:rPr>
          <w:rFonts w:ascii="Arial" w:hAnsi="Arial" w:cs="Arial"/>
          <w:color w:val="000000" w:themeColor="text1"/>
          <w:sz w:val="22"/>
          <w:szCs w:val="22"/>
        </w:rPr>
        <w:t>,</w:t>
      </w:r>
    </w:p>
    <w:p w14:paraId="7E74FF32" w14:textId="7D2F441A" w:rsidR="00B743C4" w:rsidRPr="009B78DA" w:rsidRDefault="00B743C4" w:rsidP="0007791F">
      <w:pPr>
        <w:pStyle w:val="Akapitzlist"/>
        <w:numPr>
          <w:ilvl w:val="0"/>
          <w:numId w:val="64"/>
        </w:numPr>
        <w:spacing w:before="80" w:after="8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prawidłowej oceny podziału pracy przewozowej w ujęciu modalnym oraz transport indywidualny versus zbiorowy (wykorzystano ankietowe badanie mobilności jakie było zrealizowane w regionie)</w:t>
      </w:r>
      <w:r w:rsidR="0064049B" w:rsidRPr="009B78DA">
        <w:rPr>
          <w:rFonts w:ascii="Arial" w:hAnsi="Arial" w:cs="Arial"/>
          <w:color w:val="000000" w:themeColor="text1"/>
          <w:sz w:val="22"/>
          <w:szCs w:val="22"/>
        </w:rPr>
        <w:t>,</w:t>
      </w:r>
    </w:p>
    <w:p w14:paraId="696F2389" w14:textId="5E801C80" w:rsidR="00B743C4" w:rsidRPr="009B78DA" w:rsidRDefault="00B743C4" w:rsidP="0007791F">
      <w:pPr>
        <w:pStyle w:val="Akapitzlist"/>
        <w:numPr>
          <w:ilvl w:val="0"/>
          <w:numId w:val="64"/>
        </w:numPr>
        <w:spacing w:before="80" w:after="8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pełnego rozkład</w:t>
      </w:r>
      <w:r w:rsidR="00BC2310" w:rsidRPr="009B78DA">
        <w:rPr>
          <w:rFonts w:ascii="Arial" w:hAnsi="Arial" w:cs="Arial"/>
          <w:color w:val="000000" w:themeColor="text1"/>
          <w:sz w:val="22"/>
          <w:szCs w:val="22"/>
        </w:rPr>
        <w:t>u</w:t>
      </w:r>
      <w:r w:rsidRPr="009B78DA">
        <w:rPr>
          <w:rFonts w:ascii="Arial" w:hAnsi="Arial" w:cs="Arial"/>
          <w:color w:val="000000" w:themeColor="text1"/>
          <w:sz w:val="22"/>
          <w:szCs w:val="22"/>
        </w:rPr>
        <w:t xml:space="preserve"> ruchu w transporcie publicznym (lokalne połączenia autobusowe, komplementarność kolej – autobus, a także transport publiczny – indywidualny; zebrano dane z wszystkich jednostek samorządu terytorialnego)</w:t>
      </w:r>
      <w:r w:rsidR="0064049B" w:rsidRPr="009B78DA">
        <w:rPr>
          <w:rFonts w:ascii="Arial" w:hAnsi="Arial" w:cs="Arial"/>
          <w:color w:val="000000" w:themeColor="text1"/>
          <w:sz w:val="22"/>
          <w:szCs w:val="22"/>
        </w:rPr>
        <w:t>,</w:t>
      </w:r>
    </w:p>
    <w:p w14:paraId="67B34111" w14:textId="77777777" w:rsidR="00B743C4" w:rsidRPr="009B78DA" w:rsidRDefault="00B743C4" w:rsidP="0007791F">
      <w:pPr>
        <w:pStyle w:val="Akapitzlist"/>
        <w:numPr>
          <w:ilvl w:val="0"/>
          <w:numId w:val="64"/>
        </w:numPr>
        <w:spacing w:before="80" w:after="8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informacji dla województwa podkarpackiego z różnych wymienionych wyżej modeli krajowych (przygotowano stosowne opracowanie eksperckie).</w:t>
      </w:r>
    </w:p>
    <w:p w14:paraId="62D42482" w14:textId="10909947" w:rsidR="00020661" w:rsidRPr="009B78DA" w:rsidRDefault="00B743C4" w:rsidP="0007791F">
      <w:pPr>
        <w:spacing w:before="80" w:after="8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Model </w:t>
      </w:r>
      <w:r w:rsidR="00BC2310" w:rsidRPr="009B78DA">
        <w:rPr>
          <w:rFonts w:ascii="Arial" w:hAnsi="Arial" w:cs="Arial"/>
          <w:color w:val="000000" w:themeColor="text1"/>
          <w:sz w:val="22"/>
          <w:szCs w:val="22"/>
        </w:rPr>
        <w:t>ruchu</w:t>
      </w:r>
      <w:r w:rsidRPr="009B78DA">
        <w:rPr>
          <w:rFonts w:ascii="Arial" w:hAnsi="Arial" w:cs="Arial"/>
          <w:color w:val="000000" w:themeColor="text1"/>
          <w:sz w:val="22"/>
          <w:szCs w:val="22"/>
        </w:rPr>
        <w:t xml:space="preserve"> województwa stanowi podstawowe narzędzie weryfikujące celowość rozbudowy infrastruktury transportowej oraz oceniające kierunki strategiczne rozwoju systemu transportowego. Dzięki dostępowi do takiego narzędzia, możliwym jest weryfikacja zamierzeń inwestycyjnych, opracowanie rankingu najważniejszych inwestycji, ocena zmian </w:t>
      </w:r>
      <w:r w:rsidR="0007791F">
        <w:rPr>
          <w:rFonts w:ascii="Arial" w:hAnsi="Arial" w:cs="Arial"/>
          <w:color w:val="000000" w:themeColor="text1"/>
          <w:sz w:val="22"/>
          <w:szCs w:val="22"/>
        </w:rPr>
        <w:br/>
      </w:r>
      <w:r w:rsidRPr="009B78DA">
        <w:rPr>
          <w:rFonts w:ascii="Arial" w:hAnsi="Arial" w:cs="Arial"/>
          <w:color w:val="000000" w:themeColor="text1"/>
          <w:sz w:val="22"/>
          <w:szCs w:val="22"/>
        </w:rPr>
        <w:t xml:space="preserve">w siatce połączeń (zarówno w przypadku konieczności ograniczania oferty, jak i jej rozbudowy). Jest to możliwe, ponieważ model </w:t>
      </w:r>
      <w:r w:rsidR="006155E4" w:rsidRPr="009B78DA">
        <w:rPr>
          <w:rFonts w:ascii="Arial" w:hAnsi="Arial" w:cs="Arial"/>
          <w:color w:val="000000" w:themeColor="text1"/>
          <w:sz w:val="22"/>
          <w:szCs w:val="22"/>
        </w:rPr>
        <w:t>ruchu</w:t>
      </w:r>
      <w:r w:rsidRPr="009B78DA">
        <w:rPr>
          <w:rFonts w:ascii="Arial" w:hAnsi="Arial" w:cs="Arial"/>
          <w:color w:val="000000" w:themeColor="text1"/>
          <w:sz w:val="22"/>
          <w:szCs w:val="22"/>
        </w:rPr>
        <w:t xml:space="preserve"> bazuje na ujęciu, które uwzględnia ścisły związek pomiędzy zagospodarowaniem przestrzennym, jego transportochłonnością, </w:t>
      </w:r>
      <w:r w:rsidR="0007791F">
        <w:rPr>
          <w:rFonts w:ascii="Arial" w:hAnsi="Arial" w:cs="Arial"/>
          <w:color w:val="000000" w:themeColor="text1"/>
          <w:sz w:val="22"/>
          <w:szCs w:val="22"/>
        </w:rPr>
        <w:br/>
      </w:r>
      <w:r w:rsidRPr="009B78DA">
        <w:rPr>
          <w:rFonts w:ascii="Arial" w:hAnsi="Arial" w:cs="Arial"/>
          <w:color w:val="000000" w:themeColor="text1"/>
          <w:sz w:val="22"/>
          <w:szCs w:val="22"/>
        </w:rPr>
        <w:t xml:space="preserve">a przede wszystkim między konkurencyjnymi środkami transportu. Przepływy międzygałęziowe pozwalają uwzględnić każdy ze scenariuszy rozwoju i wskazać mocne </w:t>
      </w:r>
      <w:r w:rsidR="0007791F">
        <w:rPr>
          <w:rFonts w:ascii="Arial" w:hAnsi="Arial" w:cs="Arial"/>
          <w:color w:val="000000" w:themeColor="text1"/>
          <w:sz w:val="22"/>
          <w:szCs w:val="22"/>
        </w:rPr>
        <w:br/>
      </w:r>
      <w:r w:rsidRPr="009B78DA">
        <w:rPr>
          <w:rFonts w:ascii="Arial" w:hAnsi="Arial" w:cs="Arial"/>
          <w:color w:val="000000" w:themeColor="text1"/>
          <w:sz w:val="22"/>
          <w:szCs w:val="22"/>
        </w:rPr>
        <w:t>i słabe strony rozważanych zmian. Mocną stroną analiz jest również ich kompleksowość, która pozwala powiązać kosztochłonne czynniki np. prace przewozową z liczba pasażerów (jak wpłynie na wielkość potoków pasażerski</w:t>
      </w:r>
      <w:r w:rsidR="00020661" w:rsidRPr="009B78DA">
        <w:rPr>
          <w:rFonts w:ascii="Arial" w:hAnsi="Arial" w:cs="Arial"/>
          <w:color w:val="000000" w:themeColor="text1"/>
          <w:sz w:val="22"/>
          <w:szCs w:val="22"/>
        </w:rPr>
        <w:t>ch ograniczenie liczby kursów).</w:t>
      </w:r>
    </w:p>
    <w:p w14:paraId="753EE5C3" w14:textId="53B97362" w:rsidR="00054193" w:rsidRPr="009B78DA" w:rsidRDefault="0021156D" w:rsidP="0007791F">
      <w:pPr>
        <w:spacing w:before="80" w:after="80" w:line="276" w:lineRule="auto"/>
        <w:ind w:firstLine="709"/>
        <w:rPr>
          <w:color w:val="000000" w:themeColor="text1"/>
        </w:rPr>
      </w:pPr>
      <w:r w:rsidRPr="009B78DA">
        <w:rPr>
          <w:rFonts w:ascii="Arial" w:hAnsi="Arial" w:cs="Arial"/>
          <w:color w:val="000000" w:themeColor="text1"/>
          <w:sz w:val="22"/>
          <w:szCs w:val="22"/>
        </w:rPr>
        <w:t xml:space="preserve">Z CUPT pozyskano dane dotyczące </w:t>
      </w:r>
      <w:r w:rsidR="00054193" w:rsidRPr="009B78DA">
        <w:rPr>
          <w:rFonts w:ascii="Arial" w:hAnsi="Arial" w:cs="Arial"/>
          <w:color w:val="000000" w:themeColor="text1"/>
          <w:sz w:val="22"/>
          <w:szCs w:val="22"/>
        </w:rPr>
        <w:t>Zintegrowanego Modelu Ruchu (zwanego także Modelem Krajowym)</w:t>
      </w:r>
      <w:r w:rsidR="00054193" w:rsidRPr="009B78DA">
        <w:rPr>
          <w:color w:val="000000" w:themeColor="text1"/>
        </w:rPr>
        <w:t xml:space="preserve"> </w:t>
      </w:r>
      <w:r w:rsidR="00054193" w:rsidRPr="009B78DA">
        <w:rPr>
          <w:rFonts w:ascii="Arial" w:hAnsi="Arial" w:cs="Arial"/>
          <w:color w:val="000000" w:themeColor="text1"/>
          <w:sz w:val="22"/>
          <w:szCs w:val="22"/>
        </w:rPr>
        <w:t xml:space="preserve">na potrzeby analizy dla województwa podkarpackiego. Dane zawierają informacje w </w:t>
      </w:r>
      <w:r w:rsidRPr="009B78DA">
        <w:rPr>
          <w:rFonts w:ascii="Arial" w:hAnsi="Arial" w:cs="Arial"/>
          <w:color w:val="000000" w:themeColor="text1"/>
          <w:sz w:val="22"/>
          <w:szCs w:val="22"/>
        </w:rPr>
        <w:t>zakresie opracowanego modelu bazowego na rok 2015 oraz wersji na rok 2019, które tworzą 4</w:t>
      </w:r>
      <w:r w:rsidR="00D77B98" w:rsidRPr="009B78DA">
        <w:rPr>
          <w:rFonts w:ascii="Arial" w:hAnsi="Arial" w:cs="Arial"/>
          <w:color w:val="000000" w:themeColor="text1"/>
          <w:sz w:val="22"/>
          <w:szCs w:val="22"/>
        </w:rPr>
        <w:t>-</w:t>
      </w:r>
      <w:r w:rsidRPr="009B78DA">
        <w:rPr>
          <w:rFonts w:ascii="Arial" w:hAnsi="Arial" w:cs="Arial"/>
          <w:color w:val="000000" w:themeColor="text1"/>
          <w:sz w:val="22"/>
          <w:szCs w:val="22"/>
        </w:rPr>
        <w:t>stopniowe modele pasażerskie uwzgledniające ruch towarowy na drogach).</w:t>
      </w:r>
      <w:r w:rsidR="007F19D6" w:rsidRPr="009B78DA">
        <w:rPr>
          <w:rFonts w:ascii="Arial" w:hAnsi="Arial" w:cs="Arial"/>
          <w:color w:val="000000" w:themeColor="text1"/>
          <w:sz w:val="22"/>
          <w:szCs w:val="22"/>
        </w:rPr>
        <w:t xml:space="preserve"> Dzięki temu uzyskano wyniki rozkładu ruchu między gminami oraz syntetyczny obraz popytu na przewozy/transport/infrastrukturę.</w:t>
      </w:r>
    </w:p>
    <w:p w14:paraId="6198ED48" w14:textId="1654DFD5" w:rsidR="00F06BC8" w:rsidRPr="009B78DA" w:rsidRDefault="007F19D6" w:rsidP="0007791F">
      <w:pPr>
        <w:spacing w:before="80" w:after="8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Pełniejsze</w:t>
      </w:r>
      <w:r w:rsidR="00054193" w:rsidRPr="009B78DA">
        <w:rPr>
          <w:rFonts w:ascii="Arial" w:hAnsi="Arial" w:cs="Arial"/>
          <w:color w:val="000000" w:themeColor="text1"/>
          <w:sz w:val="22"/>
          <w:szCs w:val="22"/>
        </w:rPr>
        <w:t xml:space="preserve"> wykorzystanie modelu CUPT</w:t>
      </w:r>
      <w:r w:rsidR="009C0FCA" w:rsidRPr="009B78DA">
        <w:rPr>
          <w:rFonts w:ascii="Arial" w:hAnsi="Arial" w:cs="Arial"/>
          <w:color w:val="000000" w:themeColor="text1"/>
          <w:sz w:val="22"/>
          <w:szCs w:val="22"/>
        </w:rPr>
        <w:t xml:space="preserve"> staje się</w:t>
      </w:r>
      <w:r w:rsidR="00054193" w:rsidRPr="009B78DA">
        <w:rPr>
          <w:rFonts w:ascii="Arial" w:hAnsi="Arial" w:cs="Arial"/>
          <w:color w:val="000000" w:themeColor="text1"/>
          <w:sz w:val="22"/>
          <w:szCs w:val="22"/>
        </w:rPr>
        <w:t xml:space="preserve"> możliwe w następstwie uzupełniania go o kolejne opracowane i udostępniane moduły (np. o część prognostyczną) oraz nowsze dane wprowadzone do niego w ramach jego aktualizacji</w:t>
      </w:r>
      <w:r w:rsidR="00E148C1" w:rsidRPr="009B78DA">
        <w:rPr>
          <w:rFonts w:ascii="Arial" w:hAnsi="Arial" w:cs="Arial"/>
          <w:color w:val="000000" w:themeColor="text1"/>
          <w:sz w:val="22"/>
          <w:szCs w:val="22"/>
        </w:rPr>
        <w:t>)</w:t>
      </w:r>
      <w:r w:rsidR="00054193" w:rsidRPr="009B78DA">
        <w:rPr>
          <w:rFonts w:ascii="Arial" w:hAnsi="Arial" w:cs="Arial"/>
          <w:color w:val="000000" w:themeColor="text1"/>
          <w:sz w:val="22"/>
          <w:szCs w:val="22"/>
        </w:rPr>
        <w:t>.</w:t>
      </w:r>
    </w:p>
    <w:p w14:paraId="13D9FE5B" w14:textId="29B93E00" w:rsidR="006D7FEB" w:rsidRPr="009B78DA" w:rsidRDefault="00B743C4" w:rsidP="0007791F">
      <w:pPr>
        <w:spacing w:before="80" w:after="80" w:line="276" w:lineRule="auto"/>
        <w:ind w:firstLine="709"/>
        <w:rPr>
          <w:rFonts w:ascii="Arial" w:hAnsi="Arial" w:cs="Arial"/>
          <w:bCs/>
          <w:color w:val="000000" w:themeColor="text1"/>
          <w:sz w:val="22"/>
          <w:szCs w:val="22"/>
        </w:rPr>
      </w:pPr>
      <w:bookmarkStart w:id="182" w:name="_Hlk144123826"/>
      <w:r w:rsidRPr="009B78DA">
        <w:rPr>
          <w:rFonts w:ascii="Arial" w:hAnsi="Arial" w:cs="Arial"/>
          <w:bCs/>
          <w:color w:val="000000" w:themeColor="text1"/>
          <w:sz w:val="22"/>
          <w:szCs w:val="22"/>
        </w:rPr>
        <w:t xml:space="preserve">W procesie przygotowania </w:t>
      </w:r>
      <w:bookmarkStart w:id="183" w:name="_Hlk120254979"/>
      <w:r w:rsidRPr="009B78DA">
        <w:rPr>
          <w:rFonts w:ascii="Arial" w:hAnsi="Arial" w:cs="Arial"/>
          <w:bCs/>
          <w:i/>
          <w:iCs/>
          <w:color w:val="000000" w:themeColor="text1"/>
          <w:sz w:val="22"/>
          <w:szCs w:val="22"/>
        </w:rPr>
        <w:t>Programu Strategicznego Rozwoju Transportu</w:t>
      </w:r>
      <w:r w:rsidR="0010060F" w:rsidRPr="009B78DA">
        <w:rPr>
          <w:rFonts w:ascii="Arial" w:hAnsi="Arial" w:cs="Arial"/>
          <w:bCs/>
          <w:i/>
          <w:iCs/>
          <w:color w:val="000000" w:themeColor="text1"/>
          <w:sz w:val="22"/>
          <w:szCs w:val="22"/>
        </w:rPr>
        <w:t xml:space="preserve"> </w:t>
      </w:r>
      <w:r w:rsidRPr="009B78DA">
        <w:rPr>
          <w:rFonts w:ascii="Arial" w:hAnsi="Arial" w:cs="Arial"/>
          <w:bCs/>
          <w:i/>
          <w:iCs/>
          <w:color w:val="000000" w:themeColor="text1"/>
          <w:sz w:val="22"/>
          <w:szCs w:val="22"/>
        </w:rPr>
        <w:t>Województwa Podkarpackiego do roku 2030</w:t>
      </w:r>
      <w:r w:rsidRPr="009B78DA">
        <w:rPr>
          <w:rFonts w:ascii="Arial" w:hAnsi="Arial" w:cs="Arial"/>
          <w:bCs/>
          <w:color w:val="000000" w:themeColor="text1"/>
          <w:sz w:val="22"/>
          <w:szCs w:val="22"/>
        </w:rPr>
        <w:t xml:space="preserve"> </w:t>
      </w:r>
      <w:bookmarkEnd w:id="183"/>
      <w:r w:rsidRPr="009B78DA">
        <w:rPr>
          <w:rFonts w:ascii="Arial" w:hAnsi="Arial" w:cs="Arial"/>
          <w:bCs/>
          <w:color w:val="000000" w:themeColor="text1"/>
          <w:sz w:val="22"/>
          <w:szCs w:val="22"/>
        </w:rPr>
        <w:t>przyjęto</w:t>
      </w:r>
      <w:r w:rsidR="00917C8E" w:rsidRPr="009B78DA">
        <w:rPr>
          <w:rFonts w:ascii="Arial" w:hAnsi="Arial" w:cs="Arial"/>
          <w:bCs/>
          <w:color w:val="000000" w:themeColor="text1"/>
          <w:sz w:val="22"/>
          <w:szCs w:val="22"/>
        </w:rPr>
        <w:t xml:space="preserve"> </w:t>
      </w:r>
      <w:r w:rsidR="00E148C1" w:rsidRPr="009B78DA">
        <w:rPr>
          <w:rFonts w:ascii="Arial" w:hAnsi="Arial" w:cs="Arial"/>
          <w:bCs/>
          <w:color w:val="000000" w:themeColor="text1"/>
          <w:sz w:val="22"/>
          <w:szCs w:val="22"/>
        </w:rPr>
        <w:t>założenie o przygotowaniu regionalnego modelu ruchu na późniejszym etapie prac w ramach stałej procedury spełniania na poziomie regionalnym warunkowości podstawowej w zakresie unijnego Celu Polityki 3. Zaplanowano autorskie narzędzie lub wykorzystujące dane i informacje przygotowane w ramach Modelu Krajowego połączone z systemem monitoringu dokumentu.</w:t>
      </w:r>
    </w:p>
    <w:bookmarkEnd w:id="182"/>
    <w:p w14:paraId="14D509FB" w14:textId="07DAB0C5" w:rsidR="00E148C1" w:rsidRPr="009B78DA" w:rsidRDefault="00E148C1" w:rsidP="0007791F">
      <w:pPr>
        <w:spacing w:before="80" w:after="8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Efektem prac prowadzonych zgodnie z przedstawioną procedurą jest dostęp do modelu transportowego opisującego relacje w skali województwa podkarpackiego. Jest to pełnowartościowe narzędzie stanowiące podstawę do prowadzenia prac analitycznych.</w:t>
      </w:r>
    </w:p>
    <w:p w14:paraId="78CBB375" w14:textId="511BBA35" w:rsidR="006246CA" w:rsidRPr="009B78DA" w:rsidRDefault="007F19D6" w:rsidP="0007791F">
      <w:pPr>
        <w:spacing w:before="80" w:after="80" w:line="276" w:lineRule="auto"/>
        <w:ind w:firstLine="709"/>
        <w:rPr>
          <w:rFonts w:ascii="Arial" w:hAnsi="Arial" w:cs="Arial"/>
          <w:b/>
          <w:color w:val="000000" w:themeColor="text1"/>
          <w:sz w:val="22"/>
          <w:szCs w:val="22"/>
        </w:rPr>
      </w:pPr>
      <w:r w:rsidRPr="009B78DA">
        <w:rPr>
          <w:rFonts w:ascii="Arial" w:hAnsi="Arial" w:cs="Arial"/>
          <w:color w:val="000000" w:themeColor="text1"/>
          <w:sz w:val="22"/>
          <w:szCs w:val="22"/>
        </w:rPr>
        <w:t>D</w:t>
      </w:r>
      <w:r w:rsidR="003B6FC1" w:rsidRPr="009B78DA">
        <w:rPr>
          <w:rFonts w:ascii="Arial" w:hAnsi="Arial" w:cs="Arial"/>
          <w:color w:val="000000" w:themeColor="text1"/>
          <w:sz w:val="22"/>
          <w:szCs w:val="22"/>
        </w:rPr>
        <w:t>ane</w:t>
      </w:r>
      <w:r w:rsidRPr="009B78DA">
        <w:rPr>
          <w:rFonts w:ascii="Arial" w:hAnsi="Arial" w:cs="Arial"/>
          <w:color w:val="000000" w:themeColor="text1"/>
          <w:sz w:val="22"/>
          <w:szCs w:val="22"/>
        </w:rPr>
        <w:t xml:space="preserve"> pozyskane</w:t>
      </w:r>
      <w:r w:rsidR="003B6FC1" w:rsidRPr="009B78DA">
        <w:rPr>
          <w:rFonts w:ascii="Arial" w:hAnsi="Arial" w:cs="Arial"/>
          <w:color w:val="000000" w:themeColor="text1"/>
          <w:sz w:val="22"/>
          <w:szCs w:val="22"/>
        </w:rPr>
        <w:t xml:space="preserve"> w połowie 2021 r. z</w:t>
      </w:r>
      <w:r w:rsidR="000706C6" w:rsidRPr="009B78DA">
        <w:rPr>
          <w:rFonts w:ascii="Arial" w:hAnsi="Arial" w:cs="Arial"/>
          <w:color w:val="000000" w:themeColor="text1"/>
          <w:sz w:val="22"/>
          <w:szCs w:val="22"/>
        </w:rPr>
        <w:t xml:space="preserve"> </w:t>
      </w:r>
      <w:r w:rsidR="00E748BF" w:rsidRPr="009B78DA">
        <w:rPr>
          <w:rFonts w:ascii="Arial" w:hAnsi="Arial" w:cs="Arial"/>
          <w:color w:val="000000" w:themeColor="text1"/>
          <w:sz w:val="22"/>
          <w:szCs w:val="22"/>
        </w:rPr>
        <w:t>CUPT</w:t>
      </w:r>
      <w:r w:rsidR="003B6FC1" w:rsidRPr="009B78DA">
        <w:rPr>
          <w:rFonts w:ascii="Arial" w:hAnsi="Arial" w:cs="Arial"/>
          <w:color w:val="000000" w:themeColor="text1"/>
          <w:sz w:val="22"/>
          <w:szCs w:val="22"/>
        </w:rPr>
        <w:t xml:space="preserve">, a </w:t>
      </w:r>
      <w:r w:rsidR="0021156D" w:rsidRPr="009B78DA">
        <w:rPr>
          <w:rFonts w:ascii="Arial" w:hAnsi="Arial" w:cs="Arial"/>
          <w:color w:val="000000" w:themeColor="text1"/>
          <w:sz w:val="22"/>
          <w:szCs w:val="22"/>
        </w:rPr>
        <w:t>dotyczące Zintegrowanego Modelu Ruchu</w:t>
      </w:r>
      <w:r w:rsidR="00E748BF" w:rsidRPr="009B78DA">
        <w:rPr>
          <w:rFonts w:ascii="Arial" w:hAnsi="Arial" w:cs="Arial"/>
          <w:color w:val="000000" w:themeColor="text1"/>
          <w:sz w:val="22"/>
          <w:szCs w:val="22"/>
        </w:rPr>
        <w:t xml:space="preserve"> </w:t>
      </w:r>
      <w:r w:rsidR="0021156D" w:rsidRPr="009B78DA">
        <w:rPr>
          <w:rFonts w:ascii="Arial" w:hAnsi="Arial" w:cs="Arial"/>
          <w:color w:val="000000" w:themeColor="text1"/>
          <w:sz w:val="22"/>
          <w:szCs w:val="22"/>
        </w:rPr>
        <w:t>(</w:t>
      </w:r>
      <w:r w:rsidR="00E748BF" w:rsidRPr="009B78DA">
        <w:rPr>
          <w:rFonts w:ascii="Arial" w:hAnsi="Arial" w:cs="Arial"/>
          <w:color w:val="000000" w:themeColor="text1"/>
          <w:sz w:val="22"/>
          <w:szCs w:val="22"/>
        </w:rPr>
        <w:t xml:space="preserve">w zakresie opracowanego modelu bazowego na rok 2015 oraz wersji na rok 2019, </w:t>
      </w:r>
      <w:r w:rsidR="003B6FC1" w:rsidRPr="009B78DA">
        <w:rPr>
          <w:rFonts w:ascii="Arial" w:hAnsi="Arial" w:cs="Arial"/>
          <w:color w:val="000000" w:themeColor="text1"/>
          <w:sz w:val="22"/>
          <w:szCs w:val="22"/>
        </w:rPr>
        <w:t>tworzące</w:t>
      </w:r>
      <w:r w:rsidR="00E748BF" w:rsidRPr="009B78DA">
        <w:rPr>
          <w:rFonts w:ascii="Arial" w:hAnsi="Arial" w:cs="Arial"/>
          <w:color w:val="000000" w:themeColor="text1"/>
          <w:sz w:val="22"/>
          <w:szCs w:val="22"/>
        </w:rPr>
        <w:t xml:space="preserve"> stopniowe modele pasażerskie uwzgledniające ruch towarowy na drogach</w:t>
      </w:r>
      <w:r w:rsidR="0021156D" w:rsidRPr="009B78DA">
        <w:rPr>
          <w:rFonts w:ascii="Arial" w:hAnsi="Arial" w:cs="Arial"/>
          <w:color w:val="000000" w:themeColor="text1"/>
          <w:sz w:val="22"/>
          <w:szCs w:val="22"/>
        </w:rPr>
        <w:t>), zostały w drodze analizy eksperckiej porównane z wynikami diagnozy systemu transportowego województwa podkarpackiego</w:t>
      </w:r>
      <w:r w:rsidR="00B743C4" w:rsidRPr="009B78DA">
        <w:rPr>
          <w:rFonts w:ascii="Arial" w:hAnsi="Arial" w:cs="Arial"/>
          <w:color w:val="000000" w:themeColor="text1"/>
          <w:sz w:val="22"/>
          <w:szCs w:val="22"/>
        </w:rPr>
        <w:t>.</w:t>
      </w:r>
    </w:p>
    <w:p w14:paraId="39B08657" w14:textId="73CEBF49" w:rsidR="00B743C4" w:rsidRPr="009B78DA" w:rsidRDefault="00B743C4" w:rsidP="0007791F">
      <w:pPr>
        <w:spacing w:before="80" w:after="8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województwie podkarpackim w latach 2019-2020 r. analiza problemów związanych z transportem, w tym realizacja celów podstawowych regionu, tj. dostępności zewnętrznej, spójności wewnętrznej oraz integracji </w:t>
      </w:r>
      <w:bookmarkStart w:id="184" w:name="_Hlk92559601"/>
      <w:r w:rsidR="009B4FA3" w:rsidRPr="009B78DA">
        <w:rPr>
          <w:rFonts w:ascii="Arial" w:hAnsi="Arial" w:cs="Arial"/>
          <w:color w:val="000000" w:themeColor="text1"/>
          <w:sz w:val="22"/>
          <w:szCs w:val="22"/>
        </w:rPr>
        <w:t>poszczególnych ROF/</w:t>
      </w:r>
      <w:r w:rsidRPr="009B78DA">
        <w:rPr>
          <w:rFonts w:ascii="Arial" w:hAnsi="Arial" w:cs="Arial"/>
          <w:color w:val="000000" w:themeColor="text1"/>
          <w:sz w:val="22"/>
          <w:szCs w:val="22"/>
        </w:rPr>
        <w:t>MOF</w:t>
      </w:r>
      <w:bookmarkEnd w:id="184"/>
      <w:r w:rsidRPr="009B78DA">
        <w:rPr>
          <w:rFonts w:ascii="Arial" w:hAnsi="Arial" w:cs="Arial"/>
          <w:color w:val="000000" w:themeColor="text1"/>
          <w:sz w:val="22"/>
          <w:szCs w:val="22"/>
        </w:rPr>
        <w:t xml:space="preserve">, a także, w szerszym ujęciu, celów horyzontalnych związanych z ograniczeniem uciążliwości dla środowiska, multimodalnością, transportem publicznym, bezpieczeństwem w transporcie była związana </w:t>
      </w:r>
      <w:r w:rsidR="00956C5F" w:rsidRPr="009B78DA">
        <w:rPr>
          <w:rFonts w:ascii="Arial" w:hAnsi="Arial" w:cs="Arial"/>
          <w:color w:val="000000" w:themeColor="text1"/>
          <w:sz w:val="22"/>
          <w:szCs w:val="22"/>
        </w:rPr>
        <w:br/>
      </w:r>
      <w:r w:rsidRPr="009B78DA">
        <w:rPr>
          <w:rFonts w:ascii="Arial" w:hAnsi="Arial" w:cs="Arial"/>
          <w:color w:val="000000" w:themeColor="text1"/>
          <w:sz w:val="22"/>
          <w:szCs w:val="22"/>
        </w:rPr>
        <w:t>z realizacją ekspertyz</w:t>
      </w:r>
      <w:r w:rsidR="0007791F">
        <w:rPr>
          <w:rFonts w:ascii="Arial" w:hAnsi="Arial" w:cs="Arial"/>
          <w:color w:val="000000" w:themeColor="text1"/>
          <w:sz w:val="22"/>
          <w:szCs w:val="22"/>
        </w:rPr>
        <w:t xml:space="preserve"> i analiz popytowych w postaci:</w:t>
      </w:r>
    </w:p>
    <w:p w14:paraId="441E94BE" w14:textId="511977CB" w:rsidR="00B743C4" w:rsidRPr="009B78DA" w:rsidRDefault="00B743C4" w:rsidP="0007791F">
      <w:pPr>
        <w:pStyle w:val="Akapitzlist"/>
        <w:numPr>
          <w:ilvl w:val="0"/>
          <w:numId w:val="65"/>
        </w:numPr>
        <w:spacing w:before="80" w:after="80" w:line="276" w:lineRule="auto"/>
        <w:ind w:left="714" w:hanging="357"/>
        <w:rPr>
          <w:rFonts w:ascii="Arial" w:hAnsi="Arial" w:cs="Arial"/>
          <w:color w:val="000000" w:themeColor="text1"/>
          <w:sz w:val="22"/>
          <w:szCs w:val="22"/>
        </w:rPr>
      </w:pPr>
      <w:r w:rsidRPr="009B78DA">
        <w:rPr>
          <w:rFonts w:ascii="Arial" w:hAnsi="Arial" w:cs="Arial"/>
          <w:i/>
          <w:iCs/>
          <w:color w:val="000000" w:themeColor="text1"/>
          <w:sz w:val="22"/>
          <w:szCs w:val="22"/>
        </w:rPr>
        <w:t>Diagnozy Stanu Systemu Transportowego w Województwie Podkarpackim</w:t>
      </w:r>
      <w:r w:rsidR="00D77B98" w:rsidRPr="009B78DA">
        <w:rPr>
          <w:rFonts w:ascii="Arial" w:hAnsi="Arial" w:cs="Arial"/>
          <w:color w:val="000000" w:themeColor="text1"/>
          <w:sz w:val="22"/>
          <w:szCs w:val="22"/>
        </w:rPr>
        <w:t>,</w:t>
      </w:r>
    </w:p>
    <w:p w14:paraId="643D0E65" w14:textId="77777777" w:rsidR="00B743C4" w:rsidRPr="009B78DA" w:rsidRDefault="00B743C4" w:rsidP="0007791F">
      <w:pPr>
        <w:pStyle w:val="Akapitzlist"/>
        <w:numPr>
          <w:ilvl w:val="0"/>
          <w:numId w:val="65"/>
        </w:numPr>
        <w:spacing w:before="80" w:after="8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Raportu końcowego: </w:t>
      </w:r>
      <w:r w:rsidRPr="009B78DA">
        <w:rPr>
          <w:rFonts w:ascii="Arial" w:hAnsi="Arial" w:cs="Arial"/>
          <w:i/>
          <w:iCs/>
          <w:color w:val="000000" w:themeColor="text1"/>
          <w:sz w:val="22"/>
          <w:szCs w:val="22"/>
        </w:rPr>
        <w:t xml:space="preserve">Rozwój transportu w województwie podkarpackim </w:t>
      </w:r>
      <w:r w:rsidR="00AD7484" w:rsidRPr="009B78DA">
        <w:rPr>
          <w:rFonts w:ascii="Arial" w:hAnsi="Arial" w:cs="Arial"/>
          <w:i/>
          <w:iCs/>
          <w:color w:val="000000" w:themeColor="text1"/>
          <w:sz w:val="22"/>
          <w:szCs w:val="22"/>
        </w:rPr>
        <w:br/>
      </w:r>
      <w:r w:rsidR="00357088" w:rsidRPr="009B78DA">
        <w:rPr>
          <w:rFonts w:ascii="Arial" w:hAnsi="Arial" w:cs="Arial"/>
          <w:i/>
          <w:iCs/>
          <w:color w:val="000000" w:themeColor="text1"/>
          <w:sz w:val="22"/>
          <w:szCs w:val="22"/>
        </w:rPr>
        <w:t>w perspektywie do 2030 roku</w:t>
      </w:r>
      <w:r w:rsidR="00357088" w:rsidRPr="009B78DA">
        <w:rPr>
          <w:rFonts w:ascii="Arial" w:hAnsi="Arial" w:cs="Arial"/>
          <w:color w:val="000000" w:themeColor="text1"/>
          <w:sz w:val="22"/>
          <w:szCs w:val="22"/>
        </w:rPr>
        <w:t>.</w:t>
      </w:r>
    </w:p>
    <w:p w14:paraId="155E1C93" w14:textId="436B1AB0" w:rsidR="00357088" w:rsidRPr="009B78DA" w:rsidRDefault="00B743C4" w:rsidP="0007791F">
      <w:pPr>
        <w:spacing w:before="80" w:after="8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Oba dokumenty w bardzo dobry sposób przedstawiają diagnozę powiązań funkcjonalnych, potoków ruchu indywidualnego i publicznego, a także zróżnicowania przestrzennego dostępności transportowej w regionie, w tym z wykorzystaniem analiz dostępności potencjałowej. </w:t>
      </w:r>
      <w:bookmarkStart w:id="185" w:name="_Hlk144123878"/>
      <w:r w:rsidRPr="009B78DA">
        <w:rPr>
          <w:rFonts w:ascii="Arial" w:hAnsi="Arial" w:cs="Arial"/>
          <w:color w:val="000000" w:themeColor="text1"/>
          <w:sz w:val="22"/>
          <w:szCs w:val="22"/>
        </w:rPr>
        <w:t>Tym samym istniejące dokumenty wypełniają wskazania J</w:t>
      </w:r>
      <w:r w:rsidR="007F19D6" w:rsidRPr="009B78DA">
        <w:rPr>
          <w:rFonts w:ascii="Arial" w:hAnsi="Arial" w:cs="Arial"/>
          <w:color w:val="000000" w:themeColor="text1"/>
          <w:sz w:val="22"/>
          <w:szCs w:val="22"/>
        </w:rPr>
        <w:t>ASPERS</w:t>
      </w:r>
      <w:r w:rsidRPr="009B78DA">
        <w:rPr>
          <w:rFonts w:ascii="Arial" w:hAnsi="Arial" w:cs="Arial"/>
          <w:color w:val="000000" w:themeColor="text1"/>
          <w:sz w:val="22"/>
          <w:szCs w:val="22"/>
        </w:rPr>
        <w:t xml:space="preserve"> w „Najlepszych praktykach w zakresie regionalnych planów transportowych (Polska)”, </w:t>
      </w:r>
      <w:bookmarkEnd w:id="185"/>
      <w:r w:rsidRPr="009B78DA">
        <w:rPr>
          <w:rFonts w:ascii="Arial" w:hAnsi="Arial" w:cs="Arial"/>
          <w:color w:val="000000" w:themeColor="text1"/>
          <w:sz w:val="22"/>
          <w:szCs w:val="22"/>
        </w:rPr>
        <w:t>takie jak m.in.: kompleksowe podejście, podejście holistyczne, podejście operacyjne/systemowe. Wypełnione są również główne kroki tworzenia regionalnych planów transportowych oraz cele strategiczne, które odnoszą się bezpośrednio do polityk europejskich.</w:t>
      </w:r>
    </w:p>
    <w:p w14:paraId="567AEBBF" w14:textId="1113FA7E" w:rsidR="00B743C4" w:rsidRPr="009B78DA" w:rsidRDefault="00B743C4" w:rsidP="0007791F">
      <w:pPr>
        <w:spacing w:before="80" w:after="8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Powyższe analizy wzbogacono o ocenę popytu w regionie przy wykorzystaniu modelu transportowego</w:t>
      </w:r>
      <w:r w:rsidR="00EB20D5" w:rsidRPr="009B78DA">
        <w:rPr>
          <w:rFonts w:ascii="Arial" w:hAnsi="Arial" w:cs="Arial"/>
          <w:color w:val="000000" w:themeColor="text1"/>
          <w:sz w:val="22"/>
          <w:szCs w:val="22"/>
        </w:rPr>
        <w:t xml:space="preserve"> CUPT</w:t>
      </w:r>
      <w:r w:rsidRPr="009B78DA">
        <w:rPr>
          <w:rFonts w:ascii="Arial" w:hAnsi="Arial" w:cs="Arial"/>
          <w:color w:val="000000" w:themeColor="text1"/>
          <w:sz w:val="22"/>
          <w:szCs w:val="22"/>
        </w:rPr>
        <w:t xml:space="preserve">. Aktualnie w województwie podkarpackim wykorzystano </w:t>
      </w:r>
      <w:r w:rsidR="006246CA" w:rsidRPr="009B78DA">
        <w:rPr>
          <w:rFonts w:ascii="Arial" w:hAnsi="Arial" w:cs="Arial"/>
          <w:color w:val="000000" w:themeColor="text1"/>
          <w:sz w:val="22"/>
          <w:szCs w:val="22"/>
        </w:rPr>
        <w:t>również</w:t>
      </w:r>
      <w:r w:rsidRPr="009B78DA">
        <w:rPr>
          <w:rFonts w:ascii="Arial" w:hAnsi="Arial" w:cs="Arial"/>
          <w:color w:val="000000" w:themeColor="text1"/>
          <w:sz w:val="22"/>
          <w:szCs w:val="22"/>
        </w:rPr>
        <w:t xml:space="preserve"> narzędzia w postaci modelu dostępności potencjałowej (analizy prowadzone przez zespół IGiPZ PAN), które umożliwiają prognozowanie zmian dostępności w wyniku zarówno zmian o charakterze infrastrukturalnym (modernizacja dróg i linii kolejowych), jak i zmian </w:t>
      </w:r>
      <w:r w:rsidR="0007791F">
        <w:rPr>
          <w:rFonts w:ascii="Arial" w:hAnsi="Arial" w:cs="Arial"/>
          <w:color w:val="000000" w:themeColor="text1"/>
          <w:sz w:val="22"/>
          <w:szCs w:val="22"/>
        </w:rPr>
        <w:br/>
      </w:r>
      <w:r w:rsidRPr="009B78DA">
        <w:rPr>
          <w:rFonts w:ascii="Arial" w:hAnsi="Arial" w:cs="Arial"/>
          <w:color w:val="000000" w:themeColor="text1"/>
          <w:sz w:val="22"/>
          <w:szCs w:val="22"/>
        </w:rPr>
        <w:t xml:space="preserve">w zakresie zmiennych demograficznych (ludność) i ekonomicznych (PKB). </w:t>
      </w:r>
    </w:p>
    <w:p w14:paraId="561AC9E7" w14:textId="2326ACED" w:rsidR="00AA1322" w:rsidRDefault="00D87524" w:rsidP="0007791F">
      <w:pPr>
        <w:spacing w:before="80" w:after="8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2022 roku pozyskano z CUPT kolejną aktualizację ZMR wyposażoną w dodatkowe moduły, jednak dla aktualizacji ZMR oraz jego uzupełnień za rokiem bazowym był nadal 2019. </w:t>
      </w:r>
      <w:r w:rsidR="00910A04" w:rsidRPr="009B78DA">
        <w:rPr>
          <w:rFonts w:ascii="Arial" w:hAnsi="Arial" w:cs="Arial"/>
          <w:color w:val="000000" w:themeColor="text1"/>
          <w:sz w:val="22"/>
          <w:szCs w:val="22"/>
        </w:rPr>
        <w:t>Najpełniejsze wykorzystanie ZMR jest możliwe dzięki udostępnionemu w 2023 r. Modelowi</w:t>
      </w:r>
      <w:r w:rsidR="0007791F">
        <w:rPr>
          <w:rFonts w:ascii="Arial" w:hAnsi="Arial" w:cs="Arial"/>
          <w:color w:val="000000" w:themeColor="text1"/>
          <w:sz w:val="22"/>
          <w:szCs w:val="22"/>
        </w:rPr>
        <w:t xml:space="preserve"> </w:t>
      </w:r>
      <w:r w:rsidR="00910A04" w:rsidRPr="009B78DA">
        <w:rPr>
          <w:rFonts w:ascii="Arial" w:hAnsi="Arial" w:cs="Arial"/>
          <w:color w:val="000000" w:themeColor="text1"/>
          <w:sz w:val="22"/>
          <w:szCs w:val="22"/>
        </w:rPr>
        <w:t>w wersji 3.0, dla którego rokiem bazowym jest rok 2022.</w:t>
      </w:r>
    </w:p>
    <w:p w14:paraId="1DC4C70F" w14:textId="77777777" w:rsidR="00AA1322" w:rsidRDefault="00AA1322">
      <w:pPr>
        <w:rPr>
          <w:rFonts w:ascii="Arial" w:hAnsi="Arial" w:cs="Arial"/>
          <w:color w:val="000000" w:themeColor="text1"/>
          <w:sz w:val="22"/>
          <w:szCs w:val="22"/>
        </w:rPr>
      </w:pPr>
      <w:r>
        <w:rPr>
          <w:rFonts w:ascii="Arial" w:hAnsi="Arial" w:cs="Arial"/>
          <w:color w:val="000000" w:themeColor="text1"/>
          <w:sz w:val="22"/>
          <w:szCs w:val="22"/>
        </w:rPr>
        <w:br w:type="page"/>
      </w:r>
    </w:p>
    <w:p w14:paraId="5CE0FB83" w14:textId="0D0DBF9D" w:rsidR="000706C6" w:rsidRPr="009B78DA" w:rsidRDefault="00B3127E" w:rsidP="0007791F">
      <w:pPr>
        <w:pStyle w:val="Nagwek3"/>
        <w:numPr>
          <w:ilvl w:val="1"/>
          <w:numId w:val="261"/>
        </w:numPr>
        <w:rPr>
          <w:rFonts w:cs="Arial"/>
          <w:color w:val="000000" w:themeColor="text1"/>
          <w:sz w:val="24"/>
        </w:rPr>
      </w:pPr>
      <w:bookmarkStart w:id="186" w:name="_Toc100335067"/>
      <w:bookmarkStart w:id="187" w:name="_Toc146785793"/>
      <w:r w:rsidRPr="009B78DA">
        <w:rPr>
          <w:rFonts w:cs="Arial"/>
          <w:color w:val="000000" w:themeColor="text1"/>
          <w:sz w:val="24"/>
        </w:rPr>
        <w:t xml:space="preserve">Zintegrowany Model Ruchu CUPT dla roku </w:t>
      </w:r>
      <w:r w:rsidR="00B537D3" w:rsidRPr="009B78DA">
        <w:rPr>
          <w:rFonts w:cs="Arial"/>
          <w:color w:val="000000" w:themeColor="text1"/>
          <w:sz w:val="24"/>
        </w:rPr>
        <w:t>2022</w:t>
      </w:r>
      <w:r w:rsidRPr="009B78DA">
        <w:rPr>
          <w:rFonts w:cs="Arial"/>
          <w:color w:val="000000" w:themeColor="text1"/>
          <w:sz w:val="24"/>
        </w:rPr>
        <w:t xml:space="preserve"> a diagnoza stanu systemu transportowego województwa podkarpackiego</w:t>
      </w:r>
      <w:bookmarkEnd w:id="186"/>
      <w:bookmarkEnd w:id="187"/>
    </w:p>
    <w:p w14:paraId="358C5B9A" w14:textId="12075960" w:rsidR="000706C6" w:rsidRPr="009B78DA" w:rsidRDefault="000706C6" w:rsidP="0007791F">
      <w:pPr>
        <w:pStyle w:val="Legenda"/>
        <w:numPr>
          <w:ilvl w:val="2"/>
          <w:numId w:val="242"/>
        </w:numPr>
        <w:suppressLineNumbers/>
        <w:spacing w:after="120" w:line="276" w:lineRule="auto"/>
        <w:rPr>
          <w:rFonts w:ascii="Arial" w:hAnsi="Arial" w:cs="Arial"/>
          <w:b/>
          <w:i w:val="0"/>
          <w:color w:val="000000" w:themeColor="text1"/>
          <w:sz w:val="22"/>
          <w:szCs w:val="22"/>
        </w:rPr>
      </w:pPr>
      <w:r w:rsidRPr="009B78DA">
        <w:rPr>
          <w:rFonts w:ascii="Arial" w:hAnsi="Arial" w:cs="Arial"/>
          <w:b/>
          <w:i w:val="0"/>
          <w:color w:val="000000" w:themeColor="text1"/>
          <w:sz w:val="22"/>
          <w:szCs w:val="22"/>
        </w:rPr>
        <w:t>Model CUPT</w:t>
      </w:r>
      <w:r w:rsidR="00B537D3" w:rsidRPr="009B78DA">
        <w:rPr>
          <w:rFonts w:ascii="Arial" w:hAnsi="Arial" w:cs="Arial"/>
          <w:b/>
          <w:i w:val="0"/>
          <w:color w:val="000000" w:themeColor="text1"/>
          <w:sz w:val="22"/>
          <w:szCs w:val="22"/>
        </w:rPr>
        <w:t xml:space="preserve"> (ZMR 3.0)</w:t>
      </w:r>
    </w:p>
    <w:p w14:paraId="0E161628" w14:textId="265C0A25" w:rsidR="00F370BF" w:rsidRPr="009B78DA" w:rsidRDefault="000706C6" w:rsidP="0007791F">
      <w:pPr>
        <w:pStyle w:val="Legenda"/>
        <w:spacing w:after="0" w:line="264" w:lineRule="auto"/>
        <w:ind w:firstLine="709"/>
        <w:rPr>
          <w:color w:val="000000" w:themeColor="text1"/>
          <w:sz w:val="22"/>
          <w:szCs w:val="22"/>
        </w:rPr>
      </w:pPr>
      <w:r w:rsidRPr="009B78DA">
        <w:rPr>
          <w:rFonts w:ascii="Arial" w:hAnsi="Arial" w:cs="Arial"/>
          <w:i w:val="0"/>
          <w:color w:val="000000" w:themeColor="text1"/>
          <w:sz w:val="22"/>
          <w:szCs w:val="22"/>
        </w:rPr>
        <w:t xml:space="preserve">Centrum Unijnych Projektów Transportowych (CUPT) </w:t>
      </w:r>
      <w:r w:rsidR="00320831" w:rsidRPr="009B78DA">
        <w:rPr>
          <w:rFonts w:ascii="Arial" w:hAnsi="Arial" w:cs="Arial"/>
          <w:i w:val="0"/>
          <w:color w:val="000000" w:themeColor="text1"/>
          <w:sz w:val="22"/>
          <w:szCs w:val="22"/>
        </w:rPr>
        <w:t>opracował</w:t>
      </w:r>
      <w:r w:rsidR="00F370BF" w:rsidRPr="009B78DA">
        <w:rPr>
          <w:rFonts w:ascii="Arial" w:hAnsi="Arial" w:cs="Arial"/>
          <w:i w:val="0"/>
          <w:color w:val="000000" w:themeColor="text1"/>
          <w:sz w:val="22"/>
          <w:szCs w:val="22"/>
        </w:rPr>
        <w:t>o</w:t>
      </w:r>
      <w:r w:rsidR="00320831"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Krajow</w:t>
      </w:r>
      <w:r w:rsidR="00320831" w:rsidRPr="009B78DA">
        <w:rPr>
          <w:rFonts w:ascii="Arial" w:hAnsi="Arial" w:cs="Arial"/>
          <w:i w:val="0"/>
          <w:color w:val="000000" w:themeColor="text1"/>
          <w:sz w:val="22"/>
          <w:szCs w:val="22"/>
        </w:rPr>
        <w:t>y</w:t>
      </w:r>
      <w:r w:rsidRPr="009B78DA">
        <w:rPr>
          <w:rFonts w:ascii="Arial" w:hAnsi="Arial" w:cs="Arial"/>
          <w:i w:val="0"/>
          <w:color w:val="000000" w:themeColor="text1"/>
          <w:sz w:val="22"/>
          <w:szCs w:val="22"/>
        </w:rPr>
        <w:t xml:space="preserve"> Model Transportow</w:t>
      </w:r>
      <w:r w:rsidR="00320831" w:rsidRPr="009B78DA">
        <w:rPr>
          <w:rFonts w:ascii="Arial" w:hAnsi="Arial" w:cs="Arial"/>
          <w:i w:val="0"/>
          <w:color w:val="000000" w:themeColor="text1"/>
          <w:sz w:val="22"/>
          <w:szCs w:val="22"/>
        </w:rPr>
        <w:t>y</w:t>
      </w:r>
      <w:r w:rsidRPr="009B78DA">
        <w:rPr>
          <w:rFonts w:ascii="Arial" w:hAnsi="Arial" w:cs="Arial"/>
          <w:i w:val="0"/>
          <w:color w:val="000000" w:themeColor="text1"/>
          <w:sz w:val="22"/>
          <w:szCs w:val="22"/>
        </w:rPr>
        <w:t xml:space="preserve"> (KMT). Wykorzystanie modelu CUPT jest zgodne</w:t>
      </w:r>
      <w:r w:rsidR="00A97F43"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z wytycznymi J</w:t>
      </w:r>
      <w:r w:rsidR="007F19D6" w:rsidRPr="009B78DA">
        <w:rPr>
          <w:rFonts w:ascii="Arial" w:hAnsi="Arial" w:cs="Arial"/>
          <w:i w:val="0"/>
          <w:color w:val="000000" w:themeColor="text1"/>
          <w:sz w:val="22"/>
          <w:szCs w:val="22"/>
        </w:rPr>
        <w:t>ASPERS</w:t>
      </w:r>
      <w:r w:rsidR="0007791F">
        <w:rPr>
          <w:rFonts w:ascii="Arial" w:hAnsi="Arial" w:cs="Arial"/>
          <w:i w:val="0"/>
          <w:color w:val="000000" w:themeColor="text1"/>
          <w:sz w:val="22"/>
          <w:szCs w:val="22"/>
        </w:rPr>
        <w:t xml:space="preserve"> </w:t>
      </w:r>
      <w:r w:rsidR="0007791F">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z kwietnia 2020 roku w zakresie sporządzania regionalnych planów transportowych. </w:t>
      </w:r>
      <w:r w:rsidR="00814268" w:rsidRPr="009B78DA">
        <w:rPr>
          <w:rFonts w:ascii="Arial" w:hAnsi="Arial" w:cs="Arial"/>
          <w:i w:val="0"/>
          <w:color w:val="000000" w:themeColor="text1"/>
          <w:sz w:val="22"/>
          <w:szCs w:val="22"/>
        </w:rPr>
        <w:t xml:space="preserve">Na moment opracowania </w:t>
      </w:r>
      <w:r w:rsidR="00F370BF" w:rsidRPr="009B78DA">
        <w:rPr>
          <w:rFonts w:ascii="Arial" w:hAnsi="Arial" w:cs="Arial"/>
          <w:i w:val="0"/>
          <w:color w:val="000000" w:themeColor="text1"/>
          <w:sz w:val="22"/>
          <w:szCs w:val="22"/>
        </w:rPr>
        <w:t xml:space="preserve">pierwotnej wersji </w:t>
      </w:r>
      <w:r w:rsidR="00814268" w:rsidRPr="009B78DA">
        <w:rPr>
          <w:rFonts w:ascii="Arial" w:hAnsi="Arial" w:cs="Arial"/>
          <w:i w:val="0"/>
          <w:color w:val="000000" w:themeColor="text1"/>
          <w:sz w:val="22"/>
          <w:szCs w:val="22"/>
        </w:rPr>
        <w:t xml:space="preserve">dokumentu </w:t>
      </w:r>
      <w:r w:rsidRPr="009B78DA">
        <w:rPr>
          <w:rFonts w:ascii="Arial" w:hAnsi="Arial" w:cs="Arial"/>
          <w:i w:val="0"/>
          <w:color w:val="000000" w:themeColor="text1"/>
          <w:sz w:val="22"/>
          <w:szCs w:val="22"/>
        </w:rPr>
        <w:t>(jesień 2021) model</w:t>
      </w:r>
      <w:r w:rsidR="00CA4F57" w:rsidRPr="009B78DA">
        <w:rPr>
          <w:rFonts w:ascii="Arial" w:hAnsi="Arial" w:cs="Arial"/>
          <w:i w:val="0"/>
          <w:color w:val="000000" w:themeColor="text1"/>
          <w:sz w:val="22"/>
          <w:szCs w:val="22"/>
        </w:rPr>
        <w:t xml:space="preserve"> był</w:t>
      </w:r>
      <w:r w:rsidRPr="009B78DA">
        <w:rPr>
          <w:rFonts w:ascii="Arial" w:hAnsi="Arial" w:cs="Arial"/>
          <w:i w:val="0"/>
          <w:color w:val="000000" w:themeColor="text1"/>
          <w:sz w:val="22"/>
          <w:szCs w:val="22"/>
        </w:rPr>
        <w:t xml:space="preserve"> </w:t>
      </w:r>
      <w:r w:rsidR="00CA4F57" w:rsidRPr="009B78DA">
        <w:rPr>
          <w:rFonts w:ascii="Arial" w:hAnsi="Arial" w:cs="Arial"/>
          <w:i w:val="0"/>
          <w:color w:val="000000" w:themeColor="text1"/>
          <w:sz w:val="22"/>
          <w:szCs w:val="22"/>
        </w:rPr>
        <w:t>przygotowany</w:t>
      </w:r>
      <w:r w:rsidRPr="009B78DA">
        <w:rPr>
          <w:rFonts w:ascii="Arial" w:hAnsi="Arial" w:cs="Arial"/>
          <w:i w:val="0"/>
          <w:color w:val="000000" w:themeColor="text1"/>
          <w:sz w:val="22"/>
          <w:szCs w:val="22"/>
        </w:rPr>
        <w:t xml:space="preserve"> jako baza dla oceny projektów krajowych. </w:t>
      </w:r>
      <w:r w:rsidR="008E78DF" w:rsidRPr="009B78DA">
        <w:rPr>
          <w:rFonts w:ascii="Arial" w:hAnsi="Arial" w:cs="Arial"/>
          <w:i w:val="0"/>
          <w:color w:val="000000" w:themeColor="text1"/>
          <w:sz w:val="22"/>
          <w:szCs w:val="22"/>
        </w:rPr>
        <w:t xml:space="preserve">Zaznaczono, że jego </w:t>
      </w:r>
      <w:r w:rsidRPr="009B78DA">
        <w:rPr>
          <w:rFonts w:ascii="Arial" w:hAnsi="Arial" w:cs="Arial"/>
          <w:i w:val="0"/>
          <w:color w:val="000000" w:themeColor="text1"/>
          <w:sz w:val="22"/>
          <w:szCs w:val="22"/>
        </w:rPr>
        <w:t xml:space="preserve">pełna funkcjonalność </w:t>
      </w:r>
      <w:r w:rsidR="0007791F">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w układach regionalnych możliwa będzie po ewentualnym uszczegółowieniu. Mimo to już </w:t>
      </w:r>
      <w:r w:rsidR="008E78DF" w:rsidRPr="009B78DA">
        <w:rPr>
          <w:rFonts w:ascii="Arial" w:hAnsi="Arial" w:cs="Arial"/>
          <w:i w:val="0"/>
          <w:color w:val="000000" w:themeColor="text1"/>
          <w:sz w:val="22"/>
          <w:szCs w:val="22"/>
        </w:rPr>
        <w:t>wówczas było</w:t>
      </w:r>
      <w:r w:rsidRPr="009B78DA">
        <w:rPr>
          <w:rFonts w:ascii="Arial" w:hAnsi="Arial" w:cs="Arial"/>
          <w:i w:val="0"/>
          <w:color w:val="000000" w:themeColor="text1"/>
          <w:sz w:val="22"/>
          <w:szCs w:val="22"/>
        </w:rPr>
        <w:t xml:space="preserve"> możliwe analizowanie przygotowanej więźby ruchu oraz jego modelowego rozkładu na sieciach transportowych. Jak już wspomniano, </w:t>
      </w:r>
      <w:r w:rsidR="00320831" w:rsidRPr="009B78DA">
        <w:rPr>
          <w:rFonts w:ascii="Arial" w:hAnsi="Arial" w:cs="Arial"/>
          <w:i w:val="0"/>
          <w:color w:val="000000" w:themeColor="text1"/>
          <w:sz w:val="22"/>
          <w:szCs w:val="22"/>
        </w:rPr>
        <w:t xml:space="preserve">początkowo </w:t>
      </w:r>
      <w:r w:rsidRPr="009B78DA">
        <w:rPr>
          <w:rFonts w:ascii="Arial" w:hAnsi="Arial" w:cs="Arial"/>
          <w:i w:val="0"/>
          <w:color w:val="000000" w:themeColor="text1"/>
          <w:sz w:val="22"/>
          <w:szCs w:val="22"/>
        </w:rPr>
        <w:t>model opracowany został dla roku 2019</w:t>
      </w:r>
      <w:r w:rsidR="00320831" w:rsidRPr="009B78DA">
        <w:rPr>
          <w:rFonts w:ascii="Arial" w:hAnsi="Arial" w:cs="Arial"/>
          <w:i w:val="0"/>
          <w:color w:val="000000" w:themeColor="text1"/>
          <w:sz w:val="22"/>
          <w:szCs w:val="22"/>
        </w:rPr>
        <w:t>, a d</w:t>
      </w:r>
      <w:r w:rsidRPr="009B78DA">
        <w:rPr>
          <w:rFonts w:ascii="Arial" w:hAnsi="Arial" w:cs="Arial"/>
          <w:i w:val="0"/>
          <w:color w:val="000000" w:themeColor="text1"/>
          <w:sz w:val="22"/>
          <w:szCs w:val="22"/>
        </w:rPr>
        <w:t xml:space="preserve">ocelowo </w:t>
      </w:r>
      <w:r w:rsidR="00094EED" w:rsidRPr="009B78DA">
        <w:rPr>
          <w:rFonts w:ascii="Arial" w:hAnsi="Arial" w:cs="Arial"/>
          <w:i w:val="0"/>
          <w:color w:val="000000" w:themeColor="text1"/>
          <w:sz w:val="22"/>
          <w:szCs w:val="22"/>
        </w:rPr>
        <w:t xml:space="preserve">ma </w:t>
      </w:r>
      <w:r w:rsidRPr="009B78DA">
        <w:rPr>
          <w:rFonts w:ascii="Arial" w:hAnsi="Arial" w:cs="Arial"/>
          <w:i w:val="0"/>
          <w:color w:val="000000" w:themeColor="text1"/>
          <w:sz w:val="22"/>
          <w:szCs w:val="22"/>
        </w:rPr>
        <w:t xml:space="preserve">jednak służyć prognozowaniu rozkładów ruchu (do roku 2050) w oparciu o przewidywane zmiany zarówno społeczno-gospodarcze (np. prognozę demograficzną), jak też zmiany w układzie sieci (jej rozbudowę). Będzie to pozwalać na symulowanie rozkładów ruchu po ukończeniu konkretnych projektów. Umożliwi także ocenę przyszłych zmian, jakie wywołane będą np. wyludnianiem się określonych terytoriów. Część prognostyczna modelu nie </w:t>
      </w:r>
      <w:r w:rsidR="00094EED" w:rsidRPr="009B78DA">
        <w:rPr>
          <w:rFonts w:ascii="Arial" w:hAnsi="Arial" w:cs="Arial"/>
          <w:i w:val="0"/>
          <w:color w:val="000000" w:themeColor="text1"/>
          <w:sz w:val="22"/>
          <w:szCs w:val="22"/>
        </w:rPr>
        <w:t xml:space="preserve">była wówczas </w:t>
      </w:r>
      <w:r w:rsidRPr="009B78DA">
        <w:rPr>
          <w:rFonts w:ascii="Arial" w:hAnsi="Arial" w:cs="Arial"/>
          <w:i w:val="0"/>
          <w:color w:val="000000" w:themeColor="text1"/>
          <w:sz w:val="22"/>
          <w:szCs w:val="22"/>
        </w:rPr>
        <w:t>udostępniona</w:t>
      </w:r>
      <w:r w:rsidR="00094EED" w:rsidRPr="009B78DA">
        <w:rPr>
          <w:rFonts w:ascii="Arial" w:hAnsi="Arial" w:cs="Arial"/>
          <w:i w:val="0"/>
          <w:color w:val="000000" w:themeColor="text1"/>
          <w:sz w:val="22"/>
          <w:szCs w:val="22"/>
        </w:rPr>
        <w:t xml:space="preserve">, natomiast w pierwszej połowie 2022 r. </w:t>
      </w:r>
      <w:r w:rsidR="003705B9" w:rsidRPr="009B78DA">
        <w:rPr>
          <w:rFonts w:ascii="Arial" w:hAnsi="Arial" w:cs="Arial"/>
          <w:i w:val="0"/>
          <w:color w:val="000000" w:themeColor="text1"/>
          <w:sz w:val="22"/>
          <w:szCs w:val="22"/>
        </w:rPr>
        <w:t>uzyskano</w:t>
      </w:r>
      <w:r w:rsidR="00094EED" w:rsidRPr="009B78DA">
        <w:rPr>
          <w:rFonts w:ascii="Arial" w:hAnsi="Arial" w:cs="Arial"/>
          <w:i w:val="0"/>
          <w:color w:val="000000" w:themeColor="text1"/>
          <w:sz w:val="22"/>
          <w:szCs w:val="22"/>
        </w:rPr>
        <w:t xml:space="preserve"> z CUPT zaktualizowan</w:t>
      </w:r>
      <w:r w:rsidR="003705B9" w:rsidRPr="009B78DA">
        <w:rPr>
          <w:rFonts w:ascii="Arial" w:hAnsi="Arial" w:cs="Arial"/>
          <w:i w:val="0"/>
          <w:color w:val="000000" w:themeColor="text1"/>
          <w:sz w:val="22"/>
          <w:szCs w:val="22"/>
        </w:rPr>
        <w:t>y</w:t>
      </w:r>
      <w:r w:rsidR="00094EED" w:rsidRPr="009B78DA">
        <w:rPr>
          <w:rFonts w:ascii="Arial" w:hAnsi="Arial" w:cs="Arial"/>
          <w:i w:val="0"/>
          <w:color w:val="000000" w:themeColor="text1"/>
          <w:sz w:val="22"/>
          <w:szCs w:val="22"/>
        </w:rPr>
        <w:t xml:space="preserve"> model ZMR na rok 2019 oraz wariant prognostyczn</w:t>
      </w:r>
      <w:r w:rsidR="003705B9" w:rsidRPr="009B78DA">
        <w:rPr>
          <w:rFonts w:ascii="Arial" w:hAnsi="Arial" w:cs="Arial"/>
          <w:i w:val="0"/>
          <w:color w:val="000000" w:themeColor="text1"/>
          <w:sz w:val="22"/>
          <w:szCs w:val="22"/>
        </w:rPr>
        <w:t>y</w:t>
      </w:r>
      <w:r w:rsidR="00094EED" w:rsidRPr="009B78DA">
        <w:rPr>
          <w:rFonts w:ascii="Arial" w:hAnsi="Arial" w:cs="Arial"/>
          <w:i w:val="0"/>
          <w:color w:val="000000" w:themeColor="text1"/>
          <w:sz w:val="22"/>
          <w:szCs w:val="22"/>
        </w:rPr>
        <w:t xml:space="preserve"> BAU</w:t>
      </w:r>
      <w:r w:rsidR="00C0470A" w:rsidRPr="009B78DA">
        <w:rPr>
          <w:rFonts w:ascii="Arial" w:hAnsi="Arial" w:cs="Arial"/>
          <w:i w:val="0"/>
          <w:color w:val="000000" w:themeColor="text1"/>
          <w:sz w:val="22"/>
          <w:szCs w:val="22"/>
        </w:rPr>
        <w:t xml:space="preserve">2030 </w:t>
      </w:r>
      <w:r w:rsidR="00094EED" w:rsidRPr="009B78DA">
        <w:rPr>
          <w:rFonts w:ascii="Arial" w:hAnsi="Arial" w:cs="Arial"/>
          <w:i w:val="0"/>
          <w:color w:val="000000" w:themeColor="text1"/>
          <w:sz w:val="22"/>
          <w:szCs w:val="22"/>
        </w:rPr>
        <w:t>wraz</w:t>
      </w:r>
      <w:r w:rsidR="0007791F">
        <w:rPr>
          <w:rFonts w:ascii="Arial" w:hAnsi="Arial" w:cs="Arial"/>
          <w:i w:val="0"/>
          <w:color w:val="000000" w:themeColor="text1"/>
          <w:sz w:val="22"/>
          <w:szCs w:val="22"/>
        </w:rPr>
        <w:t xml:space="preserve"> </w:t>
      </w:r>
      <w:r w:rsidR="00094EED" w:rsidRPr="009B78DA">
        <w:rPr>
          <w:rFonts w:ascii="Arial" w:hAnsi="Arial" w:cs="Arial"/>
          <w:i w:val="0"/>
          <w:color w:val="000000" w:themeColor="text1"/>
          <w:sz w:val="22"/>
          <w:szCs w:val="22"/>
        </w:rPr>
        <w:t>z dokumentacją techniczną.</w:t>
      </w:r>
    </w:p>
    <w:p w14:paraId="4C6820C8" w14:textId="72E59E4E" w:rsidR="009D3598" w:rsidRPr="009B78DA" w:rsidRDefault="00F370BF" w:rsidP="0007791F">
      <w:pPr>
        <w:pStyle w:val="Legenda"/>
        <w:spacing w:after="0" w:line="264"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w:t>
      </w:r>
      <w:r w:rsidR="00320831" w:rsidRPr="009B78DA">
        <w:rPr>
          <w:rFonts w:ascii="Arial" w:hAnsi="Arial" w:cs="Arial"/>
          <w:i w:val="0"/>
          <w:color w:val="000000" w:themeColor="text1"/>
          <w:sz w:val="22"/>
          <w:szCs w:val="22"/>
        </w:rPr>
        <w:t xml:space="preserve"> maju 2023 r. CUPT udostępnił</w:t>
      </w:r>
      <w:r w:rsidR="00320831" w:rsidRPr="009B78DA">
        <w:rPr>
          <w:rFonts w:ascii="Arial" w:hAnsi="Arial" w:cs="Arial"/>
          <w:b/>
          <w:i w:val="0"/>
          <w:color w:val="000000" w:themeColor="text1"/>
          <w:sz w:val="22"/>
          <w:szCs w:val="22"/>
        </w:rPr>
        <w:t xml:space="preserve"> kolejną wersję ZMR (wersja 3.0), w której rokiem bazowym stał się rok 2022, a część prognostyczna została poszerzona o dalsze elementy, w tym zmiany w sieciach infrastruktury planowane na okres 2025-2030. Udostępnienie tej wersji pozwoliło na wykonanie szerszej aktualizacji dotychczasowej części analitycznej projektu PSRT WP do roku 2030 (wersja 2.0) </w:t>
      </w:r>
      <w:r w:rsidR="00320831" w:rsidRPr="009B78DA">
        <w:rPr>
          <w:rFonts w:ascii="Arial" w:hAnsi="Arial" w:cs="Arial"/>
          <w:i w:val="0"/>
          <w:color w:val="000000" w:themeColor="text1"/>
          <w:sz w:val="22"/>
          <w:szCs w:val="22"/>
        </w:rPr>
        <w:t>przyjętego uchwałą Zarządu Województwa Podkarpackiego nr 384/7632/22 z dnia 27 kwietnia 2022 r.</w:t>
      </w:r>
    </w:p>
    <w:p w14:paraId="0EC11004" w14:textId="6F5CF4A1" w:rsidR="00CC695A" w:rsidRPr="009B78DA" w:rsidRDefault="009D3598" w:rsidP="0007791F">
      <w:pPr>
        <w:pStyle w:val="Legenda"/>
        <w:spacing w:after="0" w:line="264"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Modelowanie transportu służy określaniu przyszłego natężenia ruchu w sieciach transportowych. Jest stosowane aby ograniczyć ryzyko braku informacji o szczegółowym popycie, a także aby symulować efekty określonych inwestycji i działań organ</w:t>
      </w:r>
      <w:r w:rsidR="0007791F">
        <w:rPr>
          <w:rFonts w:ascii="Arial" w:hAnsi="Arial" w:cs="Arial"/>
          <w:i w:val="0"/>
          <w:color w:val="000000" w:themeColor="text1"/>
          <w:sz w:val="22"/>
          <w:szCs w:val="22"/>
        </w:rPr>
        <w:t xml:space="preserve">izacyjnych </w:t>
      </w:r>
      <w:r w:rsidR="0007791F">
        <w:rPr>
          <w:rFonts w:ascii="Arial" w:hAnsi="Arial" w:cs="Arial"/>
          <w:i w:val="0"/>
          <w:color w:val="000000" w:themeColor="text1"/>
          <w:sz w:val="22"/>
          <w:szCs w:val="22"/>
        </w:rPr>
        <w:br/>
      </w:r>
      <w:r w:rsidRPr="009B78DA">
        <w:rPr>
          <w:rFonts w:ascii="Arial" w:hAnsi="Arial" w:cs="Arial"/>
          <w:i w:val="0"/>
          <w:color w:val="000000" w:themeColor="text1"/>
          <w:sz w:val="22"/>
          <w:szCs w:val="22"/>
        </w:rPr>
        <w:t>w sposób porównywalny. Modele mogą jednak dawać bardzo różne wyniki zależnie od jakości i precyzji wykorzystywanych danych zarówno społeczno-gospodarczych, jak też infrastrukturalnych. Rezultaty modelowania są też wrażliwe na przyjęte założenia. Stąd ważna jest ich weryfikacja względem informacji obserwowanych oraz możliwie częs</w:t>
      </w:r>
      <w:r w:rsidR="0007791F">
        <w:rPr>
          <w:rFonts w:ascii="Arial" w:hAnsi="Arial" w:cs="Arial"/>
          <w:i w:val="0"/>
          <w:color w:val="000000" w:themeColor="text1"/>
          <w:sz w:val="22"/>
          <w:szCs w:val="22"/>
        </w:rPr>
        <w:t xml:space="preserve">ta aktualizacja </w:t>
      </w:r>
      <w:r w:rsidRPr="009B78DA">
        <w:rPr>
          <w:rFonts w:ascii="Arial" w:hAnsi="Arial" w:cs="Arial"/>
          <w:i w:val="0"/>
          <w:color w:val="000000" w:themeColor="text1"/>
          <w:sz w:val="22"/>
          <w:szCs w:val="22"/>
        </w:rPr>
        <w:t xml:space="preserve">w miarę postępu procesu inwestycyjnego oraz po pojawieniu się nowych prognoz zwłaszcza demograficznych. Trzeba podkreślić, że podjęcie przez CUPT próby stworzenia jednego uniwersalnego modelu, było dużym postępem względem wcześniejszych krajowych prób modelowania ruchu. Pozwoliło na spójną metodycznie prognozę zmian </w:t>
      </w:r>
      <w:r w:rsidR="004B463F">
        <w:rPr>
          <w:rFonts w:ascii="Arial" w:hAnsi="Arial" w:cs="Arial"/>
          <w:i w:val="0"/>
          <w:color w:val="000000" w:themeColor="text1"/>
          <w:sz w:val="22"/>
          <w:szCs w:val="22"/>
        </w:rPr>
        <w:br/>
      </w:r>
      <w:r w:rsidRPr="009B78DA">
        <w:rPr>
          <w:rFonts w:ascii="Arial" w:hAnsi="Arial" w:cs="Arial"/>
          <w:i w:val="0"/>
          <w:color w:val="000000" w:themeColor="text1"/>
          <w:sz w:val="22"/>
          <w:szCs w:val="22"/>
        </w:rPr>
        <w:t>w rozkładzie ruchu do roku 2030, a w najnowszej wersji nawet do roku 2050.</w:t>
      </w:r>
    </w:p>
    <w:p w14:paraId="20D96FCE" w14:textId="5648CE01" w:rsidR="00130577" w:rsidRPr="009B78DA" w:rsidRDefault="009D3598" w:rsidP="0007791F">
      <w:pPr>
        <w:pStyle w:val="Legenda"/>
        <w:spacing w:after="0" w:line="264"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Model bazuje na relacjach pomiędzy 2554 rejonami komunikacyjnymi (wszystkie gminy oraz tzw. rejony kordonowe odpowiadające ruchowi zagranicznemu). Dla wszystkich regionów określono zmienne obrazujące ich potencjał ruchotwórczy (takie jak liczba ludności, miejsca pracy, miejsca w szkołach, poziom motoryzacji i inne). Model bierze pod uwagę kilka różnych bazowych motywacji podróży pasażerskich (Dom-Szkoła, Dom-Uczelnia, Dom-Inne, Nie związane z domem, Dom-Biznes, Biznesowe). Uwzględnia także trzy kategorie wiekowe uczestników ruchu (wiek przedprodukcyjny, produkcyjny, poprodukcyjny) oraz trzy typy gmin zamieszkania (miejska, wiejska, miejsko-wiejska). Dodatkowo brana jest pod uwagę  dostępność samochodu, a także tzw. koszt uogólniony podróży (czasu podróży, jego wartość monetarna oraz opłaty za korzystnie </w:t>
      </w:r>
      <w:r w:rsidR="0007791F">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z poszczególnych środków transportu. Model uwzględnia sieć drogową (drogi krajowe, wojewódzkie i niektóre inne, szczególnie w miastach), linie kolejowe, lotniska, drogi wodne </w:t>
      </w:r>
      <w:r w:rsidR="0007791F">
        <w:rPr>
          <w:rFonts w:ascii="Arial" w:hAnsi="Arial" w:cs="Arial"/>
          <w:i w:val="0"/>
          <w:color w:val="000000" w:themeColor="text1"/>
          <w:sz w:val="22"/>
          <w:szCs w:val="22"/>
        </w:rPr>
        <w:br/>
      </w:r>
      <w:r w:rsidRPr="009B78DA">
        <w:rPr>
          <w:rFonts w:ascii="Arial" w:hAnsi="Arial" w:cs="Arial"/>
          <w:i w:val="0"/>
          <w:color w:val="000000" w:themeColor="text1"/>
          <w:sz w:val="22"/>
          <w:szCs w:val="22"/>
        </w:rPr>
        <w:t>i układ transportu publicznego w skali krajowej, regionalnej i metropolitalnej. Obliczenia opierają się na algorytmach wyznaczających liczbę podróży, opracowujących macierz przemieszczeń, rozdzielających podróże na transport zbiorowy i indywidualny oraz rozkładających te macierze na sieć transportową. Jest to klasyczna sekwencja ujęcia czterostadiowego, pozwalająca na wyznaczenie liczby samochodów i pasażerów na poszczególnych odcinkach sieci.</w:t>
      </w:r>
    </w:p>
    <w:p w14:paraId="45A5687A" w14:textId="77777777" w:rsidR="00130577" w:rsidRPr="009B78DA" w:rsidRDefault="009D3598" w:rsidP="0007791F">
      <w:pPr>
        <w:pStyle w:val="Legenda"/>
        <w:spacing w:after="0" w:line="264"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Wartość dodaną wykorzystania najnowszej wersji ZMR (3.0) w pracach nad PSRT WP do roku 2030, względem wykorzystanej analizy popytowej, tworzą:</w:t>
      </w:r>
    </w:p>
    <w:p w14:paraId="4D2725AB" w14:textId="77777777" w:rsidR="00130577" w:rsidRPr="009B78DA" w:rsidRDefault="009D3598" w:rsidP="0007791F">
      <w:pPr>
        <w:pStyle w:val="Legenda"/>
        <w:numPr>
          <w:ilvl w:val="0"/>
          <w:numId w:val="64"/>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możliwość prognozowania ruchu pasażerskiego w podziale na transport indywidualny i zbiorowy;</w:t>
      </w:r>
    </w:p>
    <w:p w14:paraId="14912CB0" w14:textId="77777777" w:rsidR="00130577" w:rsidRPr="009B78DA" w:rsidRDefault="009D3598" w:rsidP="0007791F">
      <w:pPr>
        <w:pStyle w:val="Legenda"/>
        <w:numPr>
          <w:ilvl w:val="0"/>
          <w:numId w:val="64"/>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możliwość prognozowania ruchu pasażerskiego w poddziale na podstawowe motywacje;</w:t>
      </w:r>
    </w:p>
    <w:p w14:paraId="79F2A53B" w14:textId="34C3133A" w:rsidR="00130577" w:rsidRPr="009B78DA" w:rsidRDefault="009D3598" w:rsidP="0007791F">
      <w:pPr>
        <w:pStyle w:val="Legenda"/>
        <w:numPr>
          <w:ilvl w:val="0"/>
          <w:numId w:val="64"/>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możliwość oceny zmian ruchu wywołanych przez duże inwestycje centralne planowane do realizacji do roku 2030, jako punktu odniesienia do działań podejmowanych w tym okresie na poziomie regionu.</w:t>
      </w:r>
    </w:p>
    <w:p w14:paraId="1544ACE8" w14:textId="267EC290" w:rsidR="00CC695A" w:rsidRPr="009B78DA" w:rsidRDefault="00CC695A" w:rsidP="0007791F">
      <w:pPr>
        <w:rPr>
          <w:rFonts w:ascii="Arial" w:hAnsi="Arial" w:cs="Arial"/>
          <w:color w:val="000000" w:themeColor="text1"/>
          <w:sz w:val="22"/>
          <w:szCs w:val="22"/>
        </w:rPr>
      </w:pPr>
      <w:r w:rsidRPr="009B78DA">
        <w:rPr>
          <w:rFonts w:ascii="Arial" w:hAnsi="Arial" w:cs="Arial"/>
          <w:color w:val="000000" w:themeColor="text1"/>
          <w:sz w:val="22"/>
          <w:szCs w:val="22"/>
        </w:rPr>
        <w:tab/>
      </w:r>
      <w:r w:rsidRPr="009B78DA">
        <w:rPr>
          <w:rFonts w:ascii="Arial" w:hAnsi="Arial" w:cs="Arial"/>
          <w:color w:val="000000" w:themeColor="text1"/>
          <w:sz w:val="22"/>
          <w:szCs w:val="22"/>
        </w:rPr>
        <w:tab/>
        <w:t>P</w:t>
      </w:r>
      <w:r w:rsidR="00130577" w:rsidRPr="009B78DA">
        <w:rPr>
          <w:rFonts w:ascii="Arial" w:hAnsi="Arial" w:cs="Arial"/>
          <w:color w:val="000000" w:themeColor="text1"/>
          <w:sz w:val="22"/>
          <w:szCs w:val="22"/>
        </w:rPr>
        <w:t xml:space="preserve">rognozy ruchu </w:t>
      </w:r>
      <w:r w:rsidRPr="009B78DA">
        <w:rPr>
          <w:rFonts w:ascii="Arial" w:hAnsi="Arial" w:cs="Arial"/>
          <w:color w:val="000000" w:themeColor="text1"/>
          <w:sz w:val="22"/>
          <w:szCs w:val="22"/>
        </w:rPr>
        <w:t>przygotowywane</w:t>
      </w:r>
      <w:r w:rsidR="0013057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wcześniej </w:t>
      </w:r>
      <w:r w:rsidR="00130577" w:rsidRPr="009B78DA">
        <w:rPr>
          <w:rFonts w:ascii="Arial" w:hAnsi="Arial" w:cs="Arial"/>
          <w:color w:val="000000" w:themeColor="text1"/>
          <w:sz w:val="22"/>
          <w:szCs w:val="22"/>
        </w:rPr>
        <w:t xml:space="preserve">były wykonane w oparciu o ówczesny Bazowy Model 2019 </w:t>
      </w:r>
      <w:r w:rsidR="009D3598" w:rsidRPr="009B78DA">
        <w:rPr>
          <w:rFonts w:ascii="Arial" w:hAnsi="Arial" w:cs="Arial"/>
          <w:color w:val="000000" w:themeColor="text1"/>
          <w:sz w:val="22"/>
          <w:szCs w:val="22"/>
        </w:rPr>
        <w:t xml:space="preserve">oraz o tzw. wariant prognostyczny BAU2030. Wariant prognostyczny BAU2030 w wersji 2.0 zawierał jedynie elementy infrastruktury planowane do realizacji do roku 2025, a dodatkowo zmienne objaśniające na rok 2030. W pewnym sensie odnosił się on do sytuacji wirtualnej, w której uwzględniano zaistniałe w roku 2030 zmiany społeczno-demograficzne i gospodarcze, a nie brano pod uwagę nowych inwestycji zrealizowanych po roku 2025 (zakładano, że dalsze inwestycje nie następują). W konsekwencji model ten mógł pełnić jedynie rolę referencyjną. </w:t>
      </w:r>
      <w:r w:rsidR="009D3598" w:rsidRPr="009B78DA">
        <w:rPr>
          <w:rFonts w:ascii="Arial" w:hAnsi="Arial" w:cs="Arial"/>
          <w:b/>
          <w:color w:val="000000" w:themeColor="text1"/>
          <w:sz w:val="22"/>
          <w:szCs w:val="22"/>
        </w:rPr>
        <w:t>W tym sensie model ZMR (wersja 3.0) jest narzędziem dużo bardziej uniwersalnym. Pozwala na rzeczywiste modelowanie ruchu</w:t>
      </w:r>
      <w:r w:rsidR="0007791F">
        <w:rPr>
          <w:rFonts w:ascii="Arial" w:hAnsi="Arial" w:cs="Arial"/>
          <w:b/>
          <w:color w:val="000000" w:themeColor="text1"/>
          <w:sz w:val="22"/>
          <w:szCs w:val="22"/>
        </w:rPr>
        <w:t xml:space="preserve"> </w:t>
      </w:r>
      <w:r w:rsidR="0007791F">
        <w:rPr>
          <w:rFonts w:ascii="Arial" w:hAnsi="Arial" w:cs="Arial"/>
          <w:b/>
          <w:color w:val="000000" w:themeColor="text1"/>
          <w:sz w:val="22"/>
          <w:szCs w:val="22"/>
        </w:rPr>
        <w:br/>
      </w:r>
      <w:r w:rsidR="009D3598" w:rsidRPr="009B78DA">
        <w:rPr>
          <w:rFonts w:ascii="Arial" w:hAnsi="Arial" w:cs="Arial"/>
          <w:b/>
          <w:color w:val="000000" w:themeColor="text1"/>
          <w:sz w:val="22"/>
          <w:szCs w:val="22"/>
        </w:rPr>
        <w:t>w perspektywie roku 2030 z uwzględnieniem zarówno prognozowanej sytuacji demograficznej, jak i przewidywanego stanu infrastruktury transportowej.</w:t>
      </w:r>
      <w:r w:rsidR="009D3598" w:rsidRPr="009B78DA">
        <w:rPr>
          <w:rFonts w:ascii="Arial" w:hAnsi="Arial" w:cs="Arial"/>
          <w:color w:val="000000" w:themeColor="text1"/>
          <w:sz w:val="22"/>
          <w:szCs w:val="22"/>
        </w:rPr>
        <w:t xml:space="preserve"> Może być tym samym podstawą do dalszych symulacji, a także do oceny kosztów-korzyści poszczególnych działań inwestycyjnych.</w:t>
      </w:r>
    </w:p>
    <w:p w14:paraId="76CD5D62" w14:textId="2DC911C1" w:rsidR="00CC695A" w:rsidRPr="009B78DA" w:rsidRDefault="009D3598" w:rsidP="0007791F">
      <w:pPr>
        <w:ind w:firstLine="567"/>
        <w:rPr>
          <w:rFonts w:ascii="Arial" w:hAnsi="Arial" w:cs="Arial"/>
          <w:color w:val="000000" w:themeColor="text1"/>
          <w:sz w:val="22"/>
          <w:szCs w:val="22"/>
        </w:rPr>
      </w:pPr>
      <w:r w:rsidRPr="009B78DA">
        <w:rPr>
          <w:rFonts w:ascii="Arial" w:hAnsi="Arial" w:cs="Arial"/>
          <w:color w:val="000000" w:themeColor="text1"/>
          <w:sz w:val="22"/>
          <w:szCs w:val="22"/>
        </w:rPr>
        <w:t>Zgodnie z informacjami CUPT (www.cupt.gov.pl) względem poprzedniej wersji najważniejsze zmiany stanowią:</w:t>
      </w:r>
    </w:p>
    <w:p w14:paraId="639578FD" w14:textId="77777777" w:rsidR="00CC695A" w:rsidRPr="009B78DA" w:rsidRDefault="009D3598" w:rsidP="0007791F">
      <w:pPr>
        <w:pStyle w:val="Akapitzlist"/>
        <w:numPr>
          <w:ilvl w:val="0"/>
          <w:numId w:val="64"/>
        </w:numPr>
        <w:rPr>
          <w:rFonts w:ascii="Arial" w:hAnsi="Arial" w:cs="Arial"/>
          <w:color w:val="000000" w:themeColor="text1"/>
          <w:sz w:val="22"/>
          <w:szCs w:val="22"/>
        </w:rPr>
      </w:pPr>
      <w:r w:rsidRPr="009B78DA">
        <w:rPr>
          <w:rFonts w:ascii="Arial" w:hAnsi="Arial" w:cs="Arial"/>
          <w:color w:val="000000" w:themeColor="text1"/>
          <w:sz w:val="22"/>
          <w:szCs w:val="22"/>
        </w:rPr>
        <w:t>nowa systematyka i parametryzacja typów odcinków (wykorzystanie Big Data);</w:t>
      </w:r>
    </w:p>
    <w:p w14:paraId="29F06E99" w14:textId="02688E27" w:rsidR="00CC695A" w:rsidRPr="009B78DA" w:rsidRDefault="009D3598" w:rsidP="0007791F">
      <w:pPr>
        <w:pStyle w:val="Akapitzlist"/>
        <w:numPr>
          <w:ilvl w:val="0"/>
          <w:numId w:val="64"/>
        </w:numPr>
        <w:rPr>
          <w:rFonts w:ascii="Arial" w:hAnsi="Arial" w:cs="Arial"/>
          <w:color w:val="000000" w:themeColor="text1"/>
          <w:sz w:val="22"/>
          <w:szCs w:val="22"/>
        </w:rPr>
      </w:pPr>
      <w:r w:rsidRPr="009B78DA">
        <w:rPr>
          <w:rFonts w:ascii="Arial" w:hAnsi="Arial" w:cs="Arial"/>
          <w:color w:val="000000" w:themeColor="text1"/>
          <w:sz w:val="22"/>
          <w:szCs w:val="22"/>
        </w:rPr>
        <w:t>zaktualizowana sieć bazowa drogowa wg stanu na rok 2022 (drogi krajowe</w:t>
      </w:r>
      <w:r w:rsidR="0007791F">
        <w:rPr>
          <w:rFonts w:ascii="Arial" w:hAnsi="Arial" w:cs="Arial"/>
          <w:color w:val="000000" w:themeColor="text1"/>
          <w:sz w:val="22"/>
          <w:szCs w:val="22"/>
        </w:rPr>
        <w:t xml:space="preserve"> </w:t>
      </w:r>
      <w:r w:rsidR="0007791F">
        <w:rPr>
          <w:rFonts w:ascii="Arial" w:hAnsi="Arial" w:cs="Arial"/>
          <w:color w:val="000000" w:themeColor="text1"/>
          <w:sz w:val="22"/>
          <w:szCs w:val="22"/>
        </w:rPr>
        <w:br/>
      </w:r>
      <w:r w:rsidRPr="009B78DA">
        <w:rPr>
          <w:rFonts w:ascii="Arial" w:hAnsi="Arial" w:cs="Arial"/>
          <w:color w:val="000000" w:themeColor="text1"/>
          <w:sz w:val="22"/>
          <w:szCs w:val="22"/>
        </w:rPr>
        <w:t>i wojewódzkie);</w:t>
      </w:r>
    </w:p>
    <w:p w14:paraId="040D8A2C" w14:textId="77777777" w:rsidR="00CC695A" w:rsidRPr="009B78DA" w:rsidRDefault="009D3598" w:rsidP="0007791F">
      <w:pPr>
        <w:pStyle w:val="Akapitzlist"/>
        <w:numPr>
          <w:ilvl w:val="0"/>
          <w:numId w:val="64"/>
        </w:numPr>
        <w:rPr>
          <w:rFonts w:ascii="Arial" w:hAnsi="Arial" w:cs="Arial"/>
          <w:color w:val="000000" w:themeColor="text1"/>
          <w:sz w:val="22"/>
          <w:szCs w:val="22"/>
        </w:rPr>
      </w:pPr>
      <w:r w:rsidRPr="009B78DA">
        <w:rPr>
          <w:rFonts w:ascii="Arial" w:hAnsi="Arial" w:cs="Arial"/>
          <w:color w:val="000000" w:themeColor="text1"/>
          <w:sz w:val="22"/>
          <w:szCs w:val="22"/>
        </w:rPr>
        <w:t>planowany rozwój sieci drogowej (aż do roku 2050);</w:t>
      </w:r>
    </w:p>
    <w:p w14:paraId="26233E99" w14:textId="77777777" w:rsidR="00CC695A" w:rsidRPr="009B78DA" w:rsidRDefault="009D3598" w:rsidP="0007791F">
      <w:pPr>
        <w:pStyle w:val="Akapitzlist"/>
        <w:numPr>
          <w:ilvl w:val="0"/>
          <w:numId w:val="64"/>
        </w:numPr>
        <w:rPr>
          <w:rFonts w:ascii="Arial" w:hAnsi="Arial" w:cs="Arial"/>
          <w:color w:val="000000" w:themeColor="text1"/>
          <w:sz w:val="22"/>
          <w:szCs w:val="22"/>
        </w:rPr>
      </w:pPr>
      <w:r w:rsidRPr="009B78DA">
        <w:rPr>
          <w:rFonts w:ascii="Arial" w:hAnsi="Arial" w:cs="Arial"/>
          <w:color w:val="000000" w:themeColor="text1"/>
          <w:sz w:val="22"/>
          <w:szCs w:val="22"/>
        </w:rPr>
        <w:t>zaktualizowany model bazowy kolejowy oparty o rozkład jazdy pociągów w 2022 r.;</w:t>
      </w:r>
    </w:p>
    <w:p w14:paraId="527D4EC6" w14:textId="77777777" w:rsidR="00CC695A" w:rsidRPr="009B78DA" w:rsidRDefault="009D3598" w:rsidP="0007791F">
      <w:pPr>
        <w:pStyle w:val="Akapitzlist"/>
        <w:numPr>
          <w:ilvl w:val="0"/>
          <w:numId w:val="64"/>
        </w:numPr>
        <w:rPr>
          <w:rFonts w:ascii="Arial" w:hAnsi="Arial" w:cs="Arial"/>
          <w:color w:val="000000" w:themeColor="text1"/>
          <w:sz w:val="22"/>
          <w:szCs w:val="22"/>
        </w:rPr>
      </w:pPr>
      <w:r w:rsidRPr="009B78DA">
        <w:rPr>
          <w:rFonts w:ascii="Arial" w:hAnsi="Arial" w:cs="Arial"/>
          <w:color w:val="000000" w:themeColor="text1"/>
          <w:sz w:val="22"/>
          <w:szCs w:val="22"/>
        </w:rPr>
        <w:t>zaktualizowana bazowa sieć kolejowa na rok 2022;</w:t>
      </w:r>
    </w:p>
    <w:p w14:paraId="16CBD3DC" w14:textId="35DA79FF" w:rsidR="00CC695A" w:rsidRPr="009B78DA" w:rsidRDefault="009D3598" w:rsidP="0007791F">
      <w:pPr>
        <w:pStyle w:val="Akapitzlist"/>
        <w:numPr>
          <w:ilvl w:val="0"/>
          <w:numId w:val="64"/>
        </w:numPr>
        <w:rPr>
          <w:rFonts w:ascii="Arial" w:hAnsi="Arial" w:cs="Arial"/>
          <w:color w:val="000000" w:themeColor="text1"/>
          <w:sz w:val="22"/>
          <w:szCs w:val="22"/>
        </w:rPr>
      </w:pPr>
      <w:r w:rsidRPr="009B78DA">
        <w:rPr>
          <w:rFonts w:ascii="Arial" w:hAnsi="Arial" w:cs="Arial"/>
          <w:color w:val="000000" w:themeColor="text1"/>
          <w:sz w:val="22"/>
          <w:szCs w:val="22"/>
        </w:rPr>
        <w:t>planowany rozwój sieci kolejowej (aż do roku 2050), w tym projekty planowane</w:t>
      </w:r>
      <w:r w:rsidR="0007791F">
        <w:rPr>
          <w:rFonts w:ascii="Arial" w:hAnsi="Arial" w:cs="Arial"/>
          <w:color w:val="000000" w:themeColor="text1"/>
          <w:sz w:val="22"/>
          <w:szCs w:val="22"/>
        </w:rPr>
        <w:t xml:space="preserve"> </w:t>
      </w:r>
      <w:r w:rsidR="0007791F">
        <w:rPr>
          <w:rFonts w:ascii="Arial" w:hAnsi="Arial" w:cs="Arial"/>
          <w:color w:val="000000" w:themeColor="text1"/>
          <w:sz w:val="22"/>
          <w:szCs w:val="22"/>
        </w:rPr>
        <w:br/>
      </w:r>
      <w:r w:rsidRPr="009B78DA">
        <w:rPr>
          <w:rFonts w:ascii="Arial" w:hAnsi="Arial" w:cs="Arial"/>
          <w:color w:val="000000" w:themeColor="text1"/>
          <w:sz w:val="22"/>
          <w:szCs w:val="22"/>
        </w:rPr>
        <w:t>w ramach programu Kolej+;</w:t>
      </w:r>
    </w:p>
    <w:p w14:paraId="2295BA65" w14:textId="77777777" w:rsidR="00CC695A" w:rsidRPr="009B78DA" w:rsidRDefault="009D3598" w:rsidP="0007791F">
      <w:pPr>
        <w:pStyle w:val="Akapitzlist"/>
        <w:numPr>
          <w:ilvl w:val="0"/>
          <w:numId w:val="64"/>
        </w:numPr>
        <w:rPr>
          <w:rFonts w:ascii="Arial" w:hAnsi="Arial" w:cs="Arial"/>
          <w:color w:val="000000" w:themeColor="text1"/>
          <w:sz w:val="22"/>
          <w:szCs w:val="22"/>
        </w:rPr>
      </w:pPr>
      <w:r w:rsidRPr="009B78DA">
        <w:rPr>
          <w:rFonts w:ascii="Arial" w:hAnsi="Arial" w:cs="Arial"/>
          <w:color w:val="000000" w:themeColor="text1"/>
          <w:sz w:val="22"/>
          <w:szCs w:val="22"/>
        </w:rPr>
        <w:t>planowana oferta przewozowa na lata 2030, 2040 i 2050;</w:t>
      </w:r>
    </w:p>
    <w:p w14:paraId="7A957B96" w14:textId="77777777" w:rsidR="00CC695A" w:rsidRPr="009B78DA" w:rsidRDefault="009D3598" w:rsidP="0007791F">
      <w:pPr>
        <w:pStyle w:val="Akapitzlist"/>
        <w:numPr>
          <w:ilvl w:val="0"/>
          <w:numId w:val="64"/>
        </w:numPr>
        <w:rPr>
          <w:rFonts w:ascii="Arial" w:hAnsi="Arial" w:cs="Arial"/>
          <w:color w:val="000000" w:themeColor="text1"/>
          <w:sz w:val="22"/>
          <w:szCs w:val="22"/>
        </w:rPr>
      </w:pPr>
      <w:r w:rsidRPr="009B78DA">
        <w:rPr>
          <w:rFonts w:ascii="Arial" w:hAnsi="Arial" w:cs="Arial"/>
          <w:color w:val="000000" w:themeColor="text1"/>
          <w:sz w:val="22"/>
          <w:szCs w:val="22"/>
        </w:rPr>
        <w:t>korekty w trasach autobusowych;</w:t>
      </w:r>
    </w:p>
    <w:p w14:paraId="7227428C" w14:textId="09BE43F3" w:rsidR="009D3598" w:rsidRPr="009B78DA" w:rsidRDefault="009D3598" w:rsidP="0007791F">
      <w:pPr>
        <w:pStyle w:val="Akapitzlist"/>
        <w:numPr>
          <w:ilvl w:val="0"/>
          <w:numId w:val="64"/>
        </w:numPr>
        <w:rPr>
          <w:rFonts w:ascii="Arial" w:hAnsi="Arial" w:cs="Arial"/>
          <w:color w:val="000000" w:themeColor="text1"/>
          <w:sz w:val="22"/>
          <w:szCs w:val="22"/>
        </w:rPr>
      </w:pPr>
      <w:r w:rsidRPr="009B78DA">
        <w:rPr>
          <w:rFonts w:ascii="Arial" w:hAnsi="Arial" w:cs="Arial"/>
          <w:color w:val="000000" w:themeColor="text1"/>
          <w:sz w:val="22"/>
          <w:szCs w:val="22"/>
        </w:rPr>
        <w:t xml:space="preserve">aktualizacja prognozy zmiennych objaśniających (społeczno-demograficznych), </w:t>
      </w:r>
      <w:r w:rsidR="0007791F">
        <w:rPr>
          <w:rFonts w:ascii="Arial" w:hAnsi="Arial" w:cs="Arial"/>
          <w:color w:val="000000" w:themeColor="text1"/>
          <w:sz w:val="22"/>
          <w:szCs w:val="22"/>
        </w:rPr>
        <w:br/>
      </w:r>
      <w:r w:rsidRPr="009B78DA">
        <w:rPr>
          <w:rFonts w:ascii="Arial" w:hAnsi="Arial" w:cs="Arial"/>
          <w:color w:val="000000" w:themeColor="text1"/>
          <w:sz w:val="22"/>
          <w:szCs w:val="22"/>
        </w:rPr>
        <w:t>w tym szczególnie uwzględnienie danych wynikających z Narodowego Spisu Ludności</w:t>
      </w:r>
      <w:r w:rsidR="0007791F">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i Mieszkań 2021 (NSP 2021), a także napływ migrantów (uchodźcy </w:t>
      </w:r>
      <w:r w:rsidR="0007791F">
        <w:rPr>
          <w:rFonts w:ascii="Arial" w:hAnsi="Arial" w:cs="Arial"/>
          <w:color w:val="000000" w:themeColor="text1"/>
          <w:sz w:val="22"/>
          <w:szCs w:val="22"/>
        </w:rPr>
        <w:br/>
      </w:r>
      <w:r w:rsidRPr="009B78DA">
        <w:rPr>
          <w:rFonts w:ascii="Arial" w:hAnsi="Arial" w:cs="Arial"/>
          <w:color w:val="000000" w:themeColor="text1"/>
          <w:sz w:val="22"/>
          <w:szCs w:val="22"/>
        </w:rPr>
        <w:t>z Ukrainy).</w:t>
      </w:r>
    </w:p>
    <w:p w14:paraId="608B5D58" w14:textId="77777777" w:rsidR="000A4921" w:rsidRPr="009B78DA" w:rsidRDefault="009D3598" w:rsidP="0007791F">
      <w:pPr>
        <w:pStyle w:val="Legenda"/>
        <w:spacing w:after="0" w:line="264"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Wymienione elementy mogą w znaczącym stopniu zmienić prognozowane rozkłady ruchu, jakie były</w:t>
      </w:r>
      <w:r w:rsidR="000A4921" w:rsidRPr="009B78DA">
        <w:rPr>
          <w:rFonts w:ascii="Arial" w:hAnsi="Arial" w:cs="Arial"/>
          <w:i w:val="0"/>
          <w:color w:val="000000" w:themeColor="text1"/>
          <w:sz w:val="22"/>
          <w:szCs w:val="22"/>
        </w:rPr>
        <w:t>by rezultatami prac</w:t>
      </w:r>
      <w:r w:rsidRPr="009B78DA">
        <w:rPr>
          <w:rFonts w:ascii="Arial" w:hAnsi="Arial" w:cs="Arial"/>
          <w:i w:val="0"/>
          <w:color w:val="000000" w:themeColor="text1"/>
          <w:sz w:val="22"/>
          <w:szCs w:val="22"/>
        </w:rPr>
        <w:t xml:space="preserve"> na podstawie wcześniejszej wersji ZMR 2.0. Dotyczy to zarówno intensywności przepływów między jednostkami (więźba ruchu silnie zależna od potencjałów demograficznych), jak też rozkładu tego ruchu na sieci, uwarunkowanego rozwojem infrastruktury oraz ofertą przewozową w transporcie zbiorowym. W warunkach województwa podkarpackiego szczególne znaczenie w kontekście prognozowanych rozkładów ruchu mają następujące nowe inwestycje, których istnienie założono w modelu:</w:t>
      </w:r>
    </w:p>
    <w:p w14:paraId="3C36AD11" w14:textId="0BEC127B" w:rsidR="000A4921" w:rsidRPr="009B78DA" w:rsidRDefault="009D3598" w:rsidP="0007791F">
      <w:pPr>
        <w:pStyle w:val="Legenda"/>
        <w:numPr>
          <w:ilvl w:val="0"/>
          <w:numId w:val="306"/>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droga ekspresowa S19 na całej przewidywanej długości (od Barwinka do Rzeszowa</w:t>
      </w:r>
      <w:r w:rsidR="00C37D01">
        <w:rPr>
          <w:rFonts w:ascii="Arial" w:hAnsi="Arial" w:cs="Arial"/>
          <w:i w:val="0"/>
          <w:color w:val="000000" w:themeColor="text1"/>
          <w:sz w:val="22"/>
          <w:szCs w:val="22"/>
        </w:rPr>
        <w:t>)</w:t>
      </w:r>
      <w:r w:rsidRPr="009B78DA">
        <w:rPr>
          <w:rFonts w:ascii="Arial" w:hAnsi="Arial" w:cs="Arial"/>
          <w:i w:val="0"/>
          <w:color w:val="000000" w:themeColor="text1"/>
          <w:sz w:val="22"/>
          <w:szCs w:val="22"/>
        </w:rPr>
        <w:t xml:space="preserve">, a także brakujące fragmenty </w:t>
      </w:r>
      <w:r w:rsidR="0007791F">
        <w:rPr>
          <w:rFonts w:ascii="Arial" w:hAnsi="Arial" w:cs="Arial"/>
          <w:i w:val="0"/>
          <w:color w:val="000000" w:themeColor="text1"/>
          <w:sz w:val="22"/>
          <w:szCs w:val="22"/>
        </w:rPr>
        <w:t xml:space="preserve">drugiej jezdni między Rzeszowem </w:t>
      </w:r>
      <w:r w:rsidR="0007791F">
        <w:rPr>
          <w:rFonts w:ascii="Arial" w:hAnsi="Arial" w:cs="Arial"/>
          <w:i w:val="0"/>
          <w:color w:val="000000" w:themeColor="text1"/>
          <w:sz w:val="22"/>
          <w:szCs w:val="22"/>
        </w:rPr>
        <w:br/>
      </w:r>
      <w:r w:rsidRPr="009B78DA">
        <w:rPr>
          <w:rFonts w:ascii="Arial" w:hAnsi="Arial" w:cs="Arial"/>
          <w:i w:val="0"/>
          <w:color w:val="000000" w:themeColor="text1"/>
          <w:sz w:val="22"/>
          <w:szCs w:val="22"/>
        </w:rPr>
        <w:t>a Sokołowem Małopolskim;</w:t>
      </w:r>
    </w:p>
    <w:p w14:paraId="71EAFB60" w14:textId="77777777" w:rsidR="000A4921" w:rsidRPr="009B78DA" w:rsidRDefault="009D3598" w:rsidP="0007791F">
      <w:pPr>
        <w:pStyle w:val="Legenda"/>
        <w:numPr>
          <w:ilvl w:val="0"/>
          <w:numId w:val="306"/>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droga ekspresowa S74 z Kielc przez Sandomierz do Niska (połączenie z S19);</w:t>
      </w:r>
    </w:p>
    <w:p w14:paraId="321DE8A4" w14:textId="77777777" w:rsidR="000A4921" w:rsidRPr="009B78DA" w:rsidRDefault="009D3598" w:rsidP="0007791F">
      <w:pPr>
        <w:pStyle w:val="Legenda"/>
        <w:numPr>
          <w:ilvl w:val="0"/>
          <w:numId w:val="306"/>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ciąg obwodnic na drodze krajowej DK9 (Nowa Dęba, Kolbuszowa);</w:t>
      </w:r>
    </w:p>
    <w:p w14:paraId="5F66607A" w14:textId="77777777" w:rsidR="000A4921" w:rsidRPr="009B78DA" w:rsidRDefault="009D3598" w:rsidP="0007791F">
      <w:pPr>
        <w:pStyle w:val="Legenda"/>
        <w:numPr>
          <w:ilvl w:val="0"/>
          <w:numId w:val="306"/>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ciąg obwodnic na drodze krajowej DK73 (Pilzno, Brzostek, Jasło);</w:t>
      </w:r>
    </w:p>
    <w:p w14:paraId="074A060E" w14:textId="77777777" w:rsidR="000A4921" w:rsidRPr="009B78DA" w:rsidRDefault="009D3598" w:rsidP="0007791F">
      <w:pPr>
        <w:pStyle w:val="Legenda"/>
        <w:numPr>
          <w:ilvl w:val="0"/>
          <w:numId w:val="306"/>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ciąg obwodnic na drodze krajowej DK28 (Jasło, Miejsce Piastowe, Sanok – drugi etap);</w:t>
      </w:r>
    </w:p>
    <w:p w14:paraId="316FD350" w14:textId="77777777" w:rsidR="000A4921" w:rsidRPr="009B78DA" w:rsidRDefault="009D3598" w:rsidP="0007791F">
      <w:pPr>
        <w:pStyle w:val="Legenda"/>
        <w:numPr>
          <w:ilvl w:val="0"/>
          <w:numId w:val="306"/>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linia kolejowa Rzeszów – Łętownia;</w:t>
      </w:r>
    </w:p>
    <w:p w14:paraId="6CCD1E05" w14:textId="2A0A6BFF" w:rsidR="009D3598" w:rsidRPr="009B78DA" w:rsidRDefault="009D3598" w:rsidP="0007791F">
      <w:pPr>
        <w:pStyle w:val="Legenda"/>
        <w:numPr>
          <w:ilvl w:val="0"/>
          <w:numId w:val="306"/>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skrót linii kolejowej 106 (w rejonie Jedlicza).</w:t>
      </w:r>
    </w:p>
    <w:p w14:paraId="6CDDE2FF" w14:textId="77777777" w:rsidR="000A4921" w:rsidRPr="009B78DA" w:rsidRDefault="000A4921" w:rsidP="0007791F">
      <w:pPr>
        <w:rPr>
          <w:color w:val="000000" w:themeColor="text1"/>
          <w:sz w:val="4"/>
          <w:szCs w:val="4"/>
        </w:rPr>
      </w:pPr>
    </w:p>
    <w:p w14:paraId="4DC862F7" w14:textId="3074C6AA" w:rsidR="000A4921" w:rsidRPr="009B78DA" w:rsidRDefault="009D3598" w:rsidP="0007791F">
      <w:pPr>
        <w:pStyle w:val="Legenda"/>
        <w:spacing w:after="0" w:line="264"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W ujęciu szczegółowym </w:t>
      </w:r>
      <w:r w:rsidR="000A4921" w:rsidRPr="009B78DA">
        <w:rPr>
          <w:rFonts w:ascii="Arial" w:hAnsi="Arial" w:cs="Arial"/>
          <w:i w:val="0"/>
          <w:color w:val="000000" w:themeColor="text1"/>
          <w:sz w:val="22"/>
          <w:szCs w:val="22"/>
        </w:rPr>
        <w:t xml:space="preserve">w </w:t>
      </w:r>
      <w:r w:rsidRPr="009B78DA">
        <w:rPr>
          <w:rFonts w:ascii="Arial" w:hAnsi="Arial" w:cs="Arial"/>
          <w:i w:val="0"/>
          <w:color w:val="000000" w:themeColor="text1"/>
          <w:sz w:val="22"/>
          <w:szCs w:val="22"/>
        </w:rPr>
        <w:t>niniejsz</w:t>
      </w:r>
      <w:r w:rsidR="000A4921" w:rsidRPr="009B78DA">
        <w:rPr>
          <w:rFonts w:ascii="Arial" w:hAnsi="Arial" w:cs="Arial"/>
          <w:i w:val="0"/>
          <w:color w:val="000000" w:themeColor="text1"/>
          <w:sz w:val="22"/>
          <w:szCs w:val="22"/>
        </w:rPr>
        <w:t>ym</w:t>
      </w:r>
      <w:r w:rsidR="00053706">
        <w:rPr>
          <w:rFonts w:ascii="Arial" w:hAnsi="Arial" w:cs="Arial"/>
          <w:i w:val="0"/>
          <w:color w:val="000000" w:themeColor="text1"/>
          <w:sz w:val="22"/>
          <w:szCs w:val="22"/>
        </w:rPr>
        <w:t xml:space="preserve"> dokumencie</w:t>
      </w:r>
      <w:r w:rsidRPr="009B78DA">
        <w:rPr>
          <w:rFonts w:ascii="Arial" w:hAnsi="Arial" w:cs="Arial"/>
          <w:i w:val="0"/>
          <w:color w:val="000000" w:themeColor="text1"/>
          <w:sz w:val="22"/>
          <w:szCs w:val="22"/>
        </w:rPr>
        <w:t xml:space="preserve"> </w:t>
      </w:r>
      <w:r w:rsidR="000A4921" w:rsidRPr="009B78DA">
        <w:rPr>
          <w:rFonts w:ascii="Arial" w:hAnsi="Arial" w:cs="Arial"/>
          <w:i w:val="0"/>
          <w:color w:val="000000" w:themeColor="text1"/>
          <w:sz w:val="22"/>
          <w:szCs w:val="22"/>
        </w:rPr>
        <w:t>zawarto</w:t>
      </w:r>
      <w:r w:rsidRPr="009B78DA">
        <w:rPr>
          <w:rFonts w:ascii="Arial" w:hAnsi="Arial" w:cs="Arial"/>
          <w:i w:val="0"/>
          <w:color w:val="000000" w:themeColor="text1"/>
          <w:sz w:val="22"/>
          <w:szCs w:val="22"/>
        </w:rPr>
        <w:t xml:space="preserve"> następujący materiał kartograficzny ilustrujący wyniki ZMR (każdorazowo dla modelu bazowego 2022 i modelu BAU2030 w wersji 3.0):</w:t>
      </w:r>
    </w:p>
    <w:p w14:paraId="4DC028B6" w14:textId="5FE6BD89" w:rsidR="000A4921" w:rsidRPr="009B78DA" w:rsidRDefault="009D3598" w:rsidP="0007791F">
      <w:pPr>
        <w:pStyle w:val="Legenda"/>
        <w:numPr>
          <w:ilvl w:val="0"/>
          <w:numId w:val="307"/>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analiza więźb ruchu (układ macierzowy gmin), w podziale na potoki ruchu transportem indywidualnym (łącznie oraz motywacje: dojazdy do pracy, podróże biznesowe i inne) oraz potoki ruchu transportem publicznym (łącznie oraz motywacje: dojazdy do pracy, podróże biznesowe i pozostałe);</w:t>
      </w:r>
    </w:p>
    <w:p w14:paraId="1A172365" w14:textId="77777777" w:rsidR="000A4921" w:rsidRPr="009B78DA" w:rsidRDefault="009D3598" w:rsidP="0007791F">
      <w:pPr>
        <w:pStyle w:val="Legenda"/>
        <w:numPr>
          <w:ilvl w:val="0"/>
          <w:numId w:val="307"/>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porównanie więźb ruchu dla modelu bazowego 2022 i BAU2030 w wersji 3.0;</w:t>
      </w:r>
    </w:p>
    <w:p w14:paraId="751EDB67" w14:textId="113CC576" w:rsidR="000A4921" w:rsidRPr="009B78DA" w:rsidRDefault="009D3598" w:rsidP="0007791F">
      <w:pPr>
        <w:pStyle w:val="Legenda"/>
        <w:numPr>
          <w:ilvl w:val="0"/>
          <w:numId w:val="307"/>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analizę rozkładu ruchu pojazdów osobowych na drogach krajowych </w:t>
      </w:r>
      <w:r w:rsidR="00B830BA">
        <w:rPr>
          <w:rFonts w:ascii="Arial" w:hAnsi="Arial" w:cs="Arial"/>
          <w:i w:val="0"/>
          <w:color w:val="000000" w:themeColor="text1"/>
          <w:sz w:val="22"/>
          <w:szCs w:val="22"/>
        </w:rPr>
        <w:br/>
      </w:r>
      <w:r w:rsidRPr="009B78DA">
        <w:rPr>
          <w:rFonts w:ascii="Arial" w:hAnsi="Arial" w:cs="Arial"/>
          <w:i w:val="0"/>
          <w:color w:val="000000" w:themeColor="text1"/>
          <w:sz w:val="22"/>
          <w:szCs w:val="22"/>
        </w:rPr>
        <w:t>i wojewódzkich (ogółem i wg trzech wymienionych wyżej motywacji), zgodnie z modelem ZMR BAU2030 w wersji 3.0 wraz z porównaniem względem bazowego ZMR 2022;</w:t>
      </w:r>
    </w:p>
    <w:p w14:paraId="52BB4048" w14:textId="6B9AE06E" w:rsidR="009D3598" w:rsidRPr="009B78DA" w:rsidRDefault="009D3598" w:rsidP="0007791F">
      <w:pPr>
        <w:pStyle w:val="Legenda"/>
        <w:numPr>
          <w:ilvl w:val="0"/>
          <w:numId w:val="307"/>
        </w:numPr>
        <w:spacing w:after="0" w:line="264"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analizę rozkładu pasażerów w transporcie publicznym (ogółem i wg trzech wymienionych wyżej motywacji), zgodnie z modelem ZMR BAU2030 w wersji 3.0 wraz z porównaniem względem ZMR 2022.</w:t>
      </w:r>
    </w:p>
    <w:p w14:paraId="2FA0BD25" w14:textId="77777777" w:rsidR="000A4921" w:rsidRPr="009B78DA" w:rsidRDefault="000A4921" w:rsidP="0007791F">
      <w:pPr>
        <w:rPr>
          <w:color w:val="000000" w:themeColor="text1"/>
          <w:sz w:val="4"/>
          <w:szCs w:val="4"/>
        </w:rPr>
      </w:pPr>
    </w:p>
    <w:p w14:paraId="749DE4D1" w14:textId="76D2EA65" w:rsidR="009D3598" w:rsidRPr="009B78DA" w:rsidRDefault="000A4921" w:rsidP="0007791F">
      <w:pPr>
        <w:pStyle w:val="Legenda"/>
        <w:spacing w:after="0" w:line="264"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w:t>
      </w:r>
      <w:r w:rsidR="009D3598" w:rsidRPr="009B78DA">
        <w:rPr>
          <w:rFonts w:ascii="Arial" w:hAnsi="Arial" w:cs="Arial"/>
          <w:i w:val="0"/>
          <w:color w:val="000000" w:themeColor="text1"/>
          <w:sz w:val="22"/>
          <w:szCs w:val="22"/>
        </w:rPr>
        <w:t xml:space="preserve"> niektórych wypadkach wskazano na</w:t>
      </w:r>
      <w:r w:rsidRPr="009B78DA">
        <w:rPr>
          <w:rFonts w:ascii="Arial" w:hAnsi="Arial" w:cs="Arial"/>
          <w:i w:val="0"/>
          <w:color w:val="000000" w:themeColor="text1"/>
          <w:sz w:val="22"/>
          <w:szCs w:val="22"/>
        </w:rPr>
        <w:t xml:space="preserve"> zróżnicowanie</w:t>
      </w:r>
      <w:r w:rsidR="009D3598"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pomiędzy modelem bazowym ZMR 2022</w:t>
      </w:r>
      <w:r w:rsidR="00831423" w:rsidRPr="009B78DA">
        <w:rPr>
          <w:rFonts w:ascii="Arial" w:hAnsi="Arial" w:cs="Arial"/>
          <w:i w:val="0"/>
          <w:color w:val="000000" w:themeColor="text1"/>
          <w:sz w:val="22"/>
          <w:szCs w:val="22"/>
        </w:rPr>
        <w:t xml:space="preserve"> względem modelu</w:t>
      </w:r>
      <w:r w:rsidRPr="009B78DA">
        <w:rPr>
          <w:rFonts w:ascii="Arial" w:hAnsi="Arial" w:cs="Arial"/>
          <w:i w:val="0"/>
          <w:color w:val="000000" w:themeColor="text1"/>
          <w:sz w:val="22"/>
          <w:szCs w:val="22"/>
        </w:rPr>
        <w:t xml:space="preserve"> wcześniejszego </w:t>
      </w:r>
      <w:r w:rsidR="00831423" w:rsidRPr="009B78DA">
        <w:rPr>
          <w:rFonts w:ascii="Arial" w:hAnsi="Arial" w:cs="Arial"/>
          <w:i w:val="0"/>
          <w:color w:val="000000" w:themeColor="text1"/>
          <w:sz w:val="22"/>
          <w:szCs w:val="22"/>
        </w:rPr>
        <w:t>(</w:t>
      </w:r>
      <w:r w:rsidRPr="009B78DA">
        <w:rPr>
          <w:rFonts w:ascii="Arial" w:hAnsi="Arial" w:cs="Arial"/>
          <w:i w:val="0"/>
          <w:color w:val="000000" w:themeColor="text1"/>
          <w:sz w:val="22"/>
          <w:szCs w:val="22"/>
        </w:rPr>
        <w:t>ZMR 2019</w:t>
      </w:r>
      <w:r w:rsidR="00831423" w:rsidRPr="009B78DA">
        <w:rPr>
          <w:rFonts w:ascii="Arial" w:hAnsi="Arial" w:cs="Arial"/>
          <w:i w:val="0"/>
          <w:color w:val="000000" w:themeColor="text1"/>
          <w:sz w:val="22"/>
          <w:szCs w:val="22"/>
        </w:rPr>
        <w:t xml:space="preserve">), </w:t>
      </w:r>
      <w:r w:rsidR="009D3598" w:rsidRPr="009B78DA">
        <w:rPr>
          <w:rFonts w:ascii="Arial" w:hAnsi="Arial" w:cs="Arial"/>
          <w:i w:val="0"/>
          <w:color w:val="000000" w:themeColor="text1"/>
          <w:sz w:val="22"/>
          <w:szCs w:val="22"/>
        </w:rPr>
        <w:t>jako że może to ułatwić interpretację wyników w ujęciu dynamicznym (inne kierunki zmian obserwowano biorąc pod uwagę inwestycje z lat 2019-2022, a inne, gdy skoncentrowano się tylko na realizowanych</w:t>
      </w:r>
      <w:r w:rsidR="0007791F">
        <w:rPr>
          <w:rFonts w:ascii="Arial" w:hAnsi="Arial" w:cs="Arial"/>
          <w:i w:val="0"/>
          <w:color w:val="000000" w:themeColor="text1"/>
          <w:sz w:val="22"/>
          <w:szCs w:val="22"/>
        </w:rPr>
        <w:t xml:space="preserve"> </w:t>
      </w:r>
      <w:r w:rsidR="0007791F">
        <w:rPr>
          <w:rFonts w:ascii="Arial" w:hAnsi="Arial" w:cs="Arial"/>
          <w:i w:val="0"/>
          <w:color w:val="000000" w:themeColor="text1"/>
          <w:sz w:val="22"/>
          <w:szCs w:val="22"/>
        </w:rPr>
        <w:br/>
      </w:r>
      <w:r w:rsidR="009D3598" w:rsidRPr="009B78DA">
        <w:rPr>
          <w:rFonts w:ascii="Arial" w:hAnsi="Arial" w:cs="Arial"/>
          <w:i w:val="0"/>
          <w:color w:val="000000" w:themeColor="text1"/>
          <w:sz w:val="22"/>
          <w:szCs w:val="22"/>
        </w:rPr>
        <w:t xml:space="preserve">i planowanych inwestycjach późniejszych). </w:t>
      </w:r>
    </w:p>
    <w:p w14:paraId="18AFF143" w14:textId="5C21B3E8" w:rsidR="00044593" w:rsidRPr="0007791F" w:rsidRDefault="009D3598" w:rsidP="0007791F">
      <w:pPr>
        <w:pStyle w:val="Legenda"/>
        <w:spacing w:after="120" w:line="264"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Mapy przedstawiające więźbę ruchu obejmują komplet relacji wewnątrz województwa oraz wybrane relacje zewnętrzne ze wszystkich gmin do: Lublina, Kielc, Krakowa </w:t>
      </w:r>
      <w:r w:rsidR="004B463F">
        <w:rPr>
          <w:rFonts w:ascii="Arial" w:hAnsi="Arial" w:cs="Arial"/>
          <w:i w:val="0"/>
          <w:color w:val="000000" w:themeColor="text1"/>
          <w:sz w:val="22"/>
          <w:szCs w:val="22"/>
        </w:rPr>
        <w:br/>
      </w:r>
      <w:r w:rsidRPr="009B78DA">
        <w:rPr>
          <w:rFonts w:ascii="Arial" w:hAnsi="Arial" w:cs="Arial"/>
          <w:i w:val="0"/>
          <w:color w:val="000000" w:themeColor="text1"/>
          <w:sz w:val="22"/>
          <w:szCs w:val="22"/>
        </w:rPr>
        <w:t>i Warszawy, a także do miast subregionalnych w sąsiednich województwach (Zamość, Tarnów, Nowy Sącz) i stolic sąsiadujących z województwem podkarpackim powiatów położonych</w:t>
      </w:r>
      <w:r w:rsidR="0007791F">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w województwach lubelskim, świętokrzyskim oraz małopolskim.</w:t>
      </w:r>
    </w:p>
    <w:p w14:paraId="326A3E48" w14:textId="7BFE8449" w:rsidR="0080569A" w:rsidRPr="009B78DA" w:rsidRDefault="000706C6" w:rsidP="0007791F">
      <w:pPr>
        <w:pStyle w:val="Legenda"/>
        <w:numPr>
          <w:ilvl w:val="2"/>
          <w:numId w:val="243"/>
        </w:numPr>
        <w:suppressLineNumbers/>
        <w:spacing w:after="0" w:line="264" w:lineRule="auto"/>
        <w:rPr>
          <w:rFonts w:ascii="Arial" w:hAnsi="Arial" w:cs="Arial"/>
          <w:b/>
          <w:i w:val="0"/>
          <w:color w:val="000000" w:themeColor="text1"/>
          <w:sz w:val="22"/>
          <w:szCs w:val="22"/>
        </w:rPr>
      </w:pPr>
      <w:r w:rsidRPr="009B78DA">
        <w:rPr>
          <w:rFonts w:ascii="Arial" w:hAnsi="Arial" w:cs="Arial"/>
          <w:b/>
          <w:i w:val="0"/>
          <w:color w:val="000000" w:themeColor="text1"/>
          <w:sz w:val="22"/>
          <w:szCs w:val="22"/>
        </w:rPr>
        <w:t>Więźba ruchu w podziale na transport indywidualny i publiczny oraz motywacje podróży</w:t>
      </w:r>
    </w:p>
    <w:p w14:paraId="6E25D2F6" w14:textId="77777777" w:rsidR="0080569A" w:rsidRPr="009B78DA" w:rsidRDefault="0080569A" w:rsidP="0007791F">
      <w:pPr>
        <w:rPr>
          <w:color w:val="000000" w:themeColor="text1"/>
          <w:sz w:val="4"/>
          <w:szCs w:val="4"/>
        </w:rPr>
      </w:pPr>
    </w:p>
    <w:p w14:paraId="0CA1A0C8" w14:textId="287534A5" w:rsidR="00634FBD" w:rsidRPr="009B78DA" w:rsidRDefault="00D425FA" w:rsidP="0007791F">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Zmiany w modelowym obrazie ruchu dla roku 2022 (względem jego poprzednich wersji ilustrujących sytuację w roku 2019) nie są duże. Tym samym niektóre przedstawione konkluzje są w tym zakresie podobne. </w:t>
      </w:r>
    </w:p>
    <w:p w14:paraId="798FFC05" w14:textId="7B5504AC" w:rsidR="00D425FA" w:rsidRPr="009B78DA" w:rsidRDefault="00D425FA" w:rsidP="0007791F">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Na </w:t>
      </w:r>
      <w:r w:rsidR="007E6C36" w:rsidRPr="009B78DA">
        <w:rPr>
          <w:rFonts w:ascii="Arial" w:hAnsi="Arial" w:cs="Arial"/>
          <w:color w:val="000000" w:themeColor="text1"/>
          <w:sz w:val="22"/>
          <w:szCs w:val="22"/>
        </w:rPr>
        <w:t>rysunku</w:t>
      </w:r>
      <w:r w:rsidRPr="009B78DA">
        <w:rPr>
          <w:rFonts w:ascii="Arial" w:hAnsi="Arial" w:cs="Arial"/>
          <w:color w:val="000000" w:themeColor="text1"/>
          <w:sz w:val="22"/>
          <w:szCs w:val="22"/>
        </w:rPr>
        <w:t xml:space="preserve"> przedstawiono modelową strukturę ruchu w transporcie indywidualnym</w:t>
      </w:r>
      <w:r w:rsidR="0007791F">
        <w:rPr>
          <w:rFonts w:ascii="Arial" w:hAnsi="Arial" w:cs="Arial"/>
          <w:color w:val="000000" w:themeColor="text1"/>
          <w:sz w:val="22"/>
          <w:szCs w:val="22"/>
        </w:rPr>
        <w:t xml:space="preserve"> </w:t>
      </w:r>
      <w:r w:rsidR="0007791F">
        <w:rPr>
          <w:rFonts w:ascii="Arial" w:hAnsi="Arial" w:cs="Arial"/>
          <w:color w:val="000000" w:themeColor="text1"/>
          <w:sz w:val="22"/>
          <w:szCs w:val="22"/>
        </w:rPr>
        <w:br/>
      </w:r>
      <w:r w:rsidRPr="009B78DA">
        <w:rPr>
          <w:rFonts w:ascii="Arial" w:hAnsi="Arial" w:cs="Arial"/>
          <w:color w:val="000000" w:themeColor="text1"/>
          <w:sz w:val="22"/>
          <w:szCs w:val="22"/>
        </w:rPr>
        <w:t>i zbiorowym dla roku 2022. Układ przestrzenny ponownie potwierdza policentryczność województwa podkarpackiego. Dowodzi także, że faktyczna konkurencja między transportem indywidualnym a zbiorowym ma miejsce przede wszystkim w relacjach z Rzeszowem.</w:t>
      </w:r>
      <w:r w:rsidR="0007791F">
        <w:rPr>
          <w:rFonts w:ascii="Arial" w:hAnsi="Arial" w:cs="Arial"/>
          <w:color w:val="000000" w:themeColor="text1"/>
          <w:sz w:val="22"/>
          <w:szCs w:val="22"/>
        </w:rPr>
        <w:t xml:space="preserve"> </w:t>
      </w:r>
      <w:r w:rsidR="0007791F">
        <w:rPr>
          <w:rFonts w:ascii="Arial" w:hAnsi="Arial" w:cs="Arial"/>
          <w:color w:val="000000" w:themeColor="text1"/>
          <w:sz w:val="22"/>
          <w:szCs w:val="22"/>
        </w:rPr>
        <w:br/>
      </w:r>
      <w:r w:rsidRPr="009B78DA">
        <w:rPr>
          <w:rFonts w:ascii="Arial" w:hAnsi="Arial" w:cs="Arial"/>
          <w:color w:val="000000" w:themeColor="text1"/>
          <w:sz w:val="22"/>
          <w:szCs w:val="22"/>
        </w:rPr>
        <w:t>W mniejszym stopniu obserwujemy ją także na zapleczu Stalowej Woli, Krosna, Mielca, Sanoka, Jarosławia i Przemyśla. W relacjach między głównymi miastami województwa transport zbiorowy odgrywa znaczącą rolę w układach nawiązujących jednocześnie do szlaków ogólnokrajowych i międzynarodowych. Tam też ma miejsce pewna konkurencja międzygałęziowa. Dotyczy to przede wszystkim linii kolejowej wschód-zachód od Krakowa do granicy z Ukrainą (w tym relacje Rzeszowa z Dębicą, Jarosławiem i Przemyślem)</w:t>
      </w:r>
      <w:r w:rsidR="0007791F">
        <w:rPr>
          <w:rFonts w:ascii="Arial" w:hAnsi="Arial" w:cs="Arial"/>
          <w:color w:val="000000" w:themeColor="text1"/>
          <w:sz w:val="22"/>
          <w:szCs w:val="22"/>
        </w:rPr>
        <w:t xml:space="preserve"> </w:t>
      </w:r>
      <w:r w:rsidR="0007791F">
        <w:rPr>
          <w:rFonts w:ascii="Arial" w:hAnsi="Arial" w:cs="Arial"/>
          <w:color w:val="000000" w:themeColor="text1"/>
          <w:sz w:val="22"/>
          <w:szCs w:val="22"/>
        </w:rPr>
        <w:br/>
      </w:r>
      <w:r w:rsidRPr="009B78DA">
        <w:rPr>
          <w:rFonts w:ascii="Arial" w:hAnsi="Arial" w:cs="Arial"/>
          <w:color w:val="000000" w:themeColor="text1"/>
          <w:sz w:val="22"/>
          <w:szCs w:val="22"/>
        </w:rPr>
        <w:t xml:space="preserve">a w mniejszym stopniu połączeń kolejowych i autobusowych na kierunku północ-południe </w:t>
      </w:r>
      <w:r w:rsidR="0007791F">
        <w:rPr>
          <w:rFonts w:ascii="Arial" w:hAnsi="Arial" w:cs="Arial"/>
          <w:color w:val="000000" w:themeColor="text1"/>
          <w:sz w:val="22"/>
          <w:szCs w:val="22"/>
        </w:rPr>
        <w:br/>
      </w:r>
      <w:r w:rsidRPr="009B78DA">
        <w:rPr>
          <w:rFonts w:ascii="Arial" w:hAnsi="Arial" w:cs="Arial"/>
          <w:color w:val="000000" w:themeColor="text1"/>
          <w:sz w:val="22"/>
          <w:szCs w:val="22"/>
        </w:rPr>
        <w:t xml:space="preserve">(w stronę Warszawy i Lublina, w tym relacje Rzeszowa z Krosnem i z Tarnobrzegiem). Wiele innych obszarów i mniejszych miast województwa jest nadal oderwanych od regionalnego transportu zbiorowego. Potwierdza się istnienie stref zagrożenia wykluczeniem transportowym w Karpatach, powiecie lubaczowskim, a także w trójkącie ograniczonym miastami Rzeszów-Sanok-Przemyśl. </w:t>
      </w:r>
    </w:p>
    <w:p w14:paraId="7C6981DB" w14:textId="4EF66807" w:rsidR="007E6C36" w:rsidRPr="009B78DA" w:rsidRDefault="00D425FA" w:rsidP="0007791F">
      <w:pPr>
        <w:spacing w:after="12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W odniesieniu do modelu bazowego dla roku 2019 pozycja transportu zbiorowego jest jednak w roku 2022 wyraźnie silniejsza. Nie należy wykluczać, że wynika to z lepszej bazy danych odnośnie organizacji przewozów. Nie można jednak wykluczyć rzeczywistej poprawy na niektórych kierunkach. Porównanie wyników obu wersji modelu sugeruje, że </w:t>
      </w:r>
      <w:r w:rsidR="0007791F">
        <w:rPr>
          <w:rFonts w:ascii="Arial" w:hAnsi="Arial" w:cs="Arial"/>
          <w:color w:val="000000" w:themeColor="text1"/>
          <w:sz w:val="22"/>
          <w:szCs w:val="22"/>
        </w:rPr>
        <w:br/>
      </w:r>
      <w:r w:rsidRPr="009B78DA">
        <w:rPr>
          <w:rFonts w:ascii="Arial" w:hAnsi="Arial" w:cs="Arial"/>
          <w:color w:val="000000" w:themeColor="text1"/>
          <w:sz w:val="22"/>
          <w:szCs w:val="22"/>
        </w:rPr>
        <w:t>w latach 2019-2022 poprawiła się obsługa dojazdów do najważniejszych biegunów wzrostu (szczególnie do Krosna, Mielca, Stalowej Woli, Jarosławia i Przemyśla) za pomocą transportu zbiorowego. Wyraźnie lepsza sytuacja widoczna jest także w Bieszczadach. Można to wiązać z ponownym popytem turystycznym wzbudzonym po pandemii COVID-19. Analogiczna poprawa nie uwidoczniła się bowiem w tym samym stopniu w innych strefach peryferyjnych zagrożonych wykluczeniem transportowym.</w:t>
      </w:r>
    </w:p>
    <w:p w14:paraId="69C97722" w14:textId="28326396" w:rsidR="008C335A" w:rsidRPr="009B78DA" w:rsidRDefault="008C335A" w:rsidP="0007791F">
      <w:pPr>
        <w:pStyle w:val="Legenda"/>
        <w:keepNext/>
        <w:rPr>
          <w:rFonts w:ascii="Arial" w:hAnsi="Arial" w:cs="Arial"/>
          <w:i w:val="0"/>
          <w:color w:val="000000" w:themeColor="text1"/>
          <w:sz w:val="22"/>
          <w:szCs w:val="22"/>
        </w:rPr>
      </w:pPr>
      <w:bookmarkStart w:id="188" w:name="_Toc146785668"/>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39</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Modelowa więźba ruchu pasażerskiego w transporcie indywidualnym </w:t>
      </w:r>
      <w:r w:rsidR="008C50CB">
        <w:rPr>
          <w:rFonts w:ascii="Arial" w:hAnsi="Arial" w:cs="Arial"/>
          <w:i w:val="0"/>
          <w:color w:val="000000" w:themeColor="text1"/>
          <w:sz w:val="22"/>
          <w:szCs w:val="22"/>
        </w:rPr>
        <w:br/>
      </w:r>
      <w:r w:rsidRPr="009B78DA">
        <w:rPr>
          <w:rFonts w:ascii="Arial" w:hAnsi="Arial" w:cs="Arial"/>
          <w:i w:val="0"/>
          <w:color w:val="000000" w:themeColor="text1"/>
          <w:sz w:val="22"/>
          <w:szCs w:val="22"/>
        </w:rPr>
        <w:t>i zbiorowym (wg ZMR 2022)</w:t>
      </w:r>
      <w:bookmarkEnd w:id="188"/>
    </w:p>
    <w:p w14:paraId="2D4950F6" w14:textId="406B5022" w:rsidR="007E6C36" w:rsidRPr="009B78DA" w:rsidRDefault="007E6C36" w:rsidP="007E6C36">
      <w:pPr>
        <w:rPr>
          <w:color w:val="000000" w:themeColor="text1"/>
        </w:rPr>
      </w:pPr>
      <w:r w:rsidRPr="009B78DA">
        <w:rPr>
          <w:noProof/>
          <w:color w:val="000000" w:themeColor="text1"/>
        </w:rPr>
        <w:drawing>
          <wp:inline distT="0" distB="0" distL="0" distR="0" wp14:anchorId="6A443C80" wp14:editId="30234AA8">
            <wp:extent cx="5760720" cy="3524205"/>
            <wp:effectExtent l="0" t="0" r="0" b="635"/>
            <wp:docPr id="4" name="Obraz 4" descr="Województwo podkarpackie w tym największe miasta powiatowe. Po lewej przejazdy samochodem 2022 (model), po prawej przejazdy transportem publicznym 2022 (model)" title="Rysunek 39 Modelowa więźba ruchu pasażerskiego w transporcie indywidualnym i zbiorowym (wg ZMR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3524205"/>
                    </a:xfrm>
                    <a:prstGeom prst="rect">
                      <a:avLst/>
                    </a:prstGeom>
                    <a:noFill/>
                    <a:ln>
                      <a:noFill/>
                    </a:ln>
                  </pic:spPr>
                </pic:pic>
              </a:graphicData>
            </a:graphic>
          </wp:inline>
        </w:drawing>
      </w:r>
    </w:p>
    <w:p w14:paraId="0DD7B891" w14:textId="2252126A" w:rsidR="00D425FA" w:rsidRPr="009B78DA" w:rsidRDefault="007E6C36" w:rsidP="008C50CB">
      <w:pPr>
        <w:rPr>
          <w:color w:val="000000" w:themeColor="text1"/>
        </w:rPr>
      </w:pPr>
      <w:r w:rsidRPr="009B78DA">
        <w:rPr>
          <w:rFonts w:ascii="Arial" w:hAnsi="Arial" w:cs="Arial"/>
          <w:color w:val="000000" w:themeColor="text1"/>
          <w:sz w:val="22"/>
          <w:szCs w:val="22"/>
        </w:rPr>
        <w:t>Źródło: Opracowanie eksperckie (2023) na podstawie materiałów CUPT</w:t>
      </w:r>
      <w:r w:rsidRPr="009B78DA">
        <w:rPr>
          <w:color w:val="000000" w:themeColor="text1"/>
        </w:rPr>
        <w:t>.</w:t>
      </w:r>
    </w:p>
    <w:p w14:paraId="7F135EA2" w14:textId="2DFD50BC" w:rsidR="00634FBD" w:rsidRPr="009B78DA" w:rsidRDefault="00D425FA" w:rsidP="008C50CB">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W transporcie indywidualnym zmiany pomiędzy wynikami ZMR 2019 i ZMR 2022 są mniejsze. Wzrosty intensywności powiązań dotyczą przede wszystkim relacji poza granice regionu: Rzeszowa z Warszawą i Lublinem, a także Mielca z Krakowem. Silniejsze są także relacje ośrodków podkarpackich z Kielcami i Zamościem. Wewnątrz województwa w roku 2022 mocniejsze wydają się powiązania Rzeszo</w:t>
      </w:r>
      <w:r w:rsidR="008C50CB">
        <w:rPr>
          <w:rFonts w:ascii="Arial" w:hAnsi="Arial" w:cs="Arial"/>
          <w:color w:val="000000" w:themeColor="text1"/>
          <w:sz w:val="22"/>
          <w:szCs w:val="22"/>
        </w:rPr>
        <w:t>wa z Przemyślem i Stalową Wolą.</w:t>
      </w:r>
    </w:p>
    <w:p w14:paraId="5C2F977D" w14:textId="6A0F043A" w:rsidR="00D425FA" w:rsidRPr="009B78DA" w:rsidRDefault="00D425FA" w:rsidP="008C50CB">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Rozkład podróży wg motywacji w transporcie indywidualnym</w:t>
      </w:r>
      <w:r w:rsidR="00634FBD" w:rsidRPr="009B78DA">
        <w:rPr>
          <w:rFonts w:ascii="Arial" w:hAnsi="Arial" w:cs="Arial"/>
          <w:color w:val="000000" w:themeColor="text1"/>
          <w:sz w:val="22"/>
          <w:szCs w:val="22"/>
        </w:rPr>
        <w:t xml:space="preserve"> oraz w transporcie zbiorowym przedstawiono odpowiednio na dwóch kolejnych rysunkach. </w:t>
      </w:r>
      <w:r w:rsidRPr="009B78DA">
        <w:rPr>
          <w:rFonts w:ascii="Arial" w:hAnsi="Arial" w:cs="Arial"/>
          <w:color w:val="000000" w:themeColor="text1"/>
          <w:sz w:val="22"/>
          <w:szCs w:val="22"/>
        </w:rPr>
        <w:t xml:space="preserve">Podobnie jak poprzednio  motywacja dojazdu do pracy wskazuje na duży zasięg oddziaływania Rzeszowa. Zgodnie z wynikami bazowego ZMR 2022 jest on jeszcze większy od obserwowanego przy zastosowaniu bazowego ZMR 2019. Potwierdza także istnienie policentrycznego układu powiązań Tarnobrzeg-Stalowa Wola – Sandomierz (tzw. Czwórmiasto sięgające także po województwo świętokrzyskie). Ponadto bardzo wyraźnie widoczny jest koncentryczny układ dojazdów do Krosna i Mielca, a w przeciwieństwie do wyników modelu ZMR 2019 także do Jasła i Przemyśla. ZMR 2022 w większym </w:t>
      </w:r>
      <w:r w:rsidR="000A6487">
        <w:rPr>
          <w:rFonts w:ascii="Arial" w:hAnsi="Arial" w:cs="Arial"/>
          <w:color w:val="000000" w:themeColor="text1"/>
          <w:sz w:val="22"/>
          <w:szCs w:val="22"/>
        </w:rPr>
        <w:t xml:space="preserve">stopniu </w:t>
      </w:r>
      <w:r w:rsidRPr="009B78DA">
        <w:rPr>
          <w:rFonts w:ascii="Arial" w:hAnsi="Arial" w:cs="Arial"/>
          <w:color w:val="000000" w:themeColor="text1"/>
          <w:sz w:val="22"/>
          <w:szCs w:val="22"/>
        </w:rPr>
        <w:t>niż wcześniej</w:t>
      </w:r>
      <w:r w:rsidR="000A6487">
        <w:rPr>
          <w:rFonts w:ascii="Arial" w:hAnsi="Arial" w:cs="Arial"/>
          <w:color w:val="000000" w:themeColor="text1"/>
          <w:sz w:val="22"/>
          <w:szCs w:val="22"/>
        </w:rPr>
        <w:t xml:space="preserve"> </w:t>
      </w:r>
      <w:r w:rsidRPr="009B78DA">
        <w:rPr>
          <w:rFonts w:ascii="Arial" w:hAnsi="Arial" w:cs="Arial"/>
          <w:color w:val="000000" w:themeColor="text1"/>
          <w:sz w:val="22"/>
          <w:szCs w:val="22"/>
        </w:rPr>
        <w:t>w</w:t>
      </w:r>
      <w:r w:rsidR="000A6487">
        <w:rPr>
          <w:rFonts w:ascii="Arial" w:hAnsi="Arial" w:cs="Arial"/>
          <w:color w:val="000000" w:themeColor="text1"/>
          <w:sz w:val="22"/>
          <w:szCs w:val="22"/>
        </w:rPr>
        <w:t>idać</w:t>
      </w:r>
      <w:r w:rsidRPr="009B78DA">
        <w:rPr>
          <w:rFonts w:ascii="Arial" w:hAnsi="Arial" w:cs="Arial"/>
          <w:color w:val="000000" w:themeColor="text1"/>
          <w:sz w:val="22"/>
          <w:szCs w:val="22"/>
        </w:rPr>
        <w:t xml:space="preserve"> integrację rynku pracy w południowym pasie regionu od Jasła przez Krosno do Sanoka, a nawet do Leska i Ustrzyk Dolnych. W efekcie nowy układ modelowy jeszcze mocniej potwierdza wyznaczony </w:t>
      </w:r>
      <w:r w:rsidR="008C50CB">
        <w:rPr>
          <w:rFonts w:ascii="Arial" w:hAnsi="Arial" w:cs="Arial"/>
          <w:color w:val="000000" w:themeColor="text1"/>
          <w:sz w:val="22"/>
          <w:szCs w:val="22"/>
        </w:rPr>
        <w:br/>
      </w:r>
      <w:r w:rsidRPr="009B78DA">
        <w:rPr>
          <w:rFonts w:ascii="Arial" w:hAnsi="Arial" w:cs="Arial"/>
          <w:color w:val="000000" w:themeColor="text1"/>
          <w:sz w:val="22"/>
          <w:szCs w:val="22"/>
        </w:rPr>
        <w:t>w Strategii rozwoju województwa – Podkarpackie 2030 system subregionalnych biegunów wzrostu (MOF). Miastem, którego pozycja nie ulega poprawie w latach 2019-2022 w tym zakresie jest jednak potencjalny biegun wzrostu w Lubaczowie.</w:t>
      </w:r>
    </w:p>
    <w:p w14:paraId="28D37472" w14:textId="7E64E97B" w:rsidR="00D425FA" w:rsidRPr="009B78DA" w:rsidRDefault="00D425FA" w:rsidP="008C50CB">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Niestety w roku 2023 nadal nie dysponujemy nowymi danymi obserwowanymi odnośnie dojazdów do pracy (GUS nie opublikował jeszcze danych dla roku 2021). Tym samym jedynym punktem odniesienia mogą pozostawać</w:t>
      </w:r>
      <w:r w:rsidR="00634FBD"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dane </w:t>
      </w:r>
      <w:r w:rsidR="00634FBD" w:rsidRPr="009B78DA">
        <w:rPr>
          <w:rFonts w:ascii="Arial" w:hAnsi="Arial" w:cs="Arial"/>
          <w:color w:val="000000" w:themeColor="text1"/>
          <w:sz w:val="22"/>
          <w:szCs w:val="22"/>
        </w:rPr>
        <w:t xml:space="preserve">jeszcze </w:t>
      </w:r>
      <w:r w:rsidR="008C50CB">
        <w:rPr>
          <w:rFonts w:ascii="Arial" w:hAnsi="Arial" w:cs="Arial"/>
          <w:color w:val="000000" w:themeColor="text1"/>
          <w:sz w:val="22"/>
          <w:szCs w:val="22"/>
        </w:rPr>
        <w:t xml:space="preserve">z roku 2016. </w:t>
      </w:r>
      <w:r w:rsidRPr="009B78DA">
        <w:rPr>
          <w:rFonts w:ascii="Arial" w:hAnsi="Arial" w:cs="Arial"/>
          <w:color w:val="000000" w:themeColor="text1"/>
          <w:sz w:val="22"/>
          <w:szCs w:val="22"/>
        </w:rPr>
        <w:t>Co więcej pamiętać należy, że model szacuje wielkość dojazdów w ujęciu produkcja (ludność w wieku produkcyjnym) – atrakcja (miejsca pracy). Różnice względem danych obserwowanych mogą tym samym wynikać z założeń metodycznych.</w:t>
      </w:r>
    </w:p>
    <w:p w14:paraId="532711AE" w14:textId="43757A99" w:rsidR="00D425FA" w:rsidRPr="009B78DA" w:rsidRDefault="00D425FA" w:rsidP="008C50CB">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W ujęciu modelowym (2022) poziom wzajemnej integracji rynków pracy ośrodków subregionalnych jest większy niż w roku 2019, a tym bardziej względem obrazu rzeczywistego GUS (2016). Dotyczy to zwłaszcza wspomnianej południowej części regionu (Jasło-Krosno-Sanok) oraz czwórbiegunowego układu Tarnobrzeg – Nisko – Stalowa Wola – Sandomierz. Ponadto modelowane dojazdy do pracy w relacjach z miastami powiatowymi</w:t>
      </w:r>
      <w:r w:rsidR="00634FBD" w:rsidRPr="009B78DA">
        <w:rPr>
          <w:rFonts w:ascii="Arial" w:hAnsi="Arial" w:cs="Arial"/>
          <w:color w:val="000000" w:themeColor="text1"/>
          <w:sz w:val="22"/>
          <w:szCs w:val="22"/>
        </w:rPr>
        <w:t xml:space="preserve"> </w:t>
      </w:r>
      <w:r w:rsidR="008C50CB">
        <w:rPr>
          <w:rFonts w:ascii="Arial" w:hAnsi="Arial" w:cs="Arial"/>
          <w:color w:val="000000" w:themeColor="text1"/>
          <w:sz w:val="22"/>
          <w:szCs w:val="22"/>
        </w:rPr>
        <w:br/>
      </w:r>
      <w:r w:rsidRPr="009B78DA">
        <w:rPr>
          <w:rFonts w:ascii="Arial" w:hAnsi="Arial" w:cs="Arial"/>
          <w:color w:val="000000" w:themeColor="text1"/>
          <w:sz w:val="22"/>
          <w:szCs w:val="22"/>
        </w:rPr>
        <w:t>w województwach sąsiednich są zdecydowanie silniejsze od diagnozowanych na bazie wcześniejszych modeli oraz ponow</w:t>
      </w:r>
      <w:r w:rsidR="008C50CB">
        <w:rPr>
          <w:rFonts w:ascii="Arial" w:hAnsi="Arial" w:cs="Arial"/>
          <w:color w:val="000000" w:themeColor="text1"/>
          <w:sz w:val="22"/>
          <w:szCs w:val="22"/>
        </w:rPr>
        <w:t>nie od wielkości obserwowanych.</w:t>
      </w:r>
    </w:p>
    <w:p w14:paraId="3FA6F62D" w14:textId="77777777" w:rsidR="00634FBD" w:rsidRPr="009B78DA" w:rsidRDefault="00D425FA" w:rsidP="008C50CB">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Może to dowodzić, że alternatywnie:</w:t>
      </w:r>
    </w:p>
    <w:p w14:paraId="314BD363" w14:textId="77777777" w:rsidR="00634FBD" w:rsidRPr="009B78DA" w:rsidRDefault="00634FBD" w:rsidP="008C50CB">
      <w:pPr>
        <w:pStyle w:val="Akapitzlist"/>
        <w:numPr>
          <w:ilvl w:val="0"/>
          <w:numId w:val="64"/>
        </w:numPr>
        <w:spacing w:after="0" w:line="264" w:lineRule="auto"/>
        <w:rPr>
          <w:rFonts w:ascii="Arial" w:hAnsi="Arial" w:cs="Arial"/>
          <w:color w:val="000000" w:themeColor="text1"/>
          <w:sz w:val="22"/>
          <w:szCs w:val="22"/>
        </w:rPr>
      </w:pPr>
      <w:r w:rsidRPr="009B78DA">
        <w:rPr>
          <w:rFonts w:ascii="Arial" w:hAnsi="Arial" w:cs="Arial"/>
          <w:color w:val="000000" w:themeColor="text1"/>
          <w:sz w:val="22"/>
          <w:szCs w:val="22"/>
        </w:rPr>
        <w:t>że</w:t>
      </w:r>
      <w:r w:rsidR="00D425FA" w:rsidRPr="009B78DA">
        <w:rPr>
          <w:rFonts w:ascii="Arial" w:hAnsi="Arial" w:cs="Arial"/>
          <w:color w:val="000000" w:themeColor="text1"/>
          <w:sz w:val="22"/>
          <w:szCs w:val="22"/>
        </w:rPr>
        <w:t xml:space="preserve"> ujęcie modelowe wyprzedza naturalne procesy społeczno-demograficzne, w tym antycypuje dalszy wzrost intensywności dojazdów do pracy;</w:t>
      </w:r>
    </w:p>
    <w:p w14:paraId="224BCF9D" w14:textId="7686ED55" w:rsidR="00D425FA" w:rsidRPr="009B78DA" w:rsidRDefault="00D425FA" w:rsidP="008C50CB">
      <w:pPr>
        <w:pStyle w:val="Akapitzlist"/>
        <w:numPr>
          <w:ilvl w:val="0"/>
          <w:numId w:val="64"/>
        </w:numPr>
        <w:spacing w:after="0" w:line="264" w:lineRule="auto"/>
        <w:rPr>
          <w:rFonts w:ascii="Arial" w:hAnsi="Arial" w:cs="Arial"/>
          <w:color w:val="000000" w:themeColor="text1"/>
          <w:sz w:val="22"/>
          <w:szCs w:val="22"/>
        </w:rPr>
      </w:pPr>
      <w:r w:rsidRPr="009B78DA">
        <w:rPr>
          <w:rFonts w:ascii="Arial" w:hAnsi="Arial" w:cs="Arial"/>
          <w:color w:val="000000" w:themeColor="text1"/>
          <w:sz w:val="22"/>
          <w:szCs w:val="22"/>
        </w:rPr>
        <w:t>model przeszacowuje dojazdy do ośrodków subregionalnych i wymaga dalszej kalibracji.</w:t>
      </w:r>
    </w:p>
    <w:p w14:paraId="51688304" w14:textId="7CC1AF40" w:rsidR="00D425FA" w:rsidRPr="009B78DA" w:rsidRDefault="00D425FA" w:rsidP="008C50CB">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Odpowiedź na to pytanie będzie znana wraz z publikacją danych</w:t>
      </w:r>
      <w:r w:rsidR="008C50CB">
        <w:rPr>
          <w:rFonts w:ascii="Arial" w:hAnsi="Arial" w:cs="Arial"/>
          <w:color w:val="000000" w:themeColor="text1"/>
          <w:sz w:val="22"/>
          <w:szCs w:val="22"/>
        </w:rPr>
        <w:t xml:space="preserve"> o dojazdach pracy za rok 2021.</w:t>
      </w:r>
    </w:p>
    <w:p w14:paraId="31770725" w14:textId="037E7F6C" w:rsidR="00D425FA" w:rsidRPr="009B78DA" w:rsidRDefault="00D425FA" w:rsidP="008C50CB">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Zasięg podróży indywidualnych w motywacji biznesowej (zgodnie z modelem bazowym ZMR 2022) opiera się, podobnie jak w roku 2019 przede wszystkim na powiązaniach Rzeszowa z zapleczem (głównie z większymi miastami regionu). W ujęciu zewnętrznym najważniejsze są relacje stolicy województwa z Warszawą i Krakowem. W obu wypadkach siła tych relacji jest większa niż wykazano na podstawie bazowego ZMR 2019. Silniejsze są także bezpośrednie relacje biznesowe miast powiatowych województwa </w:t>
      </w:r>
      <w:r w:rsidR="008C50CB">
        <w:rPr>
          <w:rFonts w:ascii="Arial" w:hAnsi="Arial" w:cs="Arial"/>
          <w:color w:val="000000" w:themeColor="text1"/>
          <w:sz w:val="22"/>
          <w:szCs w:val="22"/>
        </w:rPr>
        <w:br/>
      </w:r>
      <w:r w:rsidRPr="009B78DA">
        <w:rPr>
          <w:rFonts w:ascii="Arial" w:hAnsi="Arial" w:cs="Arial"/>
          <w:color w:val="000000" w:themeColor="text1"/>
          <w:sz w:val="22"/>
          <w:szCs w:val="22"/>
        </w:rPr>
        <w:t>z Warszawą. Wyniki modelu obrazują tym samym rosnącą konkurencję między Rzeszowem a największymi miastami kraju. Z punktu widzenia rozwoju sieci transportowych i organizacji transportu publicznego oznacza to, że o pozycji ekonomicznej (atrakcyjności inwestycyjnej) ośrodków subregionalnych i innych miast powiatowych województwa podkarpackiego decydować będą nie tylko powiązania z Rzeszowem, a</w:t>
      </w:r>
      <w:r w:rsidR="008C50CB">
        <w:rPr>
          <w:rFonts w:ascii="Arial" w:hAnsi="Arial" w:cs="Arial"/>
          <w:color w:val="000000" w:themeColor="text1"/>
          <w:sz w:val="22"/>
          <w:szCs w:val="22"/>
        </w:rPr>
        <w:t>le także z Warszawą i Krakowem.</w:t>
      </w:r>
    </w:p>
    <w:p w14:paraId="3E59F65A" w14:textId="202775B9" w:rsidR="00D425FA" w:rsidRPr="009B78DA" w:rsidRDefault="00D425FA" w:rsidP="008C50CB">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Kategoria motywacyjna „podróże inne” pozostaje, podobnie jak poprzednio (ZMR 2019), bardzo silnie skorelowana z obrazem więźby dla dojazdów do pracy. Motywacja ta zawiera w sobie m.in. ruch turystyczny. Względem wcześniejszych wersji modelu w bazowym ZMR 2022 jeszcze silniejsze są relacje w transporcie indywidualnym skierowane do gmin bieszczadzkich (szczególnie Solina i Czarna). Ponadto w tej kategorii dostrzegamy zwiększenie powiązań z Lubaczowem (nie widocznych w przypadku rynku pracy). Może to dowodzić wzrostu znaczenia tego ośrodka, który jednak oparty jest bardziej na funkcjach usługowych niż na miejscach pracy. W podróżach pozostałych wzmocnione są także ponownie relacje z Warszawą, co można interpretować m.in. przez przybliżenie stolicy do podkarpackich obszarów turystycznych po wybudowaniu c</w:t>
      </w:r>
      <w:r w:rsidR="008C50CB">
        <w:rPr>
          <w:rFonts w:ascii="Arial" w:hAnsi="Arial" w:cs="Arial"/>
          <w:color w:val="000000" w:themeColor="text1"/>
          <w:sz w:val="22"/>
          <w:szCs w:val="22"/>
        </w:rPr>
        <w:t>iągu dróg ekspresowych S17/S19.</w:t>
      </w:r>
    </w:p>
    <w:p w14:paraId="1C4CA15B" w14:textId="286D33E1" w:rsidR="00D425FA" w:rsidRPr="009B78DA" w:rsidRDefault="00D425FA" w:rsidP="008C50CB">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W ujęciu modelowym dla roku 2022 w samym tylko transporcie zbiorowym, uwagę zwraca wyraźne zwiększenie intensywności ruchu w kategorii dojazdów do pracy (względem ZMR 2019). Wzajemna integracja rynków pracy pomiędzy najważniejszymi ośrodkami regionu jest nadal dużo słabsza niż w transporcie indywidualnym, ale różnica jest wyraźnie mniejsza. Wskazuje to, że wprawdzie policentryczna struktura podkarpackiej sieci osadniczej jest silnie zależna od sprawnego transportu indywidualnego, ale zgodnie z założeniami modelu ruchu CUPT rola transportu zbiorowego w tym zakresie powinna wzrastać. Ta poniekąd pozytywna tendencja (co ważne - tylko dla lat 2019-2022) wymaga jednak d</w:t>
      </w:r>
      <w:r w:rsidR="008C50CB">
        <w:rPr>
          <w:rFonts w:ascii="Arial" w:hAnsi="Arial" w:cs="Arial"/>
          <w:color w:val="000000" w:themeColor="text1"/>
          <w:sz w:val="22"/>
          <w:szCs w:val="22"/>
        </w:rPr>
        <w:t>alszej empirycznej weryfikacji.</w:t>
      </w:r>
    </w:p>
    <w:p w14:paraId="48248D6E" w14:textId="57C9DA3E" w:rsidR="00D425FA" w:rsidRPr="009B78DA" w:rsidRDefault="00D425FA" w:rsidP="008C50CB">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Stopień wykorzystania transportu publicznego w podróżach biznesowych jest ponownie bardzo niewielki i dotyczy praktycznie wyłącznie relacji zewnętrznych Rzeszowa.</w:t>
      </w:r>
      <w:r w:rsidR="008C50CB">
        <w:rPr>
          <w:rFonts w:ascii="Arial" w:hAnsi="Arial" w:cs="Arial"/>
          <w:color w:val="000000" w:themeColor="text1"/>
          <w:sz w:val="22"/>
          <w:szCs w:val="22"/>
        </w:rPr>
        <w:t xml:space="preserve"> </w:t>
      </w:r>
      <w:r w:rsidRPr="009B78DA">
        <w:rPr>
          <w:rFonts w:ascii="Arial" w:hAnsi="Arial" w:cs="Arial"/>
          <w:color w:val="000000" w:themeColor="text1"/>
          <w:sz w:val="22"/>
          <w:szCs w:val="22"/>
        </w:rPr>
        <w:t>O ile jednak zgodnie z modelem ZMR 2019 były to tylko relacje do Warszawy i Krakowa, to</w:t>
      </w:r>
      <w:r w:rsidR="008C50CB">
        <w:rPr>
          <w:rFonts w:ascii="Arial" w:hAnsi="Arial" w:cs="Arial"/>
          <w:color w:val="000000" w:themeColor="text1"/>
          <w:sz w:val="22"/>
          <w:szCs w:val="22"/>
        </w:rPr>
        <w:t xml:space="preserve"> </w:t>
      </w:r>
      <w:r w:rsidRPr="009B78DA">
        <w:rPr>
          <w:rFonts w:ascii="Arial" w:hAnsi="Arial" w:cs="Arial"/>
          <w:color w:val="000000" w:themeColor="text1"/>
          <w:sz w:val="22"/>
          <w:szCs w:val="22"/>
        </w:rPr>
        <w:t>w ZMR 2022 widoczny jest także Lublin jako cel podróży służbo</w:t>
      </w:r>
      <w:r w:rsidR="008C50CB">
        <w:rPr>
          <w:rFonts w:ascii="Arial" w:hAnsi="Arial" w:cs="Arial"/>
          <w:color w:val="000000" w:themeColor="text1"/>
          <w:sz w:val="22"/>
          <w:szCs w:val="22"/>
        </w:rPr>
        <w:t>wych w transporcie publicznym.</w:t>
      </w:r>
    </w:p>
    <w:p w14:paraId="3651A0EC" w14:textId="574D0E39" w:rsidR="005707A0" w:rsidRPr="009B78DA" w:rsidRDefault="005707A0" w:rsidP="008C50CB">
      <w:pPr>
        <w:pStyle w:val="Legenda"/>
        <w:keepNext/>
        <w:rPr>
          <w:rFonts w:ascii="Arial" w:hAnsi="Arial" w:cs="Arial"/>
          <w:i w:val="0"/>
          <w:color w:val="000000" w:themeColor="text1"/>
          <w:sz w:val="22"/>
          <w:szCs w:val="22"/>
        </w:rPr>
      </w:pPr>
      <w:bookmarkStart w:id="189" w:name="_Toc146785669"/>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40</w:t>
      </w:r>
      <w:r w:rsidRPr="009B78DA">
        <w:rPr>
          <w:rFonts w:ascii="Arial" w:hAnsi="Arial" w:cs="Arial"/>
          <w:b/>
          <w:i w:val="0"/>
          <w:color w:val="000000" w:themeColor="text1"/>
          <w:sz w:val="22"/>
          <w:szCs w:val="22"/>
        </w:rPr>
        <w:fldChar w:fldCharType="end"/>
      </w:r>
      <w:r w:rsidR="004C339C" w:rsidRPr="009B78DA">
        <w:rPr>
          <w:rFonts w:ascii="Arial" w:hAnsi="Arial" w:cs="Arial"/>
          <w:color w:val="000000" w:themeColor="text1"/>
          <w:sz w:val="22"/>
          <w:szCs w:val="22"/>
        </w:rPr>
        <w:t xml:space="preserve"> </w:t>
      </w:r>
      <w:r w:rsidRPr="009B78DA">
        <w:rPr>
          <w:rFonts w:ascii="Arial" w:hAnsi="Arial" w:cs="Arial"/>
          <w:i w:val="0"/>
          <w:color w:val="000000" w:themeColor="text1"/>
          <w:sz w:val="22"/>
          <w:szCs w:val="22"/>
        </w:rPr>
        <w:t>Modelowa więźba ruchu pasażerskiego w transpor</w:t>
      </w:r>
      <w:r w:rsidR="008D78BC">
        <w:rPr>
          <w:rFonts w:ascii="Arial" w:hAnsi="Arial" w:cs="Arial"/>
          <w:i w:val="0"/>
          <w:color w:val="000000" w:themeColor="text1"/>
          <w:sz w:val="22"/>
          <w:szCs w:val="22"/>
        </w:rPr>
        <w:t xml:space="preserve">cie indywidualnym wg motywacji </w:t>
      </w:r>
      <w:r w:rsidRPr="009B78DA">
        <w:rPr>
          <w:rFonts w:ascii="Arial" w:hAnsi="Arial" w:cs="Arial"/>
          <w:i w:val="0"/>
          <w:color w:val="000000" w:themeColor="text1"/>
          <w:sz w:val="22"/>
          <w:szCs w:val="22"/>
        </w:rPr>
        <w:t>(bazowy ZMR 2022)</w:t>
      </w:r>
      <w:bookmarkEnd w:id="189"/>
    </w:p>
    <w:p w14:paraId="4E366C87" w14:textId="343FB53D" w:rsidR="007453B0" w:rsidRPr="009B78DA" w:rsidRDefault="007453B0" w:rsidP="007453B0">
      <w:pPr>
        <w:rPr>
          <w:color w:val="000000" w:themeColor="text1"/>
        </w:rPr>
      </w:pPr>
      <w:r w:rsidRPr="009B78DA">
        <w:rPr>
          <w:noProof/>
          <w:color w:val="000000" w:themeColor="text1"/>
        </w:rPr>
        <w:drawing>
          <wp:inline distT="0" distB="0" distL="0" distR="0" wp14:anchorId="69E1ECF2" wp14:editId="65C7B389">
            <wp:extent cx="5760720" cy="7039676"/>
            <wp:effectExtent l="0" t="0" r="0" b="8890"/>
            <wp:docPr id="6" name="Obraz 6" descr="Województwo podkarpackie w tym największe miasta powiatowe. Po lewej dojazdy do pracy – przejazdy samochodem 2022 (model), po prawej przejazdy biznesowe, pod spodem pozostałe." title="Rysunek 40 Modelowa więźba ruchu pasażerskiego w transporcie indywidualnym wg motywacji (bazowy ZMR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0720" cy="7039676"/>
                    </a:xfrm>
                    <a:prstGeom prst="rect">
                      <a:avLst/>
                    </a:prstGeom>
                    <a:noFill/>
                    <a:ln>
                      <a:noFill/>
                    </a:ln>
                  </pic:spPr>
                </pic:pic>
              </a:graphicData>
            </a:graphic>
          </wp:inline>
        </w:drawing>
      </w:r>
    </w:p>
    <w:p w14:paraId="62E18422" w14:textId="558C518B" w:rsidR="00D425FA" w:rsidRPr="008D78BC" w:rsidRDefault="007453B0" w:rsidP="00F8235B">
      <w:pPr>
        <w:rPr>
          <w:color w:val="000000" w:themeColor="text1"/>
        </w:rPr>
      </w:pPr>
      <w:r w:rsidRPr="009B78DA">
        <w:rPr>
          <w:rFonts w:ascii="Arial" w:hAnsi="Arial" w:cs="Arial"/>
          <w:color w:val="000000" w:themeColor="text1"/>
          <w:sz w:val="22"/>
          <w:szCs w:val="22"/>
        </w:rPr>
        <w:t>Źródło: Opracowanie eksperckie (2023) na podstawie materiałów CUPT</w:t>
      </w:r>
      <w:r w:rsidR="008D78BC">
        <w:rPr>
          <w:color w:val="000000" w:themeColor="text1"/>
        </w:rPr>
        <w:t>.</w:t>
      </w:r>
    </w:p>
    <w:p w14:paraId="2CF35642" w14:textId="532F57B5" w:rsidR="001D7F80" w:rsidRPr="009B78DA" w:rsidRDefault="001D7F80" w:rsidP="00F8235B">
      <w:pPr>
        <w:pStyle w:val="Legenda"/>
        <w:keepNext/>
        <w:rPr>
          <w:rFonts w:ascii="Arial" w:hAnsi="Arial" w:cs="Arial"/>
          <w:i w:val="0"/>
          <w:color w:val="000000" w:themeColor="text1"/>
          <w:sz w:val="22"/>
          <w:szCs w:val="22"/>
        </w:rPr>
      </w:pPr>
      <w:bookmarkStart w:id="190" w:name="_Toc146785670"/>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Modelowa więźba ruchu pasażerskiego w transporcie z</w:t>
      </w:r>
      <w:r w:rsidR="00F8235B">
        <w:rPr>
          <w:rFonts w:ascii="Arial" w:hAnsi="Arial" w:cs="Arial"/>
          <w:i w:val="0"/>
          <w:color w:val="000000" w:themeColor="text1"/>
          <w:sz w:val="22"/>
          <w:szCs w:val="22"/>
        </w:rPr>
        <w:t xml:space="preserve">biorowym wg motywacji </w:t>
      </w:r>
      <w:r w:rsidRPr="009B78DA">
        <w:rPr>
          <w:rFonts w:ascii="Arial" w:hAnsi="Arial" w:cs="Arial"/>
          <w:i w:val="0"/>
          <w:color w:val="000000" w:themeColor="text1"/>
          <w:sz w:val="22"/>
          <w:szCs w:val="22"/>
        </w:rPr>
        <w:t>(bazowy ZMR 2022)</w:t>
      </w:r>
      <w:bookmarkEnd w:id="190"/>
    </w:p>
    <w:p w14:paraId="721DD583" w14:textId="4ADA82B6" w:rsidR="007453B0" w:rsidRPr="009B78DA" w:rsidRDefault="007453B0" w:rsidP="007453B0">
      <w:pPr>
        <w:rPr>
          <w:color w:val="000000" w:themeColor="text1"/>
        </w:rPr>
      </w:pPr>
      <w:r w:rsidRPr="009B78DA">
        <w:rPr>
          <w:noProof/>
          <w:color w:val="000000" w:themeColor="text1"/>
        </w:rPr>
        <w:drawing>
          <wp:inline distT="0" distB="0" distL="0" distR="0" wp14:anchorId="72FCE3C9" wp14:editId="6439CB26">
            <wp:extent cx="5760720" cy="7039676"/>
            <wp:effectExtent l="0" t="0" r="0" b="8890"/>
            <wp:docPr id="11" name="Obraz 11" descr="Województwo podkarpackie w tym największe miasta powiatowe. Po lewej dojazdy do pracy – przejazdy transportem publicznym 2022 (model), po prawej przejazdy biznesowe, pod spodem pozostałe." title="Rysunek 41 Modelowa więźba ruchu pasażerskiego w transporcie zbiorowym wg motywacji (bazowy ZMR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7039676"/>
                    </a:xfrm>
                    <a:prstGeom prst="rect">
                      <a:avLst/>
                    </a:prstGeom>
                    <a:noFill/>
                    <a:ln>
                      <a:noFill/>
                    </a:ln>
                  </pic:spPr>
                </pic:pic>
              </a:graphicData>
            </a:graphic>
          </wp:inline>
        </w:drawing>
      </w:r>
    </w:p>
    <w:p w14:paraId="79F49D70" w14:textId="77777777" w:rsidR="007453B0" w:rsidRPr="009B78DA" w:rsidRDefault="007453B0" w:rsidP="009F13EC">
      <w:pPr>
        <w:rPr>
          <w:color w:val="000000" w:themeColor="text1"/>
        </w:rPr>
      </w:pPr>
      <w:r w:rsidRPr="009B78DA">
        <w:rPr>
          <w:rFonts w:ascii="Arial" w:hAnsi="Arial" w:cs="Arial"/>
          <w:color w:val="000000" w:themeColor="text1"/>
          <w:sz w:val="22"/>
          <w:szCs w:val="22"/>
        </w:rPr>
        <w:t>Źródło: Opracowanie eksperckie (2023) na podstawie materiałów CUPT</w:t>
      </w:r>
      <w:r w:rsidRPr="009B78DA">
        <w:rPr>
          <w:color w:val="000000" w:themeColor="text1"/>
        </w:rPr>
        <w:t>.</w:t>
      </w:r>
    </w:p>
    <w:p w14:paraId="020E987A" w14:textId="21F3C056" w:rsidR="00D425FA" w:rsidRPr="009B78DA" w:rsidRDefault="00D425FA" w:rsidP="009F13EC">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Rozkład ruchu w motywacji „pozostałe” wskazuje, że transport publiczny poza dojazdami do pracy wykorzystywany jest przede wszystkim w dojazdach do Rzeszowa (szkoły, inne usługi). Intensywność dojazdów jest ponownie wyraźnie większa niż ukazana </w:t>
      </w:r>
      <w:r w:rsidR="009F13EC">
        <w:rPr>
          <w:rFonts w:ascii="Arial" w:hAnsi="Arial" w:cs="Arial"/>
          <w:color w:val="000000" w:themeColor="text1"/>
          <w:sz w:val="22"/>
          <w:szCs w:val="22"/>
        </w:rPr>
        <w:br/>
      </w:r>
      <w:r w:rsidRPr="009B78DA">
        <w:rPr>
          <w:rFonts w:ascii="Arial" w:hAnsi="Arial" w:cs="Arial"/>
          <w:color w:val="000000" w:themeColor="text1"/>
          <w:sz w:val="22"/>
          <w:szCs w:val="22"/>
        </w:rPr>
        <w:t>w modelu bazowym ZMR 2019. Różnica dotyczy jednak przede wszystkim wspomnianych dojazdów do stolicy województwa. Inne relacje, w tym do ośrodków subregionalnych, nie odbiegają od notowanych w poprzedniej wersji modelu. Nadal wyróżnia się Mielec, Stalowa Wola, Krosno</w:t>
      </w:r>
      <w:r w:rsidR="00CA4F5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i Przemyśl. Mocniejsze wydają się także relacje zewnętrzne, szczególnie </w:t>
      </w:r>
      <w:r w:rsidR="005F7D0E">
        <w:rPr>
          <w:rFonts w:ascii="Arial" w:hAnsi="Arial" w:cs="Arial"/>
          <w:color w:val="000000" w:themeColor="text1"/>
          <w:sz w:val="22"/>
          <w:szCs w:val="22"/>
        </w:rPr>
        <w:br/>
      </w:r>
      <w:r w:rsidRPr="009B78DA">
        <w:rPr>
          <w:rFonts w:ascii="Arial" w:hAnsi="Arial" w:cs="Arial"/>
          <w:color w:val="000000" w:themeColor="text1"/>
          <w:sz w:val="22"/>
          <w:szCs w:val="22"/>
        </w:rPr>
        <w:t>z Warszawą</w:t>
      </w:r>
      <w:r w:rsidR="00CA4F5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i Lublinem. Może to wskazywać na wzrost roli transportu  publicznego z tych miast (także</w:t>
      </w:r>
      <w:r w:rsidR="00CA4F5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w ruchu turystycznym, ale być może również w pomigracyjnym – przejazdy studentów, odwiedziny krewnych i znajomych).</w:t>
      </w:r>
    </w:p>
    <w:p w14:paraId="04FC39CB" w14:textId="7D38C817" w:rsidR="00D425FA" w:rsidRPr="009B78DA" w:rsidRDefault="00FA2BFC" w:rsidP="009F13EC">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Na podstawie wcześniejszych analiz dowodzono</w:t>
      </w:r>
      <w:r w:rsidR="00D425FA" w:rsidRPr="009B78DA">
        <w:rPr>
          <w:rFonts w:ascii="Arial" w:hAnsi="Arial" w:cs="Arial"/>
          <w:color w:val="000000" w:themeColor="text1"/>
          <w:sz w:val="22"/>
          <w:szCs w:val="22"/>
        </w:rPr>
        <w:t xml:space="preserve">, że ZMR 2019 niedoszacowywał ruchu na drogach województwa podkarpackiego (w porównaniu do branych wówczas pod uwagę nowych wyników GPR 2020/2021). </w:t>
      </w:r>
      <w:r w:rsidRPr="009B78DA">
        <w:rPr>
          <w:rFonts w:ascii="Arial" w:hAnsi="Arial" w:cs="Arial"/>
          <w:color w:val="000000" w:themeColor="text1"/>
          <w:sz w:val="22"/>
          <w:szCs w:val="22"/>
        </w:rPr>
        <w:t>M</w:t>
      </w:r>
      <w:r w:rsidR="00D425FA" w:rsidRPr="009B78DA">
        <w:rPr>
          <w:rFonts w:ascii="Arial" w:hAnsi="Arial" w:cs="Arial"/>
          <w:color w:val="000000" w:themeColor="text1"/>
          <w:sz w:val="22"/>
          <w:szCs w:val="22"/>
        </w:rPr>
        <w:t xml:space="preserve">odel </w:t>
      </w:r>
      <w:r w:rsidRPr="009B78DA">
        <w:rPr>
          <w:rFonts w:ascii="Arial" w:hAnsi="Arial" w:cs="Arial"/>
          <w:color w:val="000000" w:themeColor="text1"/>
          <w:sz w:val="22"/>
          <w:szCs w:val="22"/>
        </w:rPr>
        <w:t xml:space="preserve">z rokiem bazowym 2022 </w:t>
      </w:r>
      <w:r w:rsidR="00D425FA" w:rsidRPr="009B78DA">
        <w:rPr>
          <w:rFonts w:ascii="Arial" w:hAnsi="Arial" w:cs="Arial"/>
          <w:color w:val="000000" w:themeColor="text1"/>
          <w:sz w:val="22"/>
          <w:szCs w:val="22"/>
        </w:rPr>
        <w:t>jest pod tym względem lepiej dopasowany. Dotyczy to zarówno niedoszacowania  efektu autostrady A4, jak też w szczególności ruchu indywidualnego do Rzeszowa (na trasach wlotowych, szczególnie DK9 i DW878) oraz w Karpatach. Jednocześnie pewne niedoszacowania (względem GPR) pozostały widoczne w rejonie niektórych ośrodków subregionalnych (zwłaszcza Mielca).</w:t>
      </w:r>
    </w:p>
    <w:p w14:paraId="3E7F1252" w14:textId="1DA89935" w:rsidR="000706C6" w:rsidRPr="005F7D0E" w:rsidRDefault="0092260E" w:rsidP="005F7D0E">
      <w:pPr>
        <w:spacing w:after="12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Reasumując, n</w:t>
      </w:r>
      <w:r w:rsidR="00D425FA" w:rsidRPr="009B78DA">
        <w:rPr>
          <w:rFonts w:ascii="Arial" w:hAnsi="Arial" w:cs="Arial"/>
          <w:color w:val="000000" w:themeColor="text1"/>
          <w:sz w:val="22"/>
          <w:szCs w:val="22"/>
        </w:rPr>
        <w:t xml:space="preserve">owy model bazowy ZMR 2022 </w:t>
      </w:r>
      <w:r w:rsidR="00FA2BFC" w:rsidRPr="009B78DA">
        <w:rPr>
          <w:rFonts w:ascii="Arial" w:hAnsi="Arial" w:cs="Arial"/>
          <w:color w:val="000000" w:themeColor="text1"/>
          <w:sz w:val="22"/>
          <w:szCs w:val="22"/>
        </w:rPr>
        <w:t>oddaje sytuację w województwie podkarpackim lepiej niż model ZMR 2019.</w:t>
      </w:r>
      <w:r w:rsidRPr="009B78DA">
        <w:rPr>
          <w:rFonts w:ascii="Arial" w:hAnsi="Arial" w:cs="Arial"/>
          <w:color w:val="000000" w:themeColor="text1"/>
          <w:sz w:val="22"/>
          <w:szCs w:val="22"/>
        </w:rPr>
        <w:t xml:space="preserve"> Przy tym pozwala on l</w:t>
      </w:r>
      <w:r w:rsidR="00D425FA" w:rsidRPr="009B78DA">
        <w:rPr>
          <w:rFonts w:ascii="Arial" w:hAnsi="Arial" w:cs="Arial"/>
          <w:color w:val="000000" w:themeColor="text1"/>
          <w:sz w:val="22"/>
          <w:szCs w:val="22"/>
        </w:rPr>
        <w:t>epiej uwzględni</w:t>
      </w:r>
      <w:r w:rsidRPr="009B78DA">
        <w:rPr>
          <w:rFonts w:ascii="Arial" w:hAnsi="Arial" w:cs="Arial"/>
          <w:color w:val="000000" w:themeColor="text1"/>
          <w:sz w:val="22"/>
          <w:szCs w:val="22"/>
        </w:rPr>
        <w:t>ć</w:t>
      </w:r>
      <w:r w:rsidR="00D425FA" w:rsidRPr="009B78DA">
        <w:rPr>
          <w:rFonts w:ascii="Arial" w:hAnsi="Arial" w:cs="Arial"/>
          <w:color w:val="000000" w:themeColor="text1"/>
          <w:sz w:val="22"/>
          <w:szCs w:val="22"/>
        </w:rPr>
        <w:t xml:space="preserve"> przede wszystkim bardzo silną pozycję Rzeszowa jako destynacji w różnych motywacjach, zarówno w transporcie indywidualnym, jak i zbiorowym. Sytuacja w otoczeniu subregionalnych biegunów wzrostu oraz w strefach peryfer</w:t>
      </w:r>
      <w:r w:rsidR="005F7D0E">
        <w:rPr>
          <w:rFonts w:ascii="Arial" w:hAnsi="Arial" w:cs="Arial"/>
          <w:color w:val="000000" w:themeColor="text1"/>
          <w:sz w:val="22"/>
          <w:szCs w:val="22"/>
        </w:rPr>
        <w:t>yjnych jest mniej jednoznaczna.</w:t>
      </w:r>
    </w:p>
    <w:p w14:paraId="19D4A44B" w14:textId="416D5751" w:rsidR="00A45818" w:rsidRPr="005F7D0E" w:rsidRDefault="000706C6" w:rsidP="005F7D0E">
      <w:pPr>
        <w:pStyle w:val="Legenda"/>
        <w:numPr>
          <w:ilvl w:val="2"/>
          <w:numId w:val="243"/>
        </w:numPr>
        <w:suppressLineNumbers/>
        <w:spacing w:after="120" w:line="276" w:lineRule="auto"/>
        <w:ind w:left="1077"/>
        <w:rPr>
          <w:rFonts w:ascii="Arial" w:hAnsi="Arial" w:cs="Arial"/>
          <w:b/>
          <w:i w:val="0"/>
          <w:color w:val="000000" w:themeColor="text1"/>
          <w:sz w:val="22"/>
          <w:szCs w:val="22"/>
        </w:rPr>
      </w:pPr>
      <w:bookmarkStart w:id="191" w:name="_Hlk118978773"/>
      <w:r w:rsidRPr="009B78DA">
        <w:rPr>
          <w:rFonts w:ascii="Arial" w:hAnsi="Arial" w:cs="Arial"/>
          <w:b/>
          <w:i w:val="0"/>
          <w:color w:val="000000" w:themeColor="text1"/>
          <w:sz w:val="22"/>
          <w:szCs w:val="22"/>
        </w:rPr>
        <w:t>Model CUPT a analiza popytowa w ramach diagnozy dla PSRT – ocena ogólna</w:t>
      </w:r>
    </w:p>
    <w:p w14:paraId="2BB3BCBC" w14:textId="080F0270" w:rsidR="00A45818" w:rsidRPr="009B78DA" w:rsidRDefault="000706C6" w:rsidP="009F13EC">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Wyniki modelu CUPT dla roku 2019 </w:t>
      </w:r>
      <w:r w:rsidR="00CA4F57" w:rsidRPr="009B78DA">
        <w:rPr>
          <w:rFonts w:ascii="Arial" w:hAnsi="Arial" w:cs="Arial"/>
          <w:i w:val="0"/>
          <w:color w:val="000000" w:themeColor="text1"/>
          <w:sz w:val="22"/>
          <w:szCs w:val="22"/>
        </w:rPr>
        <w:t xml:space="preserve">oraz ZMR 2022 </w:t>
      </w:r>
      <w:r w:rsidRPr="009B78DA">
        <w:rPr>
          <w:rFonts w:ascii="Arial" w:hAnsi="Arial" w:cs="Arial"/>
          <w:i w:val="0"/>
          <w:color w:val="000000" w:themeColor="text1"/>
          <w:sz w:val="22"/>
          <w:szCs w:val="22"/>
        </w:rPr>
        <w:t>mogą stanowić uzupełnienie dla przeprowadzonej analizy popytowej (część diagnostyczna PSRT). Ich wartość przejawia się m.in. w tworzeniu podstawy pod przyszłe prognozy.</w:t>
      </w:r>
    </w:p>
    <w:bookmarkEnd w:id="191"/>
    <w:p w14:paraId="12850D93" w14:textId="42DD3D22" w:rsidR="00A45818" w:rsidRPr="009B78DA" w:rsidRDefault="000706C6" w:rsidP="009F13EC">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Wyniki modelu w zdecydowanej mierze potwierdzają wnioski z diagnozy przygotowanej na potrzeby regionalnego planu transportowego. Potwierdzona została policentryczna struktura sieci osadniczej regionu, a także wybór subregionalnych biegunów wzrostu </w:t>
      </w:r>
      <w:r w:rsidR="005F7D0E">
        <w:rPr>
          <w:rFonts w:ascii="Arial" w:hAnsi="Arial" w:cs="Arial"/>
          <w:i w:val="0"/>
          <w:color w:val="000000" w:themeColor="text1"/>
          <w:sz w:val="22"/>
          <w:szCs w:val="22"/>
        </w:rPr>
        <w:t xml:space="preserve">wraz </w:t>
      </w:r>
      <w:r w:rsidR="008E73BD" w:rsidRPr="009B78DA">
        <w:rPr>
          <w:rFonts w:ascii="Arial" w:hAnsi="Arial" w:cs="Arial"/>
          <w:i w:val="0"/>
          <w:color w:val="000000" w:themeColor="text1"/>
          <w:sz w:val="22"/>
          <w:szCs w:val="22"/>
        </w:rPr>
        <w:t>z obszarami funkcjonalnymi</w:t>
      </w:r>
      <w:r w:rsidRPr="009B78DA">
        <w:rPr>
          <w:rFonts w:ascii="Arial" w:hAnsi="Arial" w:cs="Arial"/>
          <w:i w:val="0"/>
          <w:color w:val="000000" w:themeColor="text1"/>
          <w:sz w:val="22"/>
          <w:szCs w:val="22"/>
        </w:rPr>
        <w:t xml:space="preserve">. Jednocześnie wykonane modelowanie wskazało, że warunkiem funkcjonowania struktury policentrycznej województwa są obecnie powiązania w transporcie indywidualnym. Transport zbiorowy pozostaje konkurencyjny tylko </w:t>
      </w:r>
      <w:r w:rsidR="005F7D0E">
        <w:rPr>
          <w:rFonts w:ascii="Arial" w:hAnsi="Arial" w:cs="Arial"/>
          <w:i w:val="0"/>
          <w:color w:val="000000" w:themeColor="text1"/>
          <w:sz w:val="22"/>
          <w:szCs w:val="22"/>
        </w:rPr>
        <w:br/>
      </w:r>
      <w:r w:rsidRPr="009B78DA">
        <w:rPr>
          <w:rFonts w:ascii="Arial" w:hAnsi="Arial" w:cs="Arial"/>
          <w:i w:val="0"/>
          <w:color w:val="000000" w:themeColor="text1"/>
          <w:sz w:val="22"/>
          <w:szCs w:val="22"/>
        </w:rPr>
        <w:t>w niektórych relacjach, nie tworzy układu sieciowego mogącego być podstawą takich struktur.</w:t>
      </w:r>
    </w:p>
    <w:p w14:paraId="1A232D99" w14:textId="46273D47" w:rsidR="00A45818" w:rsidRPr="009B78DA" w:rsidRDefault="000706C6" w:rsidP="009F13EC">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Model potwierdził też, że znaczne obszary województwa podkarpackiego mogą być potencjalnie zagrożone wykluczeniem transportowym. Jednocześnie zdiagnozował popyt na infrastrukturę i przewozy na obszarach peryferyjnych, gdzie współczesne dojazdy do pracy nie są duże. Popyt ten trzeba wiązać z koniecznością dojazdów do usług publicznych. Jest to zatem popyt obejmujący często ludność o utrudnionym dostępie do transportu indywidualnego (młodzież licealna w dojazdach do szkół, osoby starsze w dojazdach do placówek handlowych, ochrony zdrowia i innych usług publicznych). W tym kontekście szczególnie uwidoczniło się znaczenie relacji względem kilku peryferyjnych ośrodków powiatowych (Lubaczów, Ustrzyki Dolne, Lesko, ale także Przemyśl i Jasło). Generalnie wydaje się, że modelowanie wzmocniło rolę usług publicznych jako czynnika popytowego </w:t>
      </w:r>
      <w:r w:rsidR="005F7D0E">
        <w:rPr>
          <w:rFonts w:ascii="Arial" w:hAnsi="Arial" w:cs="Arial"/>
          <w:i w:val="0"/>
          <w:color w:val="000000" w:themeColor="text1"/>
          <w:sz w:val="22"/>
          <w:szCs w:val="22"/>
        </w:rPr>
        <w:br/>
      </w:r>
      <w:r w:rsidRPr="009B78DA">
        <w:rPr>
          <w:rFonts w:ascii="Arial" w:hAnsi="Arial" w:cs="Arial"/>
          <w:i w:val="0"/>
          <w:color w:val="000000" w:themeColor="text1"/>
          <w:sz w:val="22"/>
          <w:szCs w:val="22"/>
        </w:rPr>
        <w:t>w transporcie. Jest to zrozumiałe biorąc pod uwagę braki w danych statystycznych odnośnie dojazdów do desty</w:t>
      </w:r>
      <w:r w:rsidR="005F7D0E">
        <w:rPr>
          <w:rFonts w:ascii="Arial" w:hAnsi="Arial" w:cs="Arial"/>
          <w:i w:val="0"/>
          <w:color w:val="000000" w:themeColor="text1"/>
          <w:sz w:val="22"/>
          <w:szCs w:val="22"/>
        </w:rPr>
        <w:t>nacji innych niż miejsca pracy.</w:t>
      </w:r>
    </w:p>
    <w:p w14:paraId="70D928D6" w14:textId="7FA3200E" w:rsidR="00A45818" w:rsidRPr="009B78DA" w:rsidRDefault="000706C6" w:rsidP="009F13EC">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Model wykazał pośrednio istnienie potencjału dla rozwoju transportu publicznego </w:t>
      </w:r>
      <w:r w:rsidR="005F7D0E">
        <w:rPr>
          <w:rFonts w:ascii="Arial" w:hAnsi="Arial" w:cs="Arial"/>
          <w:i w:val="0"/>
          <w:color w:val="000000" w:themeColor="text1"/>
          <w:sz w:val="22"/>
          <w:szCs w:val="22"/>
        </w:rPr>
        <w:br/>
      </w:r>
      <w:r w:rsidRPr="009B78DA">
        <w:rPr>
          <w:rFonts w:ascii="Arial" w:hAnsi="Arial" w:cs="Arial"/>
          <w:i w:val="0"/>
          <w:color w:val="000000" w:themeColor="text1"/>
          <w:sz w:val="22"/>
          <w:szCs w:val="22"/>
        </w:rPr>
        <w:t>w rejonie Rzeszowa (kolej aglomeracyjna), a także kilku innych ośrodków, w tym szczególnie Stalowej Woli oraz Mielca. Potwierdzono także, że jedynie duże inwestycje w transporcie publicznym, przynoszące jednocześnie znaczne zwiększenie prędkości i komfortu przejazdu, powodują przejęcie części przepływów osobowych od transportu indywidualnego (układ równoleżnikowi zmodernizowanej kolei, przy braku podobnych efektów w również modernizowanym układzie południkowym). Na podstawie wyników modelowania możliwe wydaje się wskazanie obszarów, gdzie transport publiczny służy przede wszystkim dojazdom do pracy (a jednocześnie może przejąć potoki od samochodów prywatnych) oraz tych gdzie jego głównym celem jest obsługa dojazdu określonych grup społecznych do usług pożytku publicznego. Może to stanowić podstawę do większej terytorializacji wsparcia dla komunikacji zbiorowej.</w:t>
      </w:r>
    </w:p>
    <w:p w14:paraId="57A62627" w14:textId="3011AA9B" w:rsidR="00BF0299" w:rsidRPr="009B78DA" w:rsidRDefault="000706C6" w:rsidP="005F7D0E">
      <w:pPr>
        <w:pStyle w:val="Legenda"/>
        <w:spacing w:after="12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Ponadto model potwierdził również znaczenie modernizacji niektórych dróg krajowych (nie planowanych obecnie jako ekspresowe) oraz wojewódzkich, które mogą w rosnącym stopniu przejmować dodatkowo ruch tranzytowy, w tym zwłaszcza ruch pojazdów ciężkich </w:t>
      </w:r>
      <w:r w:rsidR="00956C5F" w:rsidRPr="009B78DA">
        <w:rPr>
          <w:rFonts w:ascii="Arial" w:hAnsi="Arial" w:cs="Arial"/>
          <w:i w:val="0"/>
          <w:color w:val="000000" w:themeColor="text1"/>
          <w:sz w:val="22"/>
          <w:szCs w:val="22"/>
        </w:rPr>
        <w:br/>
      </w:r>
      <w:r w:rsidRPr="009B78DA">
        <w:rPr>
          <w:rFonts w:ascii="Arial" w:hAnsi="Arial" w:cs="Arial"/>
          <w:i w:val="0"/>
          <w:color w:val="000000" w:themeColor="text1"/>
          <w:sz w:val="22"/>
          <w:szCs w:val="22"/>
        </w:rPr>
        <w:t>w transporcie towarowym.</w:t>
      </w:r>
    </w:p>
    <w:p w14:paraId="4DB6F386" w14:textId="342E54AE" w:rsidR="0063238F" w:rsidRPr="009B78DA" w:rsidRDefault="00FB454D" w:rsidP="009F13EC">
      <w:pPr>
        <w:pStyle w:val="Akapitzlist"/>
        <w:numPr>
          <w:ilvl w:val="2"/>
          <w:numId w:val="243"/>
        </w:numPr>
        <w:rPr>
          <w:rFonts w:ascii="Arial" w:hAnsi="Arial" w:cs="Arial"/>
          <w:b/>
          <w:iCs/>
          <w:color w:val="000000" w:themeColor="text1"/>
          <w:sz w:val="22"/>
          <w:szCs w:val="22"/>
        </w:rPr>
      </w:pPr>
      <w:r w:rsidRPr="009B78DA">
        <w:rPr>
          <w:rFonts w:ascii="Arial" w:hAnsi="Arial" w:cs="Arial"/>
          <w:b/>
          <w:iCs/>
          <w:color w:val="000000" w:themeColor="text1"/>
          <w:sz w:val="22"/>
          <w:szCs w:val="22"/>
        </w:rPr>
        <w:t>P</w:t>
      </w:r>
      <w:r w:rsidR="00BF1DAA" w:rsidRPr="009B78DA">
        <w:rPr>
          <w:rFonts w:ascii="Arial" w:hAnsi="Arial" w:cs="Arial"/>
          <w:b/>
          <w:iCs/>
          <w:color w:val="000000" w:themeColor="text1"/>
          <w:sz w:val="22"/>
          <w:szCs w:val="22"/>
        </w:rPr>
        <w:t>rognozowana więźba ruchu (ZMR BAU2030 wersja 3.0)</w:t>
      </w:r>
    </w:p>
    <w:p w14:paraId="3A5275BF" w14:textId="33753822" w:rsidR="00B045A4" w:rsidRPr="009B78DA" w:rsidRDefault="00B045A4" w:rsidP="009F13EC">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Jak już zaznaczono, model BAU2030 (wersja 3.0) obrazuje zarówno zmiany, które wiążą się z prognozami demograficznymi i społeczno-gospodarczymi sytuacji na rok 2030, jak też wynikające z rozbudowy infrastruktury nie tylko do roku 2025, ale także do roku 2030.</w:t>
      </w:r>
      <w:r w:rsidR="005F7D0E">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 xml:space="preserve">W przeciwieństwie do poprzedniej wersji BAU2030 z roku 2022 jest to zatem realny model </w:t>
      </w:r>
      <w:r w:rsidR="005F7D0E">
        <w:rPr>
          <w:rFonts w:ascii="Arial" w:hAnsi="Arial" w:cs="Arial"/>
          <w:i w:val="0"/>
          <w:color w:val="000000" w:themeColor="text1"/>
          <w:sz w:val="22"/>
          <w:szCs w:val="22"/>
        </w:rPr>
        <w:br/>
      </w:r>
      <w:r w:rsidRPr="009B78DA">
        <w:rPr>
          <w:rFonts w:ascii="Arial" w:hAnsi="Arial" w:cs="Arial"/>
          <w:i w:val="0"/>
          <w:color w:val="000000" w:themeColor="text1"/>
          <w:sz w:val="22"/>
          <w:szCs w:val="22"/>
        </w:rPr>
        <w:t>o charakterze prognostycznym. Tym samym jeszcze cenniejsze są informacje, jakich dostarcza porównanie jego wyników względem modelu bazowego (w tym wypadku już nowego, omówionego wyżej ZMR 2022). Dalsze rozważania koncentrują się na prognozowanych rozkładach oraz na takim właśnie porównaniu.</w:t>
      </w:r>
      <w:r w:rsidR="00A616EA"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 xml:space="preserve">Możliwe jest </w:t>
      </w:r>
      <w:r w:rsidR="00A616EA" w:rsidRPr="009B78DA">
        <w:rPr>
          <w:rFonts w:ascii="Arial" w:hAnsi="Arial" w:cs="Arial"/>
          <w:i w:val="0"/>
          <w:color w:val="000000" w:themeColor="text1"/>
          <w:sz w:val="22"/>
          <w:szCs w:val="22"/>
        </w:rPr>
        <w:t xml:space="preserve">też </w:t>
      </w:r>
      <w:r w:rsidRPr="009B78DA">
        <w:rPr>
          <w:rFonts w:ascii="Arial" w:hAnsi="Arial" w:cs="Arial"/>
          <w:i w:val="0"/>
          <w:color w:val="000000" w:themeColor="text1"/>
          <w:sz w:val="22"/>
          <w:szCs w:val="22"/>
        </w:rPr>
        <w:t>wzajemne odniesienie zmian wynikających z wykorzystania nowego modelu bazowego (ZMR 2019 na ZMR 2022) względem zmian prognozowanych. Daje to pewne przesłanki do obecnej oraz przyszłej dynamiki ruchu na szlakach transportowych regionu.</w:t>
      </w:r>
    </w:p>
    <w:p w14:paraId="087BE40D" w14:textId="29056FB1" w:rsidR="00B045A4" w:rsidRPr="009B78DA" w:rsidRDefault="00B045A4" w:rsidP="009F13EC">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Ogólny modelowy rozkład ruchu w obu rodzajach transportu jest w roku 2030 bardzo podobny do notowanego w 2022 (model bazowy). Dlatego rozważania dotyczące jego zmian traktować należy ostrożnie, gdyż niekiedy dotyczą one niewielkich wartości. Mimo to wydają się mieć znaczenie dla polityki transportowej, jako wyznaczniki jej potrzebnych przeszłych korekt. Różnica w rozkładach pomiędzy modelem dla podróży samochodem osobowym</w:t>
      </w:r>
      <w:r w:rsidR="00A616EA" w:rsidRPr="009B78DA">
        <w:rPr>
          <w:rFonts w:ascii="Arial" w:hAnsi="Arial" w:cs="Arial"/>
          <w:i w:val="0"/>
          <w:color w:val="000000" w:themeColor="text1"/>
          <w:sz w:val="22"/>
          <w:szCs w:val="22"/>
        </w:rPr>
        <w:t xml:space="preserve"> </w:t>
      </w:r>
      <w:r w:rsidR="005F7D0E">
        <w:rPr>
          <w:rFonts w:ascii="Arial" w:hAnsi="Arial" w:cs="Arial"/>
          <w:i w:val="0"/>
          <w:color w:val="000000" w:themeColor="text1"/>
          <w:sz w:val="22"/>
          <w:szCs w:val="22"/>
        </w:rPr>
        <w:br/>
      </w:r>
      <w:r w:rsidRPr="009B78DA">
        <w:rPr>
          <w:rFonts w:ascii="Arial" w:hAnsi="Arial" w:cs="Arial"/>
          <w:i w:val="0"/>
          <w:color w:val="000000" w:themeColor="text1"/>
          <w:sz w:val="22"/>
          <w:szCs w:val="22"/>
        </w:rPr>
        <w:t>i transportem zbiorowym</w:t>
      </w:r>
      <w:r w:rsidR="00763D80"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jakiej oczekujemy w roku 2030 jest nadal bardzo wyraźna. W obu przypadkach odnotowuje się koncentrację podróży w otoczeniu Rzeszowa (bardzo silna dominacja) oraz najważniejszych biegunów wzrostu (Mielca, Stalowej Woli, Tarnobrzega, Jarosławia, Przemyśla, Sanoka, Krosna i Jasła). Zdecydowanie słabiej widocznym biegunem subregionalnym pozostaje Lubaczów. Układ peryferii o mniejszej intensywności relacji widoczny jest wyraźniej w przypadku transportu zbiorowego i analogicznie jak w roku 2022 obejmuje Karpaty, północno-wschodnią część województwa, a także  okolice Lubaczowa</w:t>
      </w:r>
      <w:r w:rsidR="00A616EA" w:rsidRPr="009B78DA">
        <w:rPr>
          <w:rFonts w:ascii="Arial" w:hAnsi="Arial" w:cs="Arial"/>
          <w:i w:val="0"/>
          <w:color w:val="000000" w:themeColor="text1"/>
          <w:sz w:val="22"/>
          <w:szCs w:val="22"/>
        </w:rPr>
        <w:t xml:space="preserve"> </w:t>
      </w:r>
      <w:r w:rsidR="005F7D0E">
        <w:rPr>
          <w:rFonts w:ascii="Arial" w:hAnsi="Arial" w:cs="Arial"/>
          <w:i w:val="0"/>
          <w:color w:val="000000" w:themeColor="text1"/>
          <w:sz w:val="22"/>
          <w:szCs w:val="22"/>
        </w:rPr>
        <w:br/>
      </w:r>
      <w:r w:rsidRPr="009B78DA">
        <w:rPr>
          <w:rFonts w:ascii="Arial" w:hAnsi="Arial" w:cs="Arial"/>
          <w:i w:val="0"/>
          <w:color w:val="000000" w:themeColor="text1"/>
          <w:sz w:val="22"/>
          <w:szCs w:val="22"/>
        </w:rPr>
        <w:t>i strefę na północ od Sanoka (Pogórze Dynowskie). Mocne są prognozowane powiązania poza granice województwa (zwłaszcza w transporcie indywidualnym) w stronę Krakowa, Warszawy i Lublina, ale także do Kielc, No</w:t>
      </w:r>
      <w:r w:rsidR="005F7D0E">
        <w:rPr>
          <w:rFonts w:ascii="Arial" w:hAnsi="Arial" w:cs="Arial"/>
          <w:i w:val="0"/>
          <w:color w:val="000000" w:themeColor="text1"/>
          <w:sz w:val="22"/>
          <w:szCs w:val="22"/>
        </w:rPr>
        <w:t>wego Sącza, Tarnowa i Zamościa.</w:t>
      </w:r>
    </w:p>
    <w:p w14:paraId="13E87B07" w14:textId="5650A65B" w:rsidR="00B045A4" w:rsidRPr="009B78DA" w:rsidRDefault="00B045A4" w:rsidP="009F13EC">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 transporcie zbiorowym najsilniejsza relacja uwidacznia się względem Krakowa, mniej wyraźna, ale też moc</w:t>
      </w:r>
      <w:r w:rsidR="005F7D0E">
        <w:rPr>
          <w:rFonts w:ascii="Arial" w:hAnsi="Arial" w:cs="Arial"/>
          <w:i w:val="0"/>
          <w:color w:val="000000" w:themeColor="text1"/>
          <w:sz w:val="22"/>
          <w:szCs w:val="22"/>
        </w:rPr>
        <w:t>na w stronę Warszawy i Lublina.</w:t>
      </w:r>
    </w:p>
    <w:p w14:paraId="01A7B2B8" w14:textId="537DFED7" w:rsidR="00B045A4" w:rsidRPr="009B78DA" w:rsidRDefault="00B045A4" w:rsidP="005F7D0E">
      <w:pPr>
        <w:pStyle w:val="Legenda"/>
        <w:spacing w:after="12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Modelowana więźba ruchu potwierdza, że w obrębie regionu, także w roku 2030 będą się utrzymać rozległe strefy zagrożenia wykluczeniem transportowym. W przeciwieństwie do wcześniejszych wniosków </w:t>
      </w:r>
      <w:r w:rsidR="00763D80" w:rsidRPr="009B78DA">
        <w:rPr>
          <w:rFonts w:ascii="Arial" w:hAnsi="Arial" w:cs="Arial"/>
          <w:i w:val="0"/>
          <w:color w:val="000000" w:themeColor="text1"/>
          <w:sz w:val="22"/>
          <w:szCs w:val="22"/>
        </w:rPr>
        <w:t xml:space="preserve">uzyskiwanych na bazie poprzednich danych </w:t>
      </w:r>
      <w:r w:rsidRPr="009B78DA">
        <w:rPr>
          <w:rFonts w:ascii="Arial" w:hAnsi="Arial" w:cs="Arial"/>
          <w:i w:val="0"/>
          <w:color w:val="000000" w:themeColor="text1"/>
          <w:sz w:val="22"/>
          <w:szCs w:val="22"/>
        </w:rPr>
        <w:t xml:space="preserve">nie wydaje się, aby strefy te miały ulec znacznemu powiększeniu. Można to interpretować jako pozytywny wpływ inwestycji i zmian organizacyjnych (założonych w modelu BAU2030 w wersji 3.0) na zahamowanie niekorzystnych tendencji w zakresie sytuacji transportowej na peryferiach. Tym samym, nieco bardziej pozytywny obraz uzyskany w najnowszej wersji ZMR 3.0 nie zmienia faktu, że niwelowanie zagrożenia wykluczeniem transportowym powinno znajdować się wysoko na liście celów regionalnej polityki transportowej w województwie podkarpackim. Prawdziwy problem związany z wykluczeniem ma ponadto swój silny wymiar strukturalny. </w:t>
      </w:r>
      <w:r w:rsidR="005F7D0E">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Z uwagi na procesy starzenia się społeczeństwa ten sam poziom ruchu identyfikowany </w:t>
      </w:r>
      <w:r w:rsidR="005F7D0E">
        <w:rPr>
          <w:rFonts w:ascii="Arial" w:hAnsi="Arial" w:cs="Arial"/>
          <w:i w:val="0"/>
          <w:color w:val="000000" w:themeColor="text1"/>
          <w:sz w:val="22"/>
          <w:szCs w:val="22"/>
        </w:rPr>
        <w:br/>
      </w:r>
      <w:r w:rsidRPr="009B78DA">
        <w:rPr>
          <w:rFonts w:ascii="Arial" w:hAnsi="Arial" w:cs="Arial"/>
          <w:i w:val="0"/>
          <w:color w:val="000000" w:themeColor="text1"/>
          <w:sz w:val="22"/>
          <w:szCs w:val="22"/>
        </w:rPr>
        <w:t>w więźbie może oznaczać większe zagrożenie wykluczeniem, w warunkach nierosnącego udziału transportu zbiorowego oraz zwiększającego się udziału mobilności fakultatywnej (innej niż dojazdy do pracy) w całym ruchu. Podział więźby ruchu wg podstawowych motywacji (</w:t>
      </w:r>
      <w:r w:rsidR="00F63100" w:rsidRPr="009B78DA">
        <w:rPr>
          <w:rFonts w:ascii="Arial" w:hAnsi="Arial" w:cs="Arial"/>
          <w:i w:val="0"/>
          <w:color w:val="000000" w:themeColor="text1"/>
          <w:sz w:val="22"/>
          <w:szCs w:val="22"/>
        </w:rPr>
        <w:t>ukazany na rysunkach</w:t>
      </w:r>
      <w:r w:rsidRPr="009B78DA">
        <w:rPr>
          <w:rFonts w:ascii="Arial" w:hAnsi="Arial" w:cs="Arial"/>
          <w:i w:val="0"/>
          <w:color w:val="000000" w:themeColor="text1"/>
          <w:sz w:val="22"/>
          <w:szCs w:val="22"/>
        </w:rPr>
        <w:t>) dostarcza pewnych nowych i</w:t>
      </w:r>
      <w:r w:rsidR="005F7D0E">
        <w:rPr>
          <w:rFonts w:ascii="Arial" w:hAnsi="Arial" w:cs="Arial"/>
          <w:i w:val="0"/>
          <w:color w:val="000000" w:themeColor="text1"/>
          <w:sz w:val="22"/>
          <w:szCs w:val="22"/>
        </w:rPr>
        <w:t>nformacji w tym zakresie.</w:t>
      </w:r>
    </w:p>
    <w:p w14:paraId="5E493784" w14:textId="0F295151" w:rsidR="004432D2" w:rsidRPr="009B78DA" w:rsidRDefault="004432D2" w:rsidP="009F13EC">
      <w:pPr>
        <w:pStyle w:val="Legenda"/>
        <w:keepNext/>
        <w:rPr>
          <w:rFonts w:ascii="Arial" w:hAnsi="Arial" w:cs="Arial"/>
          <w:i w:val="0"/>
          <w:color w:val="000000" w:themeColor="text1"/>
          <w:sz w:val="22"/>
          <w:szCs w:val="22"/>
        </w:rPr>
      </w:pPr>
      <w:bookmarkStart w:id="192" w:name="_Toc146785671"/>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Modelowa prognozowana więźba ruchu pasażerskiego w transporcie indywidualnym i zbiorowym (wg ZMR BAU2030 wersja 3.0)</w:t>
      </w:r>
      <w:bookmarkEnd w:id="192"/>
    </w:p>
    <w:p w14:paraId="6CECE51C" w14:textId="53F1852B" w:rsidR="00B045A4" w:rsidRPr="009B78DA" w:rsidRDefault="00DC2C0F" w:rsidP="009D525C">
      <w:pPr>
        <w:pStyle w:val="Legenda"/>
        <w:keepNext/>
        <w:rPr>
          <w:rFonts w:ascii="Arial" w:hAnsi="Arial" w:cs="Arial"/>
          <w:i w:val="0"/>
          <w:color w:val="000000" w:themeColor="text1"/>
          <w:sz w:val="22"/>
          <w:szCs w:val="22"/>
        </w:rPr>
      </w:pPr>
      <w:r w:rsidRPr="009B78DA">
        <w:rPr>
          <w:noProof/>
          <w:color w:val="000000" w:themeColor="text1"/>
        </w:rPr>
        <w:drawing>
          <wp:inline distT="0" distB="0" distL="0" distR="0" wp14:anchorId="67059FD2" wp14:editId="74566900">
            <wp:extent cx="5760720" cy="3524205"/>
            <wp:effectExtent l="0" t="0" r="0" b="635"/>
            <wp:docPr id="1849177358" name="Obraz 1849177358" descr="Województwo podkarpackie w tym największe miasta powiatowe. Po lewej przejazdy samochodem 2030 (model), po prawej przejazdy transportem publicznym 2030 (model)" title="Rysunek 42 Modelowa prognozowana więźba ruchu pasażerskiego w transporcie indywidualnym i zbiorowym (wg ZMR BAU2030 wersj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0720" cy="3524205"/>
                    </a:xfrm>
                    <a:prstGeom prst="rect">
                      <a:avLst/>
                    </a:prstGeom>
                    <a:noFill/>
                    <a:ln>
                      <a:noFill/>
                    </a:ln>
                  </pic:spPr>
                </pic:pic>
              </a:graphicData>
            </a:graphic>
          </wp:inline>
        </w:drawing>
      </w:r>
    </w:p>
    <w:p w14:paraId="4078D26B" w14:textId="32070B21" w:rsidR="00B045A4" w:rsidRPr="000E419B" w:rsidRDefault="00FF7E48" w:rsidP="000E419B">
      <w:pPr>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762D3BEB" w14:textId="700CC39D" w:rsidR="00B045A4" w:rsidRPr="009B78DA" w:rsidRDefault="00B045A4" w:rsidP="000E419B">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W skali całego województwa w roku 2030 dojazdy do pracy pozostaną główną składową mobilności codziennej, determinująca jednocześnie potrzeby transportowe mieszkańców. Ich układ przestrzenny nadal nawiązywać będzie do ogólnej więźby ruchu. Bardzo mocna (nie licząc stolicy regionu – Rzeszowa) będzie pozycja Krosna i Sanoka. Inwestycje transportowe (S19, modernizacja kolei) spowodują, że, zgodnie z modelem, wzrośnie atrakcyjność tych miast jako najważniejszych ośrodków podkarpackiego rynku pracy.  Jednocześnie jednak relatywnie może zmniejszyć się znaczenie innych subregionalnych biegunów wzrostu. W przypadku podróży biznesowych transportem indywidualnym fundamentalne pozostaną kierunki zewnętrzne do Warszawy i Krakowa, </w:t>
      </w:r>
      <w:r w:rsidR="00C9420E">
        <w:rPr>
          <w:rFonts w:ascii="Arial" w:hAnsi="Arial" w:cs="Arial"/>
          <w:i w:val="0"/>
          <w:color w:val="000000" w:themeColor="text1"/>
          <w:sz w:val="22"/>
          <w:szCs w:val="22"/>
        </w:rPr>
        <w:br/>
        <w:t xml:space="preserve">a w </w:t>
      </w:r>
      <w:r w:rsidRPr="009B78DA">
        <w:rPr>
          <w:rFonts w:ascii="Arial" w:hAnsi="Arial" w:cs="Arial"/>
          <w:i w:val="0"/>
          <w:color w:val="000000" w:themeColor="text1"/>
          <w:sz w:val="22"/>
          <w:szCs w:val="22"/>
        </w:rPr>
        <w:t xml:space="preserve">wyraźnie już mniejszym stopniu, także  do Lublina. Pogłębi się integracja niektórych subregionalnych rynków pracy, a przede wszystkim integracja rynków części biegunów wzrostu z samym Rzeszowem.  Jest ona najbardziej widoczna w pasie Jasło-Krosno-Sanok </w:t>
      </w:r>
      <w:r w:rsidR="00C9420E">
        <w:rPr>
          <w:rFonts w:ascii="Arial" w:hAnsi="Arial" w:cs="Arial"/>
          <w:i w:val="0"/>
          <w:color w:val="000000" w:themeColor="text1"/>
          <w:sz w:val="22"/>
          <w:szCs w:val="22"/>
        </w:rPr>
        <w:br/>
      </w:r>
      <w:r w:rsidRPr="009B78DA">
        <w:rPr>
          <w:rFonts w:ascii="Arial" w:hAnsi="Arial" w:cs="Arial"/>
          <w:i w:val="0"/>
          <w:color w:val="000000" w:themeColor="text1"/>
          <w:sz w:val="22"/>
          <w:szCs w:val="22"/>
        </w:rPr>
        <w:t>i w tzw. Czwórmieście (Tarnobrzeg, Stalowa Wola, Nisko i Sandomierz w województwie świętokrzyskim). Bardzo wyraźnie zaznaczy się silny ruch dojeżdżających między Rzeszowem a Krosnem (a także między Rzeszowem a Brzozowem i Sanokiem), co będzie rezultatem uruchomienia południowego odcinka S19. W roku 2030 wystąpi tym samym pewne przełamanie dotychczasowej izolacji rynków pracy południowej części województwa. Dotyczy to jednak bardziej środkowej niż zachodniej części subregionu. Powiązania Jasła pozostaną już wyraźnie słabsze. Nie ujawnią się intensywniejsze relacje „obwodowe” pomiędzy subregionalnymi biegunami wzrostu (np. między Sanokiem a Przemyślem). Wyjątkiem w tym zakresie będą silniejsze niż wcześniej powiązania Jasła z Dębicą.</w:t>
      </w:r>
    </w:p>
    <w:p w14:paraId="40609989" w14:textId="421FE1C7" w:rsidR="00B045A4" w:rsidRPr="009B78DA" w:rsidRDefault="00B045A4" w:rsidP="000E419B">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Relacje wykazane w modelu w ramach innych motywacji podróży (kategoria pozostałe) pozostaną w roku 2030 silnie skorelowane z dojazdami do pracy. Relatywnie większy będzie jednak zasięg relacji względem turystycznych gmin karpackich. W tej kategorii ujawnią się także bardzo silne powiązania zewnętrzne do sąsiednich miast wojewódzkich (także do Kielc), Warszawy i niektórych miast w sąsiednich regionach – ośrodków subregionalnych (Zamość, Tarnów, Nowy Sącz), a nawet powiatowych (Tomaszów Lubelski, Biłgoraj, Gorlice). Świadczyć to może o ogólnym wzroście znaczenia takich ośrodków na tle sąsiednich stref depopulacyjnych, co z kolei będzie skutkowało poszerzaniem ich stref oddziaływania także na jednostki samorządowe w sąsiednim województwie (m.in. w ramach poszukiwania dobrej jakości usług publicznych ). </w:t>
      </w:r>
      <w:r w:rsidR="00C9420E">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W przypadku motywacji biznesowej najsilniejszymi relacjami pozostaną te łączące Rzeszów z Warszawą i Krakowem. Ruch będzie generowany także przez inne miasta województwa </w:t>
      </w:r>
      <w:r w:rsidR="00C9420E">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w kierunku tych samych krajowych metropolii. Dotyczy to zwłaszcza miast przemysłowych </w:t>
      </w:r>
      <w:r w:rsidR="00C9420E">
        <w:rPr>
          <w:rFonts w:ascii="Arial" w:hAnsi="Arial" w:cs="Arial"/>
          <w:i w:val="0"/>
          <w:color w:val="000000" w:themeColor="text1"/>
          <w:sz w:val="22"/>
          <w:szCs w:val="22"/>
        </w:rPr>
        <w:br/>
      </w:r>
      <w:r w:rsidRPr="009B78DA">
        <w:rPr>
          <w:rFonts w:ascii="Arial" w:hAnsi="Arial" w:cs="Arial"/>
          <w:i w:val="0"/>
          <w:color w:val="000000" w:themeColor="text1"/>
          <w:sz w:val="22"/>
          <w:szCs w:val="22"/>
        </w:rPr>
        <w:t>z północnej i zachodniej części regionu. Można to interpretować zarówno jako efekt nowych inwestycji (lepsza dostępność do Krakowa i stolicy), jak też jako argument na rzecz uzupełniania infrastruktury drogowej ułatwiającej takie podróże (np. trasy Jasło-Tarnów, Mielec-Kraków, droga DK9 w kierunku Warszawy).</w:t>
      </w:r>
    </w:p>
    <w:p w14:paraId="04583A01" w14:textId="48E7C7DE" w:rsidR="009D525C" w:rsidRPr="009B78DA" w:rsidRDefault="00B045A4" w:rsidP="000E419B">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Rola transportu zbiorowego w dojazdach do pracy zgodnie z modelem BAU2030</w:t>
      </w:r>
      <w:r w:rsidR="0023391B" w:rsidRPr="009B78DA">
        <w:rPr>
          <w:rFonts w:ascii="Arial" w:hAnsi="Arial" w:cs="Arial"/>
          <w:i w:val="0"/>
          <w:color w:val="000000" w:themeColor="text1"/>
          <w:sz w:val="22"/>
          <w:szCs w:val="22"/>
        </w:rPr>
        <w:t xml:space="preserve"> </w:t>
      </w:r>
      <w:r w:rsidR="00C9420E">
        <w:rPr>
          <w:rFonts w:ascii="Arial" w:hAnsi="Arial" w:cs="Arial"/>
          <w:i w:val="0"/>
          <w:color w:val="000000" w:themeColor="text1"/>
          <w:sz w:val="22"/>
          <w:szCs w:val="22"/>
        </w:rPr>
        <w:br/>
      </w:r>
      <w:r w:rsidRPr="009B78DA">
        <w:rPr>
          <w:rFonts w:ascii="Arial" w:hAnsi="Arial" w:cs="Arial"/>
          <w:i w:val="0"/>
          <w:color w:val="000000" w:themeColor="text1"/>
          <w:sz w:val="22"/>
          <w:szCs w:val="22"/>
        </w:rPr>
        <w:t>w wersji 3.0 jest wyraźnie większa niż prognozowana w oparciu o poprzednie wersje ZMR. Wynika to zapewne z przyjętych założeń, a także z uwzględnienia nowych inwestycji kolejowych, które mają powstać w latach 2025-2030. W przeciwieństwie do wcześniejszych wniosków model dowodzi obecnie, że dojazdy transportem zbiorowym występować będą także w przypadku większych odległości, a nie tylko na bezpośrednim zapleczu biegunów wzrostu. Dotyczy to jednak głównie Rzeszowa i jego powiązań z dużą częścią całego regionu. W innych relacjach (np. do miast subregionalnych i pomiędzy nimi), powyżej pewnej odległości wykorzystanie transportu zbiorowego będzie nadal szybko maleć. O pewnej integracji rynków pracy w transporcie zbiorowym mówić będzie można w relacjach Krosno-Jasło, a także we wspomnianym wyżej Czwórmieście, ewentualnie również między Jarosławiem i Przemyślem.</w:t>
      </w:r>
    </w:p>
    <w:p w14:paraId="2A81C335" w14:textId="661D967A" w:rsidR="004432D2" w:rsidRPr="009B78DA" w:rsidRDefault="004432D2" w:rsidP="000E419B">
      <w:pPr>
        <w:pStyle w:val="Legenda"/>
        <w:keepNext/>
        <w:rPr>
          <w:rFonts w:ascii="Arial" w:hAnsi="Arial" w:cs="Arial"/>
          <w:i w:val="0"/>
          <w:color w:val="000000" w:themeColor="text1"/>
          <w:sz w:val="22"/>
          <w:szCs w:val="22"/>
        </w:rPr>
      </w:pPr>
      <w:bookmarkStart w:id="193" w:name="_Toc146785672"/>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r w:rsidRPr="009B78DA">
        <w:rPr>
          <w:rFonts w:ascii="Arial" w:hAnsi="Arial" w:cs="Arial"/>
          <w:b/>
          <w:i w:val="0"/>
          <w:color w:val="000000" w:themeColor="text1"/>
          <w:sz w:val="22"/>
          <w:szCs w:val="22"/>
        </w:rPr>
        <w:t xml:space="preserve"> </w:t>
      </w:r>
      <w:r w:rsidRPr="009B78DA">
        <w:rPr>
          <w:rFonts w:ascii="Arial" w:hAnsi="Arial" w:cs="Arial"/>
          <w:i w:val="0"/>
          <w:color w:val="000000" w:themeColor="text1"/>
          <w:sz w:val="22"/>
          <w:szCs w:val="22"/>
        </w:rPr>
        <w:t>Modelowa prognozowana więźba ruchu pasażerskiego w transporcie indywidualnym wg podstawowych motywacji (wg ZMR BAU2030 wersja 3.0)</w:t>
      </w:r>
      <w:bookmarkEnd w:id="193"/>
    </w:p>
    <w:p w14:paraId="4D365CB0" w14:textId="1AB2F766" w:rsidR="00B045A4" w:rsidRPr="009B78DA" w:rsidRDefault="00DC2C0F" w:rsidP="009D525C">
      <w:pPr>
        <w:pStyle w:val="Legenda"/>
        <w:keepNext/>
        <w:rPr>
          <w:rFonts w:ascii="Arial" w:hAnsi="Arial" w:cs="Arial"/>
          <w:i w:val="0"/>
          <w:color w:val="000000" w:themeColor="text1"/>
          <w:sz w:val="22"/>
          <w:szCs w:val="22"/>
        </w:rPr>
      </w:pPr>
      <w:r w:rsidRPr="009B78DA">
        <w:rPr>
          <w:noProof/>
          <w:color w:val="000000" w:themeColor="text1"/>
        </w:rPr>
        <w:drawing>
          <wp:inline distT="0" distB="0" distL="0" distR="0" wp14:anchorId="486A20F5" wp14:editId="25B288A7">
            <wp:extent cx="5838092" cy="7134225"/>
            <wp:effectExtent l="0" t="0" r="0" b="0"/>
            <wp:docPr id="1849177359" name="Obraz 1849177359" descr="Województwo podkarpackie w tym największe miasta powiatowe. Po lewej dojazdy do pracy – przejazdy samochodem 2030 (model), po prawej przejazdy biznesowe, pod spodem pozostałe." title="Rysunek 43  Modelowa prognozowana więźba ruchu pasażerskiego w transporcie indywidualnym wg podstawowych motywacji (wg ZMR BAU2030 wersj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38684" cy="7134948"/>
                    </a:xfrm>
                    <a:prstGeom prst="rect">
                      <a:avLst/>
                    </a:prstGeom>
                    <a:noFill/>
                    <a:ln>
                      <a:noFill/>
                    </a:ln>
                  </pic:spPr>
                </pic:pic>
              </a:graphicData>
            </a:graphic>
          </wp:inline>
        </w:drawing>
      </w:r>
    </w:p>
    <w:p w14:paraId="0021B993" w14:textId="4D3134CD" w:rsidR="009D525C" w:rsidRPr="009B78DA" w:rsidRDefault="00FF7E48" w:rsidP="00C9420E">
      <w:pPr>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26932953" w14:textId="267B57E2" w:rsidR="004432D2" w:rsidRPr="009B78DA" w:rsidRDefault="000263E7" w:rsidP="00C9420E">
      <w:pPr>
        <w:pStyle w:val="Legenda"/>
        <w:keepNext/>
        <w:rPr>
          <w:rFonts w:ascii="Arial" w:hAnsi="Arial" w:cs="Arial"/>
          <w:i w:val="0"/>
          <w:color w:val="000000" w:themeColor="text1"/>
          <w:sz w:val="22"/>
          <w:szCs w:val="22"/>
        </w:rPr>
      </w:pPr>
      <w:bookmarkStart w:id="194" w:name="_Toc146785673"/>
      <w:r w:rsidRPr="009B78DA">
        <w:rPr>
          <w:rFonts w:ascii="Arial" w:hAnsi="Arial" w:cs="Arial"/>
          <w:b/>
          <w:i w:val="0"/>
          <w:color w:val="000000" w:themeColor="text1"/>
          <w:sz w:val="22"/>
          <w:szCs w:val="22"/>
        </w:rPr>
        <w:t xml:space="preserve">Rysunek </w:t>
      </w:r>
      <w:r w:rsidR="004432D2" w:rsidRPr="009B78DA">
        <w:rPr>
          <w:rFonts w:ascii="Arial" w:hAnsi="Arial" w:cs="Arial"/>
          <w:b/>
          <w:i w:val="0"/>
          <w:color w:val="000000" w:themeColor="text1"/>
          <w:sz w:val="22"/>
          <w:szCs w:val="22"/>
        </w:rPr>
        <w:fldChar w:fldCharType="begin"/>
      </w:r>
      <w:r w:rsidR="004432D2" w:rsidRPr="009B78DA">
        <w:rPr>
          <w:rFonts w:ascii="Arial" w:hAnsi="Arial" w:cs="Arial"/>
          <w:b/>
          <w:i w:val="0"/>
          <w:color w:val="000000" w:themeColor="text1"/>
          <w:sz w:val="22"/>
          <w:szCs w:val="22"/>
        </w:rPr>
        <w:instrText xml:space="preserve"> SEQ Rysunek_ \* ARABIC </w:instrText>
      </w:r>
      <w:r w:rsidR="004432D2"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44</w:t>
      </w:r>
      <w:r w:rsidR="004432D2" w:rsidRPr="009B78DA">
        <w:rPr>
          <w:rFonts w:ascii="Arial" w:hAnsi="Arial" w:cs="Arial"/>
          <w:b/>
          <w:i w:val="0"/>
          <w:color w:val="000000" w:themeColor="text1"/>
          <w:sz w:val="22"/>
          <w:szCs w:val="22"/>
        </w:rPr>
        <w:fldChar w:fldCharType="end"/>
      </w:r>
      <w:r w:rsidR="00AF728C" w:rsidRPr="009B78DA">
        <w:rPr>
          <w:rFonts w:ascii="Arial" w:hAnsi="Arial" w:cs="Arial"/>
          <w:i w:val="0"/>
          <w:color w:val="000000" w:themeColor="text1"/>
          <w:sz w:val="22"/>
          <w:szCs w:val="22"/>
        </w:rPr>
        <w:t xml:space="preserve"> </w:t>
      </w:r>
      <w:r w:rsidR="004432D2" w:rsidRPr="009B78DA">
        <w:rPr>
          <w:rFonts w:ascii="Arial" w:hAnsi="Arial" w:cs="Arial"/>
          <w:i w:val="0"/>
          <w:color w:val="000000" w:themeColor="text1"/>
          <w:sz w:val="22"/>
          <w:szCs w:val="22"/>
        </w:rPr>
        <w:t>Modelowa prognozowana więźba ruchu pasażerskiego w transporcie zbiorowym wg podstawowych motywacji (wg ZMR BAU2030 wersja 3.0)</w:t>
      </w:r>
      <w:bookmarkEnd w:id="194"/>
    </w:p>
    <w:p w14:paraId="47BE4DF7" w14:textId="3EE4A36B" w:rsidR="00B045A4" w:rsidRPr="009B78DA" w:rsidRDefault="00DC2C0F" w:rsidP="009D525C">
      <w:pPr>
        <w:pStyle w:val="Legenda"/>
        <w:keepNext/>
        <w:rPr>
          <w:rFonts w:ascii="Arial" w:hAnsi="Arial" w:cs="Arial"/>
          <w:i w:val="0"/>
          <w:color w:val="000000" w:themeColor="text1"/>
          <w:sz w:val="22"/>
          <w:szCs w:val="22"/>
        </w:rPr>
      </w:pPr>
      <w:r w:rsidRPr="009B78DA">
        <w:rPr>
          <w:noProof/>
          <w:color w:val="000000" w:themeColor="text1"/>
        </w:rPr>
        <w:drawing>
          <wp:inline distT="0" distB="0" distL="0" distR="0" wp14:anchorId="42418212" wp14:editId="4B15A4BE">
            <wp:extent cx="5760720" cy="7039676"/>
            <wp:effectExtent l="0" t="0" r="0" b="8890"/>
            <wp:docPr id="1849177360" name="Obraz 1849177360" descr="Województwo podkarpackie w tym największe miasta powiatowe. Po lewej dojazdy do pracy – przejazdy transportem publicznym 2030 (model), po prawej przejazdy biznesowe, pod spodem pozostałe." title="Rysunek 44 Modelowa prognozowana więźba ruchu pasażerskiego w transporcie zbiorowym wg podstawowych motywacji (wg ZMR BAU2030 wersj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7039676"/>
                    </a:xfrm>
                    <a:prstGeom prst="rect">
                      <a:avLst/>
                    </a:prstGeom>
                    <a:noFill/>
                    <a:ln>
                      <a:noFill/>
                    </a:ln>
                  </pic:spPr>
                </pic:pic>
              </a:graphicData>
            </a:graphic>
          </wp:inline>
        </w:drawing>
      </w:r>
    </w:p>
    <w:p w14:paraId="2B3CFA99" w14:textId="6A74B212" w:rsidR="006165B5" w:rsidRDefault="00FF7E48" w:rsidP="006165B5">
      <w:pPr>
        <w:rPr>
          <w:rFonts w:ascii="Arial" w:hAnsi="Arial" w:cs="Arial"/>
          <w:color w:val="000000" w:themeColor="text1"/>
          <w:sz w:val="22"/>
          <w:szCs w:val="22"/>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19E03ED9" w14:textId="77777777" w:rsidR="006165B5" w:rsidRDefault="006165B5" w:rsidP="006165B5">
      <w:pPr>
        <w:rPr>
          <w:rFonts w:ascii="Arial" w:hAnsi="Arial" w:cs="Arial"/>
          <w:color w:val="000000" w:themeColor="text1"/>
          <w:sz w:val="22"/>
          <w:szCs w:val="22"/>
        </w:rPr>
      </w:pPr>
      <w:r>
        <w:rPr>
          <w:rFonts w:ascii="Arial" w:hAnsi="Arial" w:cs="Arial"/>
          <w:color w:val="000000" w:themeColor="text1"/>
          <w:sz w:val="22"/>
          <w:szCs w:val="22"/>
        </w:rPr>
        <w:br w:type="page"/>
      </w:r>
    </w:p>
    <w:p w14:paraId="0A7123A4" w14:textId="49F52AB5" w:rsidR="006B0084" w:rsidRPr="009B78DA" w:rsidRDefault="006B0084" w:rsidP="006165B5">
      <w:pPr>
        <w:rPr>
          <w:rFonts w:ascii="Arial" w:hAnsi="Arial" w:cs="Arial"/>
          <w:color w:val="000000" w:themeColor="text1"/>
          <w:sz w:val="22"/>
          <w:szCs w:val="22"/>
        </w:rPr>
      </w:pPr>
      <w:bookmarkStart w:id="195" w:name="_Toc146785674"/>
      <w:r w:rsidRPr="009B78DA">
        <w:rPr>
          <w:rFonts w:ascii="Arial" w:hAnsi="Arial" w:cs="Arial"/>
          <w:b/>
          <w:color w:val="000000" w:themeColor="text1"/>
          <w:sz w:val="22"/>
          <w:szCs w:val="22"/>
        </w:rPr>
        <w:t xml:space="preserve">Rysunek </w:t>
      </w:r>
      <w:r w:rsidRPr="009B78DA">
        <w:rPr>
          <w:rFonts w:ascii="Arial" w:hAnsi="Arial" w:cs="Arial"/>
          <w:b/>
          <w:color w:val="000000" w:themeColor="text1"/>
          <w:sz w:val="22"/>
          <w:szCs w:val="22"/>
        </w:rPr>
        <w:fldChar w:fldCharType="begin"/>
      </w:r>
      <w:r w:rsidRPr="009B78DA">
        <w:rPr>
          <w:rFonts w:ascii="Arial" w:hAnsi="Arial" w:cs="Arial"/>
          <w:b/>
          <w:color w:val="000000" w:themeColor="text1"/>
          <w:sz w:val="22"/>
          <w:szCs w:val="22"/>
        </w:rPr>
        <w:instrText xml:space="preserve"> SEQ Rysunek_ \* ARABIC </w:instrText>
      </w:r>
      <w:r w:rsidRPr="009B78DA">
        <w:rPr>
          <w:rFonts w:ascii="Arial" w:hAnsi="Arial" w:cs="Arial"/>
          <w:b/>
          <w:color w:val="000000" w:themeColor="text1"/>
          <w:sz w:val="22"/>
          <w:szCs w:val="22"/>
        </w:rPr>
        <w:fldChar w:fldCharType="separate"/>
      </w:r>
      <w:r w:rsidR="007403DE">
        <w:rPr>
          <w:rFonts w:ascii="Arial" w:hAnsi="Arial" w:cs="Arial"/>
          <w:b/>
          <w:noProof/>
          <w:color w:val="000000" w:themeColor="text1"/>
          <w:sz w:val="22"/>
          <w:szCs w:val="22"/>
        </w:rPr>
        <w:t>45</w:t>
      </w:r>
      <w:r w:rsidRPr="009B78DA">
        <w:rPr>
          <w:rFonts w:ascii="Arial" w:hAnsi="Arial" w:cs="Arial"/>
          <w:b/>
          <w:color w:val="000000" w:themeColor="text1"/>
          <w:sz w:val="22"/>
          <w:szCs w:val="22"/>
        </w:rPr>
        <w:fldChar w:fldCharType="end"/>
      </w:r>
      <w:r w:rsidRPr="009B78DA">
        <w:rPr>
          <w:rFonts w:ascii="Arial" w:hAnsi="Arial" w:cs="Arial"/>
          <w:color w:val="000000" w:themeColor="text1"/>
          <w:sz w:val="22"/>
          <w:szCs w:val="22"/>
        </w:rPr>
        <w:t xml:space="preserve"> Prognozowane zmiany więźby ruchu w transporcie indywidualnym i zbiorowym 2022-2030 (porównanie bazowego ZMR 2022 i BAU2030 wersja 3.0)</w:t>
      </w:r>
      <w:bookmarkEnd w:id="195"/>
    </w:p>
    <w:p w14:paraId="51ED832B" w14:textId="2975197A" w:rsidR="00B045A4" w:rsidRPr="009B78DA" w:rsidRDefault="00DC2C0F" w:rsidP="00C24E47">
      <w:pPr>
        <w:rPr>
          <w:color w:val="000000" w:themeColor="text1"/>
        </w:rPr>
      </w:pPr>
      <w:r w:rsidRPr="009B78DA">
        <w:rPr>
          <w:noProof/>
          <w:color w:val="000000" w:themeColor="text1"/>
        </w:rPr>
        <w:drawing>
          <wp:inline distT="0" distB="0" distL="0" distR="0" wp14:anchorId="033A4B2F" wp14:editId="2D3E4E29">
            <wp:extent cx="5760720" cy="3524205"/>
            <wp:effectExtent l="0" t="0" r="0" b="635"/>
            <wp:docPr id="1849177362" name="Obraz 1849177362" descr="Województwo podkarpackie w tym największe miasta powiatowe. Po lewej przejazdy samochodem Zmiany 2022 – 2030 (model), po prawej przejazdy transportem publicznym 2022 – 2030 (model)" title="Rysunek 45 Prognozowane zmiany więźby ruchu w transporcie indywidualnym i zbiorowym 2022-2030 (porównanie bazowego ZMR 2022 i BAU2030 wersj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3524205"/>
                    </a:xfrm>
                    <a:prstGeom prst="rect">
                      <a:avLst/>
                    </a:prstGeom>
                    <a:noFill/>
                    <a:ln>
                      <a:noFill/>
                    </a:ln>
                  </pic:spPr>
                </pic:pic>
              </a:graphicData>
            </a:graphic>
          </wp:inline>
        </w:drawing>
      </w:r>
    </w:p>
    <w:p w14:paraId="3B89371B" w14:textId="0EB39198" w:rsidR="00B045A4" w:rsidRPr="001B00C0" w:rsidRDefault="00FF7E48" w:rsidP="001B00C0">
      <w:pPr>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1A13CF91" w14:textId="57550EEC" w:rsidR="00B045A4" w:rsidRPr="009B78DA" w:rsidRDefault="00B045A4" w:rsidP="00A37D9A">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Model, podobnie jak poprzednio potwierdza, że rola przejazdów w motywacji podróży biznesowych transportem zbiorowym będzie w roku 2030 znikoma i ograniczona do podróży do Krakowa (kolej) i Warszawy (kolej, samolot). Odmienny obraz pokazuje nam prognozowana więźba ruchu w transporcie zbiorowym dla motywacji pozostałych. Potwierdza ona generalnie mniejszą rolę transportu zbiorowego w mobilności fakultatywnej. Wyjątkiem są relacje niektórych ośrodków z Rzeszowem (szczególnie Stalowej Woli, Tarnobrzega, Jarosławia, Przeworska i Dębicy).  Dojazdy do usług publicznych widoczne są w otoczeniu Rzeszowa. W przypadku innych ośrodków subregionalnych obejmują tylko bezpośrednio sąsiednie gminy. Bardzo istotny ładunek informacyjny niesie w sobie porównanie obrazu kartograficznego motywacji „pozostałe” w ruchu indywidualnym </w:t>
      </w:r>
      <w:r w:rsidR="00A37D9A">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i w transporcie zbiorowym. Potwierdza ono, że działania inwestycyjne i organizacyjne zachęcą w roku 2030 do szerszego wykorzystania transportu publicznego w dojazdach do pracy, będą jednak o wiele mniej skuteczne w zakresie wszelkich innych motywacji. Wyjątkiem będzie Rzeszów, gdzie skala działań (kolej aglomeracyjna) będzie znaczna, </w:t>
      </w:r>
      <w:r w:rsidR="00A37D9A">
        <w:rPr>
          <w:rFonts w:ascii="Arial" w:hAnsi="Arial" w:cs="Arial"/>
          <w:i w:val="0"/>
          <w:color w:val="000000" w:themeColor="text1"/>
          <w:sz w:val="22"/>
          <w:szCs w:val="22"/>
        </w:rPr>
        <w:br/>
      </w:r>
      <w:r w:rsidRPr="009B78DA">
        <w:rPr>
          <w:rFonts w:ascii="Arial" w:hAnsi="Arial" w:cs="Arial"/>
          <w:i w:val="0"/>
          <w:color w:val="000000" w:themeColor="text1"/>
          <w:sz w:val="22"/>
          <w:szCs w:val="22"/>
        </w:rPr>
        <w:t>a jakość usług wzrośnie skokowo. Tym samym wcześniejszy wniosek, że determinantą tworzenia się układów bipolarnych w województwie, będzie raczej rynek usług niż rynek pracy, pozostanie aktualny, ale podstawą tej integracji będzie nadal transport indywidualny. Może być to przesłanką do planowania nowych rozwiązań szynowych pomiędzy niektórymi ośrodkami. Jednocześnie trzeba pamiętać, że uzyskany prognostyczny obraz modelowy jest po części odzwierciedleniem założeń w zakresie przyszłej organizacji transportu zbiorowego. Tym samym nie jest tak jednoznaczny jak w transporcie indywidualnym.</w:t>
      </w:r>
    </w:p>
    <w:p w14:paraId="050EAF77" w14:textId="0EE05383" w:rsidR="00B045A4" w:rsidRPr="009B78DA" w:rsidRDefault="00B045A4" w:rsidP="00A37D9A">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Pełniejszy obraz omawianych przeobrażeń daje porównanie intensywności potoków pomiędzy rokiem 2022 (ZMR 2022) i 2030 (ZMR BAU2030 wersja 3.0</w:t>
      </w:r>
      <w:r w:rsidR="00B874B7"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W skali całego województwa w obu rodzajach mobilności (indywidualna i zbiorowa) obserwujemy wzrost potoków w  większości relacji badanej więźby. Nie jest on już jednak tak duży i dominujący</w:t>
      </w:r>
      <w:r w:rsidR="00A37D9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(w sensie terytorialnym), jak przy prognozach na podstawie wcześniejszej wersji modelu (de facto 2019-2025</w:t>
      </w:r>
      <w:r w:rsidR="007C45F9"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 xml:space="preserve">Największe przyrosty notowane są w relacjach do Rzeszowa z kierunków południowego i północnego. W efekcie relatywna pozycja Rzeszowa jako głównego węzła potoków pasażerskich w regionie wzrasta jeszcze szybciej niż zakładano. W wartościach bezwzględnych nie jest to już wzrost tak szybki jak w latach poprzednich, ale jednocześnie stanowi swego rodzaju dopełnienie wcześniejszych zmian. O ile poprzednio rosło znaczenie Rzeszowa jako węzła w układach wschód-zachód, tak obecnie przewiduje się uzupełnienie tej pozycji o dominację węzłowości w relacjach północ-południe. W przypadku transportu indywidualnego przyrosty ruchu do Rzeszowa widoczne są zarówno z południa, jak </w:t>
      </w:r>
      <w:r w:rsidR="00A37D9A">
        <w:rPr>
          <w:rFonts w:ascii="Arial" w:hAnsi="Arial" w:cs="Arial"/>
          <w:i w:val="0"/>
          <w:color w:val="000000" w:themeColor="text1"/>
          <w:sz w:val="22"/>
          <w:szCs w:val="22"/>
        </w:rPr>
        <w:br/>
      </w:r>
      <w:r w:rsidRPr="009B78DA">
        <w:rPr>
          <w:rFonts w:ascii="Arial" w:hAnsi="Arial" w:cs="Arial"/>
          <w:i w:val="0"/>
          <w:color w:val="000000" w:themeColor="text1"/>
          <w:sz w:val="22"/>
          <w:szCs w:val="22"/>
        </w:rPr>
        <w:t>i z północy, w transporcie zbiorowym przede wszystkim z północy. Dowodzi to, że skala inwestycji kolejowych na południe od Rzeszowa nie czyni ich w tym samym stopniu (co na innych kierunkach do miasta) konkurencyjnymi względem transportu indywidualnego. Jednocześnie niektóre inwestycje kolejowe (np. relacje Dębica – Mielec, Rzeszów-Stalowa Wola, Rzeszów-Tarnobrzeg) mogą przynosić wyraźne przyrosty ruchu w transporcie zbiorowym.</w:t>
      </w:r>
    </w:p>
    <w:p w14:paraId="1F6E2E24" w14:textId="1F742101" w:rsidR="00B045A4" w:rsidRPr="009B78DA" w:rsidRDefault="00B045A4" w:rsidP="00A37D9A">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Poza Rzeszowem, spośród ośrodków subregionalnych, na znaczeniu, jako węzeł ruchu zarówno indywidualnego, jak też w transporcie zbiorowym, wyraźnie zyskuje tylko Stalowa Wola. Przyrosty ruchu występują też w relacjach Krosna, Jasła, Mielca, czy Dębicy, dotyczą tam jednak tylko niektórych kierunków (na innych obserwujemy spadki) i są wyraźnie mniejsze.  Dalsza intensyfikacja nie jest już, jak poprzednio, widoczna w paśmie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Jasło-Krosno-Sanok. Odnotowujemy zatem paradoksalną sytuację, gdzie na tle otoczenia rynki pracy</w:t>
      </w:r>
      <w:r w:rsidR="007C45F9"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w subregionie południowym będą w 2030 relatywnie bardziej zintegrowane, ale jednocześnie wielkość ruchu dojazdowego w ich obrębie nie będzie rosła w wartościach bezwzględnych. Będzie się raczej stabilizowała lub nawet zmaleje. W przypadku relacji poza granice regionu oczekiwany jest wzrost potoków</w:t>
      </w:r>
      <w:r w:rsidR="001B00C0">
        <w:rPr>
          <w:rFonts w:ascii="Arial" w:hAnsi="Arial" w:cs="Arial"/>
          <w:i w:val="0"/>
          <w:color w:val="000000" w:themeColor="text1"/>
          <w:sz w:val="22"/>
          <w:szCs w:val="22"/>
        </w:rPr>
        <w:t xml:space="preserve"> z głównych ośrodków </w:t>
      </w:r>
      <w:r w:rsidRPr="009B78DA">
        <w:rPr>
          <w:rFonts w:ascii="Arial" w:hAnsi="Arial" w:cs="Arial"/>
          <w:i w:val="0"/>
          <w:color w:val="000000" w:themeColor="text1"/>
          <w:sz w:val="22"/>
          <w:szCs w:val="22"/>
        </w:rPr>
        <w:t>w kierunku Warszawy i Lublina,</w:t>
      </w:r>
      <w:r w:rsidR="007C45F9"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a z północy województwa (Czwórmiasto) także w stronę Kielc (prawdopodobnie efekt nowej infrastruktury w postaci drogi ekspresowej S74). Ruch w kierunku Krakowa nie będzie się już zwiększał (poza ruchem z Mielca). Potoki z mniejszymi miastami położonymi bliżej województwa małopolskiego także będą maleć, wzrosną nieznacznie w przypadku niektórych relacji świętokrzyskich i lubelskich. Można to interpretować jako stopień skonsumowania korzyści z nowej infrastruktury. W relacjach wschód-zachód (zarówno wewnątrz regionu, jak</w:t>
      </w:r>
      <w:r w:rsidR="001B00C0">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 xml:space="preserve">i w stronę Krakowa) jej efekt już wystąpił. W kolejnych latach decydujące będą zmiany demograficzne, a tym samym nie wygeneruje się nowy ruch.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W przypadku relacji północ-południe infrastruktura będzie finalizowana w bieżącej dekadzie. Nadal zatem może się ona przyczynić zarówno do generowania nowych podróży, jak i do przesunięcia (kanalizacj</w:t>
      </w:r>
      <w:r w:rsidR="001B00C0">
        <w:rPr>
          <w:rFonts w:ascii="Arial" w:hAnsi="Arial" w:cs="Arial"/>
          <w:i w:val="0"/>
          <w:color w:val="000000" w:themeColor="text1"/>
          <w:sz w:val="22"/>
          <w:szCs w:val="22"/>
        </w:rPr>
        <w:t>i) już występującej mobilności.</w:t>
      </w:r>
    </w:p>
    <w:p w14:paraId="60ECE09C" w14:textId="69F12330" w:rsidR="00B045A4" w:rsidRPr="009B78DA" w:rsidRDefault="00B045A4" w:rsidP="00A37D9A">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 większości innych relacji we więźbie do ośrodków subregionalnych, jak też na peryferiach w latach 2022-2025 model wskazuje na niewielkie spadki ruchu. Dotyczy</w:t>
      </w:r>
      <w:r w:rsidR="007C45F9"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to zarówno transportu indywidualnego, jak też zbiorowego. Przesunięcie ruchu indywidualnego na rzecz zbiorowego dostrzec można jedynie w przypadku Mielca (także</w:t>
      </w:r>
      <w:r w:rsidR="007C45F9"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 xml:space="preserve">w relacjach do Rzeszowa) oraz między Krosnem a Sanokiem. W innych przypadkach jest to raczej wynik zmian demograficznych i ewentualnie gospodarczych (koncentracja wytwarzania PKB).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W sposób szczególny spadki ruchu obu rodzajów widoczne są w otoczeniu Przemyśla. Przyrosty bezwzględne wzmacniające wnioski o integracji rynków pracy i usług (obejmujące zarówno transport indywidualny, jak i zbiorowy) widoczne są między Mielcem i Dębicą (kontynuacja wcześniejszej tendencji) oraz w mniejszym stopniu w obrębie Czwórmiasta.</w:t>
      </w:r>
    </w:p>
    <w:p w14:paraId="7A71B016" w14:textId="69604ADE" w:rsidR="00B045A4" w:rsidRPr="009B78DA" w:rsidRDefault="00B045A4" w:rsidP="00A37D9A">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Ogólna prognoza zmian potoków ruchu pomiędzy rokiem 2022 i 2030 potwierdza wcześniejszą tezę, że procesy społeczno-gospodarcze mogą zmniejszać poziom policentryczności województwa, wzmacniając jednocześnie rolę stolicy regionu. Dynamika przyszłego natężenia i struktury ruchu jest oczywiście tylko jednym z możliwych wskaźników oceny policentryczności. Można ją jednak traktować jako wskaźnik ostrzegawczy, potwierdzający znaczenie polityki transportowej jako sposobu na zahamowanie tych niekorzystnych tendencji. W 2030 r. zwiększą się także relacje zewnętrzne z Warszawą</w:t>
      </w:r>
      <w:r w:rsidR="007C45F9" w:rsidRPr="009B78DA">
        <w:rPr>
          <w:rFonts w:ascii="Arial" w:hAnsi="Arial" w:cs="Arial"/>
          <w:i w:val="0"/>
          <w:color w:val="000000" w:themeColor="text1"/>
          <w:sz w:val="22"/>
          <w:szCs w:val="22"/>
        </w:rPr>
        <w:t xml:space="preserve">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a w północnej części regionu z Lublinem i Kielcami. Powiązania z Krakowem ustabilizują się. W przypadku pozycji subregionalnych biegunów wzrostu obserwować będziemy bilansowanie się czynników transportowego (infrastruktura, lepsza organizacja transportu zbiorowego) oraz demograficzno-gospodarczego (zmienne objaśniające w modelu ruchu). Wzrosty ruchu</w:t>
      </w:r>
      <w:r w:rsidR="007C45F9"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 xml:space="preserve">w kierunkach innych niż do Rzeszowa i poza region, będą niewielkie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i ograniczone do otoczenia niektórych tylko miast (Mielec, Czwórmiasto, Krosno, Jasło).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W ośrodkach położonych na wschodzie bilans będzie nieznacznie negatywny (spadki ruchu). Przesunięcia modalne wystąpią w kilku specyficznych relacjach. W ruchu do Rzeszowa nastąpi wzrost podróży w transporcie zbiorowym, ale w warunkach jednoczesnej dalszej równoległej intensyfikacji ruchu indywidualnego. Tym samym nowa wersja modelu jeszcze mocniej wskazuje, że do roku 2030 w województwie będzie rosła polaryzacja w zakresie zapotrzebowania na infrastrukturę i przewozy. Proces ten będzie częściowo uwarunkowany migracjami i depopulacją. Nowa infrastruktura nie będzie już, poza dojazdami do Rzeszowa, generować ruchu w stopniu większym niż jego naturalne zmniejszenie. Wyjątkiem może być jedynie ruch sezonowy związany z dojazdami do obszarów atrakcyjnych turystycznie</w:t>
      </w:r>
      <w:r w:rsidR="007C45F9" w:rsidRPr="009B78DA">
        <w:rPr>
          <w:rFonts w:ascii="Arial" w:hAnsi="Arial" w:cs="Arial"/>
          <w:i w:val="0"/>
          <w:color w:val="000000" w:themeColor="text1"/>
          <w:sz w:val="22"/>
          <w:szCs w:val="22"/>
        </w:rPr>
        <w:t xml:space="preserve">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w Karpatach. Prognoza spadku lub stabilizacji ruchu  na obszarach pozaglomeracyjnych to ważny argument w dyskusji o nowych inwestycjach drogowych, szczególnie poziomu regionalnego. Obawa, że będą one wywoływać nowy wzbudzony ruch samochodowy</w:t>
      </w:r>
      <w:r w:rsidR="007C45F9" w:rsidRPr="009B78DA">
        <w:rPr>
          <w:rFonts w:ascii="Arial" w:hAnsi="Arial" w:cs="Arial"/>
          <w:i w:val="0"/>
          <w:color w:val="000000" w:themeColor="text1"/>
          <w:sz w:val="22"/>
          <w:szCs w:val="22"/>
        </w:rPr>
        <w:t xml:space="preserve">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i w konsekwencji emisję (wyrażana przez Komisję Europejską), jest w większości przypadków całkowicie niezasadna. Pozostaje uzasadniona tylko na głównych drogach wjazdowych do Rzeszowa oraz sezonowo w ciągach obsługujących Bieszczady. Ruch ten będzie na terenach peryferyjnych maleć, zaś ewentualne inwestycje na tym obszarze (np. obwodnice) będą raczej sprzyjały jego upłynnieniu (redukcja emisji) i poprawie bezpieczeństwa. Z drugiej strony relacje do Rzeszowa nadal wymagać będą aktywnej polityki transportowej, której elementem powinno być dążenie do przesunięć modalnych. Porównanie wyników ZMR 2022 i ZMR BAU2030</w:t>
      </w:r>
      <w:r w:rsidR="007C45F9"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 xml:space="preserve">w wersji 3.0 potwierdza tezę, że paradygmat zmian modalnych powinien oznaczać wybieranie obszarów o potencjalnie największej efektywności w tym zakresie. W województwie podkarpackim rosnące szybko potoki do Rzeszowa (i w drugiej kolejności do Krosna i Mielca) są z całą pewnością wskazówką dla rozwoju transportu publicznego w relacjach do tych właśnie ośrodków oraz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w obręb</w:t>
      </w:r>
      <w:r w:rsidR="001B00C0">
        <w:rPr>
          <w:rFonts w:ascii="Arial" w:hAnsi="Arial" w:cs="Arial"/>
          <w:i w:val="0"/>
          <w:color w:val="000000" w:themeColor="text1"/>
          <w:sz w:val="22"/>
          <w:szCs w:val="22"/>
        </w:rPr>
        <w:t>ie ich obszarów funkcjonalnych.</w:t>
      </w:r>
    </w:p>
    <w:p w14:paraId="767D4003" w14:textId="2469C897" w:rsidR="00B045A4" w:rsidRPr="009B78DA" w:rsidRDefault="00B045A4" w:rsidP="00A37D9A">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Prognozowane dla roku 2030 więźby ruchu w transporcie indywidualnym i zbiorowym według podstawowych motywacji przedstawion</w:t>
      </w:r>
      <w:r w:rsidR="007C45F9" w:rsidRPr="009B78DA">
        <w:rPr>
          <w:rFonts w:ascii="Arial" w:hAnsi="Arial" w:cs="Arial"/>
          <w:i w:val="0"/>
          <w:color w:val="000000" w:themeColor="text1"/>
          <w:sz w:val="22"/>
          <w:szCs w:val="22"/>
        </w:rPr>
        <w:t>e</w:t>
      </w:r>
      <w:r w:rsidRPr="009B78DA">
        <w:rPr>
          <w:rFonts w:ascii="Arial" w:hAnsi="Arial" w:cs="Arial"/>
          <w:i w:val="0"/>
          <w:color w:val="000000" w:themeColor="text1"/>
          <w:sz w:val="22"/>
          <w:szCs w:val="22"/>
        </w:rPr>
        <w:t xml:space="preserve"> na ry</w:t>
      </w:r>
      <w:r w:rsidR="007C45F9" w:rsidRPr="009B78DA">
        <w:rPr>
          <w:rFonts w:ascii="Arial" w:hAnsi="Arial" w:cs="Arial"/>
          <w:i w:val="0"/>
          <w:color w:val="000000" w:themeColor="text1"/>
          <w:sz w:val="22"/>
          <w:szCs w:val="22"/>
        </w:rPr>
        <w:t>sunkach o</w:t>
      </w:r>
      <w:r w:rsidRPr="009B78DA">
        <w:rPr>
          <w:rFonts w:ascii="Arial" w:hAnsi="Arial" w:cs="Arial"/>
          <w:i w:val="0"/>
          <w:color w:val="000000" w:themeColor="text1"/>
          <w:sz w:val="22"/>
          <w:szCs w:val="22"/>
        </w:rPr>
        <w:t>brazują one pewne istotne różnice terytorialne, które nie były widoczne przy zastosowaniu poprzedniej wersji ZMR oraz są trudniej uchwytne w obrazie wielomotywacyjnym. W ruchu indywidualnym wzrosty</w:t>
      </w:r>
      <w:r w:rsidR="007C45F9" w:rsidRPr="009B78DA">
        <w:rPr>
          <w:rFonts w:ascii="Arial" w:hAnsi="Arial" w:cs="Arial"/>
          <w:i w:val="0"/>
          <w:color w:val="000000" w:themeColor="text1"/>
          <w:sz w:val="22"/>
          <w:szCs w:val="22"/>
        </w:rPr>
        <w:t xml:space="preserve">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w kategorii dojazdów do pracy mają nadal układ południkowy i są skierowane na Rzeszów. Zdecydowanie większe zmiany występują jednak w przypadku dojazdów do stolicy województwa z południa regionu (Krosno, Sanok, Jasło, ale także gminy położone na południe od tych miast). Bardzo widoczny jest tym samym efekt planowanego ukończenia drogi ekspresowej S19 między Rzeszowem a Barwinkiem. Przyrosty od strony północnej są wyraźnie mniejsze, a w układzie wschód-zachód już prawie niewidoczne. Obrazuje to sekwencyjny rozwój terytorialny rzeszowskiego rynku pracy, który wraz z rozbudową infrastruktury drogowej ściąga i ściągać będzie pracowników z kolejnych kierunków.</w:t>
      </w:r>
      <w:r w:rsidR="007C45F9" w:rsidRPr="009B78DA">
        <w:rPr>
          <w:rFonts w:ascii="Arial" w:hAnsi="Arial" w:cs="Arial"/>
          <w:i w:val="0"/>
          <w:color w:val="000000" w:themeColor="text1"/>
          <w:sz w:val="22"/>
          <w:szCs w:val="22"/>
        </w:rPr>
        <w:t xml:space="preserve">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W przypadku wszystkich pozostałych subregionalnych biegunów wzrostu przyrosty ruchu</w:t>
      </w:r>
      <w:r w:rsidR="007C45F9" w:rsidRPr="009B78DA">
        <w:rPr>
          <w:rFonts w:ascii="Arial" w:hAnsi="Arial" w:cs="Arial"/>
          <w:i w:val="0"/>
          <w:color w:val="000000" w:themeColor="text1"/>
          <w:sz w:val="22"/>
          <w:szCs w:val="22"/>
        </w:rPr>
        <w:t xml:space="preserve">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w kategorii dojazdów do pracy prawie nie występują. Wyjątkiem są dojazdy do Mielca z gmin położonych na południe od tego miasta, a także dojazdy z Czwórmiasta do Kielc.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W otoczeniu pozostałych większych ośrodków obserwować będziemy w roku 2030 spadek intensywności ruchu dojazdowego. Jest to szczególnie widoczne w przypadku Przemyśla, Jarosławia</w:t>
      </w:r>
      <w:r w:rsidR="007C45F9"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 xml:space="preserve">i Sanoka. Spadki ruchu indywidualnego w dojazdach do pracy są natomiast częściowo kompensowane  przejazdami w kategorii pozostałe. W tym przypadku wszystkie relacje do Rzeszowa podlegają dalszej intensyfikacji (głównie w układzie północ-południe, ale także nadal w relacjach wschód-zachód). Zmiany społeczno-demograficzne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i gospodarcze spowodują zapewne wzrost znaczenia dojazdów do usług. Centrami generującymi taki ruch pozostaną (poza Rzeszowem), także Krosno, Mielec i Stalowa Wola. W strefie bardziej peryferyjnej (Przemyśl, Jarosław, Lubaczów), także w tym wypadku model wskazuje na spadek ruchu, co można traktować jako pośrednią prognozę poważnego zagrożenia dla podstaw rozwojowych tych ośrodków. W podróżach biznesowych dalszy niewielki wzrost widoczny jest tylko między Rzeszowem a Warszawą i Krakowem.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W przypadku podróży pozostałych widoczna jest intensyfikacja w ruchu z wielu gmin (szczególnie z północnej części regionu) do Warszawy, Lublina, a także do Kielc. Podobnie jak poprzednio model nie wskazuje, że sieć wewnętrznych powiązań gospodarczych stanie się podstawą policentrycznego układu województwa w roku 2030. Rynek pracy będzie wówczas wyraźnie mniej policentryczny niż obecnie, z zachowaną dominacją Rzeszowa oraz relatywnie silną pozycją Stalowej Woli, Mielca i Krosna. O zachowaniu cech policentryczności w większym stopniu decydować będą dojazdy do usług publicznych. Tak jak we wcześniejszych wynikach modelowania dynamiczny wzrost potoków w obrębie pozostałych motywacji trzeba bowiem utożsamiać z dojazdami do usług, a także z turystyką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i tzw. ruchami pomigracyjnymi (odwiedziny krewnych i znajomych w miejscach wcześniejszego zamieszkania).</w:t>
      </w:r>
    </w:p>
    <w:p w14:paraId="3E0DB564" w14:textId="2372E799" w:rsidR="00B045A4" w:rsidRPr="009B78DA" w:rsidRDefault="00B045A4" w:rsidP="00A37D9A">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Wyniki modelu potwierdzają też dalsze zwiększanie ekonomicznej roli Rzeszowa</w:t>
      </w:r>
      <w:r w:rsidR="007C45F9" w:rsidRPr="009B78DA">
        <w:rPr>
          <w:rFonts w:ascii="Arial" w:hAnsi="Arial" w:cs="Arial"/>
          <w:i w:val="0"/>
          <w:color w:val="000000" w:themeColor="text1"/>
          <w:sz w:val="22"/>
          <w:szCs w:val="22"/>
        </w:rPr>
        <w:t xml:space="preserve">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z ogólnokrajowej sieci największych miast (postulowana w KPZK 2030 metropolia sieciowa), sugerując jednak, że będzie się to odbywać kosztem wymywania zasobów pracy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z pozostałych części województwa. Jednocześnie północne obszary województwa mogą </w:t>
      </w:r>
      <w:r w:rsidR="001B00C0">
        <w:rPr>
          <w:rFonts w:ascii="Arial" w:hAnsi="Arial" w:cs="Arial"/>
          <w:i w:val="0"/>
          <w:color w:val="000000" w:themeColor="text1"/>
          <w:sz w:val="22"/>
          <w:szCs w:val="22"/>
        </w:rPr>
        <w:br/>
      </w:r>
      <w:r w:rsidRPr="009B78DA">
        <w:rPr>
          <w:rFonts w:ascii="Arial" w:hAnsi="Arial" w:cs="Arial"/>
          <w:i w:val="0"/>
          <w:color w:val="000000" w:themeColor="text1"/>
          <w:sz w:val="22"/>
          <w:szCs w:val="22"/>
        </w:rPr>
        <w:t>w rosnącym tempie ciążyć  w kierunku stolicy kraju oraz Kielce i Lublina.</w:t>
      </w:r>
    </w:p>
    <w:p w14:paraId="79147038" w14:textId="3499E359" w:rsidR="00C24E47" w:rsidRPr="001B00C0" w:rsidRDefault="00B045A4" w:rsidP="001B00C0">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 przypadku prognozowanych wzrostów potoków w samym tylko transporcie publicznym układy przestrzenne są odmienne, a skala zmian na ogół mniejsza. Oznacza to, że także w okresie 2022-2030 ogólna dynamika zmian struktury modalnej w większości motywacji i destynacji pozostanie niewielka. Oczekiwane zmniejszenia roli transportu drogowego nie będzie duże (w sensie rozległości przestrzennej). Nie należy tego jednak interpretować negatywne. Od opisanej reguły istnieją bowiem istotne wyjątki. We wszystkich kategoriach ruchu w transporcie zbiorowym przyrosty dotyczą przede wszystkim dojazdów do Rzeszowa. Występują one na prawie wszystkich relacjach do stolicy regionu, także tych, gdzie w ruchu indywidualnym notowano spadki (relacje wschód-zachód). To oznacza wystąpienie zmiany modalnej w dojazdach pracy i usług w Rzeszowie, czyli tam gdzie ich efektywność</w:t>
      </w:r>
      <w:r w:rsidR="001B00C0">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w zakresie ograniczania emisji i kongestii jest potencjalnie największa.</w:t>
      </w:r>
    </w:p>
    <w:p w14:paraId="4F6B3760" w14:textId="4E685680" w:rsidR="006B0084" w:rsidRPr="009B78DA" w:rsidRDefault="006B0084" w:rsidP="00A37D9A">
      <w:pPr>
        <w:pStyle w:val="Legenda"/>
        <w:keepNext/>
        <w:rPr>
          <w:rFonts w:ascii="Arial" w:hAnsi="Arial" w:cs="Arial"/>
          <w:i w:val="0"/>
          <w:color w:val="000000" w:themeColor="text1"/>
          <w:sz w:val="22"/>
          <w:szCs w:val="22"/>
        </w:rPr>
      </w:pPr>
      <w:bookmarkStart w:id="196" w:name="_Toc146785675"/>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Prognozowane zmiany więźby ruchu w transporcie indywidualnym 2022-2030 wg podstawowych motywacji (porównanie bazowego ZMR 2022 i BAU2030 wersja 3.0)</w:t>
      </w:r>
      <w:bookmarkEnd w:id="196"/>
    </w:p>
    <w:p w14:paraId="39830E0F" w14:textId="4BE24B97" w:rsidR="00B045A4" w:rsidRPr="009B78DA" w:rsidRDefault="00DC2C0F" w:rsidP="00C24E47">
      <w:pPr>
        <w:pStyle w:val="Legenda"/>
        <w:keepNext/>
        <w:jc w:val="both"/>
        <w:rPr>
          <w:rFonts w:ascii="Arial" w:hAnsi="Arial" w:cs="Arial"/>
          <w:i w:val="0"/>
          <w:color w:val="000000" w:themeColor="text1"/>
          <w:sz w:val="22"/>
          <w:szCs w:val="22"/>
        </w:rPr>
      </w:pPr>
      <w:r w:rsidRPr="009B78DA">
        <w:rPr>
          <w:noProof/>
          <w:color w:val="000000" w:themeColor="text1"/>
        </w:rPr>
        <w:drawing>
          <wp:inline distT="0" distB="0" distL="0" distR="0" wp14:anchorId="0B376354" wp14:editId="371D4A0C">
            <wp:extent cx="5760720" cy="7039676"/>
            <wp:effectExtent l="0" t="0" r="0" b="8890"/>
            <wp:docPr id="1849177363" name="Obraz 1849177363" descr="Województwo podkarpackie w tym największe miasta powiatowe. Po lewej dojazdy do pracy – przejazdy samochodem Zmiany 2022 – 2030 (model), po prawej przejazdy biznesowe, pod spodem pozostałe." title="Rysunek 46 Prognozowane zmiany więźby ruchu w transporcie indywidualnym 2022-2030 wg podstawowych motywacji (porównanie bazowego ZMR 2022 i BAU2030 wersj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7039676"/>
                    </a:xfrm>
                    <a:prstGeom prst="rect">
                      <a:avLst/>
                    </a:prstGeom>
                    <a:noFill/>
                    <a:ln>
                      <a:noFill/>
                    </a:ln>
                  </pic:spPr>
                </pic:pic>
              </a:graphicData>
            </a:graphic>
          </wp:inline>
        </w:drawing>
      </w:r>
    </w:p>
    <w:p w14:paraId="69DC755F" w14:textId="79AE7085" w:rsidR="00B045A4" w:rsidRPr="00D21761" w:rsidRDefault="00FF7E48" w:rsidP="00D21761">
      <w:pPr>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4BFF3F19" w14:textId="6FA2FA02" w:rsidR="006B0084" w:rsidRPr="009B78DA" w:rsidRDefault="006B0084" w:rsidP="00D21761">
      <w:pPr>
        <w:pStyle w:val="Legenda"/>
        <w:keepNext/>
        <w:rPr>
          <w:rFonts w:ascii="Arial" w:hAnsi="Arial" w:cs="Arial"/>
          <w:i w:val="0"/>
          <w:color w:val="000000" w:themeColor="text1"/>
          <w:sz w:val="22"/>
          <w:szCs w:val="22"/>
        </w:rPr>
      </w:pPr>
      <w:bookmarkStart w:id="197" w:name="_Toc146785676"/>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47</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Prognozowane zmiany więźby ruchu w transporcie zbiorowym 2022-2030 wg podstawowych motywacji (porównanie bazowego ZMR 2022 i BAU2030 wersja 3.0)</w:t>
      </w:r>
      <w:bookmarkEnd w:id="197"/>
    </w:p>
    <w:p w14:paraId="52BA6DCC" w14:textId="2C083E3B" w:rsidR="00B045A4" w:rsidRPr="009B78DA" w:rsidRDefault="00DC2C0F" w:rsidP="00C24E47">
      <w:pPr>
        <w:pStyle w:val="Legenda"/>
        <w:keepNext/>
        <w:jc w:val="both"/>
        <w:rPr>
          <w:rFonts w:ascii="Arial" w:hAnsi="Arial" w:cs="Arial"/>
          <w:i w:val="0"/>
          <w:color w:val="000000" w:themeColor="text1"/>
          <w:sz w:val="22"/>
          <w:szCs w:val="22"/>
        </w:rPr>
      </w:pPr>
      <w:r w:rsidRPr="009B78DA">
        <w:rPr>
          <w:noProof/>
          <w:color w:val="000000" w:themeColor="text1"/>
        </w:rPr>
        <w:drawing>
          <wp:inline distT="0" distB="0" distL="0" distR="0" wp14:anchorId="7F9ED140" wp14:editId="5DFD8A30">
            <wp:extent cx="5760720" cy="7039676"/>
            <wp:effectExtent l="0" t="0" r="0" b="8890"/>
            <wp:docPr id="1849177364" name="Obraz 1849177364" descr="Województwo podkarpackie w tym największe miasta powiatowe. Po lewej dojazdy do pracy – przejazdy transportem publicznym Zmiany 2022 – 2030 (model), po prawej przejazdy biznesowe, pod spodem pozostałe." title="Rysunek 47 Prognozowane zmiany więźby ruchu w transporcie zbiorowym 2022-2030 wg podstawowych motywacji (porównanie bazowego ZMR 2022 i BAU2030 wersj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7039676"/>
                    </a:xfrm>
                    <a:prstGeom prst="rect">
                      <a:avLst/>
                    </a:prstGeom>
                    <a:noFill/>
                    <a:ln>
                      <a:noFill/>
                    </a:ln>
                  </pic:spPr>
                </pic:pic>
              </a:graphicData>
            </a:graphic>
          </wp:inline>
        </w:drawing>
      </w:r>
    </w:p>
    <w:p w14:paraId="54A65BFA" w14:textId="62AB4327" w:rsidR="00B045A4" w:rsidRPr="00D21761" w:rsidRDefault="00FF7E48" w:rsidP="00D21761">
      <w:pPr>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0D235ED7" w14:textId="67751131" w:rsidR="00B045A4" w:rsidRPr="009B78DA" w:rsidRDefault="00B045A4" w:rsidP="00D21761">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Poza Rzeszowem węzłami transportu publicznego (a zarazem miastami, gdzie prawdopodobnie przejmie on część podróży do ruchu drogowego indywidualnego) są jedynie Krosno i Mielec. W przypadku podróży pozostałych (usługi) widoczny jest także wzrost ruchu transportem zbiorowym w otoczeniu Przemyśla. Jednocześnie w relacjach do innych biegunów wzrostu nie dostrzegamy wyraźnych spadków ruchu w transporcie zbiorowym. Dowodzi to, że relatywna pozycja transportu zbiorowego zostanie tam zachowana lub nawet wzrośnie, pomimo ogólnego spadku przewozów pasażersk</w:t>
      </w:r>
      <w:r w:rsidR="00D21761">
        <w:rPr>
          <w:rFonts w:ascii="Arial" w:hAnsi="Arial" w:cs="Arial"/>
          <w:i w:val="0"/>
          <w:color w:val="000000" w:themeColor="text1"/>
          <w:sz w:val="22"/>
          <w:szCs w:val="22"/>
        </w:rPr>
        <w:t xml:space="preserve">ich w wartościach absolutnych. </w:t>
      </w:r>
      <w:r w:rsidRPr="009B78DA">
        <w:rPr>
          <w:rFonts w:ascii="Arial" w:hAnsi="Arial" w:cs="Arial"/>
          <w:i w:val="0"/>
          <w:color w:val="000000" w:themeColor="text1"/>
          <w:sz w:val="22"/>
          <w:szCs w:val="22"/>
        </w:rPr>
        <w:t xml:space="preserve">Spadki ruchu także w transporcie zbiorowym wystąpią w Karpatach oraz na wschodzie (strefa między Przemyślem a Lubaczowem). W relacjach poza granice regionu wzrosty spodziewane są w stronę Lublina, a w mniejszym stopniu Krakowa i Warszawy. Przyrosty na kierunku krakowskim (przy spadkach w transporcie indywidualnym) dowodzą, że największy potencjał do przesunięcia modalnego w relacjach dalekobieżnych znajduje się jednak </w:t>
      </w:r>
      <w:r w:rsidR="00D21761">
        <w:rPr>
          <w:rFonts w:ascii="Arial" w:hAnsi="Arial" w:cs="Arial"/>
          <w:i w:val="0"/>
          <w:color w:val="000000" w:themeColor="text1"/>
          <w:sz w:val="22"/>
          <w:szCs w:val="22"/>
        </w:rPr>
        <w:br/>
      </w:r>
      <w:r w:rsidRPr="009B78DA">
        <w:rPr>
          <w:rFonts w:ascii="Arial" w:hAnsi="Arial" w:cs="Arial"/>
          <w:i w:val="0"/>
          <w:color w:val="000000" w:themeColor="text1"/>
          <w:sz w:val="22"/>
          <w:szCs w:val="22"/>
        </w:rPr>
        <w:t>w tradycyjnym korytarzu równoleżnikowym. Skala inwestycji w stronę Warszawy nie gwarantuje tego przesunięcia w ruchu do stolicy.</w:t>
      </w:r>
    </w:p>
    <w:p w14:paraId="561F4948" w14:textId="60589C7D" w:rsidR="00B045A4" w:rsidRPr="009B78DA" w:rsidRDefault="00B045A4" w:rsidP="00D21761">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Wyniki oraz porównanie modeli ZMR 2022 i BAU2030 wersja 3.0 potwierdzają wcześniejsze tezy, że korzystny policentryczny układ sieci transportowo-osadniczej województwa podlega poważnym zagrożeniom, głównie o charakterze społeczno-demograficznym, których dalsze inwestycje i organizacja transportu nie będą już w stanie</w:t>
      </w:r>
      <w:r w:rsidR="00D21761">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w pełni przezwyciężyć. Układ policentryczny będzie też z czasem oparty bardziej na relacjach pozostałych niż na rynkach pracy. Dotyczy to w szczególności dojazdów do usług. Bardzo wzmacnia to wcześniejszą rekomendację, że</w:t>
      </w:r>
      <w:r w:rsidR="007C45F9"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 xml:space="preserve">podtrzymanie policentryczności musi pozostawać jednym z celów polityki transportowej oraz w rosnącym stopniu powinno opierać się na transporcie zbiorowym (także z uwagi na strukturę dojazdów, które będą elementem mobilności fakultatywnej, w tym np. dojazdy ludności w wieku poprodukcyjnym do usług publicznych). Ocena zmian oczekiwanych w okresie 2022-2030 dowodzi, że inwestycje </w:t>
      </w:r>
      <w:r w:rsidR="00D21761">
        <w:rPr>
          <w:rFonts w:ascii="Arial" w:hAnsi="Arial" w:cs="Arial"/>
          <w:i w:val="0"/>
          <w:color w:val="000000" w:themeColor="text1"/>
          <w:sz w:val="22"/>
          <w:szCs w:val="22"/>
        </w:rPr>
        <w:br/>
      </w:r>
      <w:r w:rsidRPr="009B78DA">
        <w:rPr>
          <w:rFonts w:ascii="Arial" w:hAnsi="Arial" w:cs="Arial"/>
          <w:i w:val="0"/>
          <w:color w:val="000000" w:themeColor="text1"/>
          <w:sz w:val="22"/>
          <w:szCs w:val="22"/>
        </w:rPr>
        <w:t>w transport zbiorowy mogą przynieś</w:t>
      </w:r>
      <w:r w:rsidR="00C431C1" w:rsidRPr="009B78DA">
        <w:rPr>
          <w:rFonts w:ascii="Arial" w:hAnsi="Arial" w:cs="Arial"/>
          <w:i w:val="0"/>
          <w:color w:val="000000" w:themeColor="text1"/>
          <w:sz w:val="22"/>
          <w:szCs w:val="22"/>
        </w:rPr>
        <w:t>ć</w:t>
      </w:r>
      <w:r w:rsidRPr="009B78DA">
        <w:rPr>
          <w:rFonts w:ascii="Arial" w:hAnsi="Arial" w:cs="Arial"/>
          <w:i w:val="0"/>
          <w:color w:val="000000" w:themeColor="text1"/>
          <w:sz w:val="22"/>
          <w:szCs w:val="22"/>
        </w:rPr>
        <w:t xml:space="preserve"> korzystne zmiany modalne (odciążenie ruchu drogowego) przede wszystkim w relacjach do Rzeszowa oraz w niektórych relacjach do innych województw. Jednocześnie jednak w przypadku pozostałych relacji (w tym do większości subregionalnych biegunów wzrostu) kluczowe są działania organizacyjne </w:t>
      </w:r>
      <w:r w:rsidR="00D21761">
        <w:rPr>
          <w:rFonts w:ascii="Arial" w:hAnsi="Arial" w:cs="Arial"/>
          <w:i w:val="0"/>
          <w:color w:val="000000" w:themeColor="text1"/>
          <w:sz w:val="22"/>
          <w:szCs w:val="22"/>
        </w:rPr>
        <w:br/>
      </w:r>
      <w:r w:rsidRPr="009B78DA">
        <w:rPr>
          <w:rFonts w:ascii="Arial" w:hAnsi="Arial" w:cs="Arial"/>
          <w:i w:val="0"/>
          <w:color w:val="000000" w:themeColor="text1"/>
          <w:sz w:val="22"/>
          <w:szCs w:val="22"/>
        </w:rPr>
        <w:t>(i mniejsze inwestycyjne) podtrzymujące funkcje transportu zbiorowego. Zapewnia to obsługę starzejącego się społeczeństwa, a także stopniowo modyfikuje strukturę przewozów (naturalne spadki ruchu dokonywać będą się wówczas w transporcie indywidualnym, a nie zbiorowym). Jest to też podstawą do rekomendacji silniejszego zróżnicowania polityki transportowej w regionie. Terytorializacja w zakresie celów oraz możliwych narzędzi interwencji publicznej powinna w tym wypadku oznaczać rozróżnienie ciągów tranzytowych</w:t>
      </w:r>
      <w:r w:rsidR="00D21761">
        <w:rPr>
          <w:rFonts w:ascii="Arial" w:hAnsi="Arial" w:cs="Arial"/>
          <w:i w:val="0"/>
          <w:color w:val="000000" w:themeColor="text1"/>
          <w:sz w:val="22"/>
          <w:szCs w:val="22"/>
        </w:rPr>
        <w:t xml:space="preserve"> </w:t>
      </w:r>
      <w:r w:rsidR="00D21761">
        <w:rPr>
          <w:rFonts w:ascii="Arial" w:hAnsi="Arial" w:cs="Arial"/>
          <w:i w:val="0"/>
          <w:color w:val="000000" w:themeColor="text1"/>
          <w:sz w:val="22"/>
          <w:szCs w:val="22"/>
        </w:rPr>
        <w:br/>
      </w:r>
      <w:r w:rsidRPr="009B78DA">
        <w:rPr>
          <w:rFonts w:ascii="Arial" w:hAnsi="Arial" w:cs="Arial"/>
          <w:i w:val="0"/>
          <w:color w:val="000000" w:themeColor="text1"/>
          <w:sz w:val="22"/>
          <w:szCs w:val="22"/>
        </w:rPr>
        <w:t>i dojazdowych do Rzeszowa od większości innych relacji. W pierwszym przypadku na pierwszy plan wysuwają się cele związane z przesunięciem modalnym i ograniczeniem emisji, zaś podstawowym rodzajem interwencji jest wsparcie wydajnego transportu zbiorowego oraz rozwiązań multimodalnych. W pozostałych ciągach transportowych ważne jest utrzymanie oferty przewozowej i zapewnienie komplementarnego wykorzystania transportu zbiorowego</w:t>
      </w:r>
      <w:r w:rsidR="00D21761">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 xml:space="preserve">i indywidualnego. Takie podejście powinno na terenach peryferyjnych </w:t>
      </w:r>
      <w:r w:rsidR="00C431C1" w:rsidRPr="009B78DA">
        <w:rPr>
          <w:rFonts w:ascii="Arial" w:hAnsi="Arial" w:cs="Arial"/>
          <w:i w:val="0"/>
          <w:color w:val="000000" w:themeColor="text1"/>
          <w:sz w:val="22"/>
          <w:szCs w:val="22"/>
        </w:rPr>
        <w:t xml:space="preserve">przynieść </w:t>
      </w:r>
      <w:r w:rsidRPr="009B78DA">
        <w:rPr>
          <w:rFonts w:ascii="Arial" w:hAnsi="Arial" w:cs="Arial"/>
          <w:i w:val="0"/>
          <w:color w:val="000000" w:themeColor="text1"/>
          <w:sz w:val="22"/>
          <w:szCs w:val="22"/>
        </w:rPr>
        <w:t xml:space="preserve">pośrednią redukcję emisji gazów cieplarnianych bez rezygnowania z regionalnych </w:t>
      </w:r>
      <w:r w:rsidR="00D21761">
        <w:rPr>
          <w:rFonts w:ascii="Arial" w:hAnsi="Arial" w:cs="Arial"/>
          <w:i w:val="0"/>
          <w:color w:val="000000" w:themeColor="text1"/>
          <w:sz w:val="22"/>
          <w:szCs w:val="22"/>
        </w:rPr>
        <w:br/>
      </w:r>
      <w:r w:rsidRPr="009B78DA">
        <w:rPr>
          <w:rFonts w:ascii="Arial" w:hAnsi="Arial" w:cs="Arial"/>
          <w:i w:val="0"/>
          <w:color w:val="000000" w:themeColor="text1"/>
          <w:sz w:val="22"/>
          <w:szCs w:val="22"/>
        </w:rPr>
        <w:t>i lokalnych inwestycji drogowych.</w:t>
      </w:r>
    </w:p>
    <w:p w14:paraId="01960848" w14:textId="77777777" w:rsidR="00BD6ADF" w:rsidRPr="009B78DA" w:rsidRDefault="00BD6ADF" w:rsidP="00D21761">
      <w:pPr>
        <w:rPr>
          <w:color w:val="000000" w:themeColor="text1"/>
          <w:sz w:val="4"/>
          <w:szCs w:val="4"/>
        </w:rPr>
      </w:pPr>
    </w:p>
    <w:p w14:paraId="6779559E" w14:textId="3A94884F" w:rsidR="00FB454D" w:rsidRPr="009B78DA" w:rsidRDefault="00FB454D" w:rsidP="00D21761">
      <w:pPr>
        <w:pStyle w:val="Akapitzlist"/>
        <w:numPr>
          <w:ilvl w:val="2"/>
          <w:numId w:val="243"/>
        </w:numPr>
        <w:rPr>
          <w:rFonts w:ascii="Arial" w:hAnsi="Arial" w:cs="Arial"/>
          <w:b/>
          <w:color w:val="000000" w:themeColor="text1"/>
          <w:sz w:val="22"/>
          <w:szCs w:val="22"/>
        </w:rPr>
      </w:pPr>
      <w:r w:rsidRPr="009B78DA">
        <w:rPr>
          <w:rFonts w:ascii="Arial" w:hAnsi="Arial" w:cs="Arial"/>
          <w:b/>
          <w:color w:val="000000" w:themeColor="text1"/>
          <w:sz w:val="22"/>
          <w:szCs w:val="22"/>
        </w:rPr>
        <w:t xml:space="preserve">Rozkład </w:t>
      </w:r>
      <w:r w:rsidR="008511DC" w:rsidRPr="009B78DA">
        <w:rPr>
          <w:rFonts w:ascii="Arial" w:hAnsi="Arial" w:cs="Arial"/>
          <w:b/>
          <w:color w:val="000000" w:themeColor="text1"/>
          <w:sz w:val="22"/>
          <w:szCs w:val="22"/>
        </w:rPr>
        <w:t>ruchu wg Zintegrowanego Modelu Ruchu BAU2030 (wersja 3.0)</w:t>
      </w:r>
    </w:p>
    <w:p w14:paraId="5696E814" w14:textId="4EAC62BC" w:rsidR="00934048" w:rsidRPr="009B78DA" w:rsidRDefault="00FB454D" w:rsidP="00D21761">
      <w:pPr>
        <w:pStyle w:val="Legenda"/>
        <w:spacing w:after="12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Porównanie </w:t>
      </w:r>
      <w:r w:rsidR="00934048" w:rsidRPr="009B78DA">
        <w:rPr>
          <w:rFonts w:ascii="Arial" w:hAnsi="Arial" w:cs="Arial"/>
          <w:i w:val="0"/>
          <w:color w:val="000000" w:themeColor="text1"/>
          <w:sz w:val="22"/>
          <w:szCs w:val="22"/>
        </w:rPr>
        <w:t>rozkładów ruchu pojazdów na sieci drogowej wygenerowanych przez modele ZMR 2022 i ZMR BAU2030 wersja 3.0 wskazuje ponownie na istotne znaczenie nowej drogi ekspresowej S19 jako szlaku koncentrującego większe przepływy niż dotychczas</w:t>
      </w:r>
      <w:r w:rsidR="00C431C1" w:rsidRPr="009B78DA">
        <w:rPr>
          <w:rFonts w:ascii="Arial" w:hAnsi="Arial" w:cs="Arial"/>
          <w:i w:val="0"/>
          <w:color w:val="000000" w:themeColor="text1"/>
          <w:sz w:val="22"/>
          <w:szCs w:val="22"/>
        </w:rPr>
        <w:t xml:space="preserve">. </w:t>
      </w:r>
      <w:r w:rsidR="00934048" w:rsidRPr="009B78DA">
        <w:rPr>
          <w:rFonts w:ascii="Arial" w:hAnsi="Arial" w:cs="Arial"/>
          <w:i w:val="0"/>
          <w:color w:val="000000" w:themeColor="text1"/>
          <w:sz w:val="22"/>
          <w:szCs w:val="22"/>
        </w:rPr>
        <w:t>Wzrost ruchu oczekiwany jest szczególnie na odcinku południowym szlaku, ale także nadal</w:t>
      </w:r>
      <w:r w:rsidR="00D21761">
        <w:rPr>
          <w:rFonts w:ascii="Arial" w:hAnsi="Arial" w:cs="Arial"/>
          <w:i w:val="0"/>
          <w:color w:val="000000" w:themeColor="text1"/>
          <w:sz w:val="22"/>
          <w:szCs w:val="22"/>
        </w:rPr>
        <w:t xml:space="preserve"> </w:t>
      </w:r>
      <w:r w:rsidR="00934048" w:rsidRPr="009B78DA">
        <w:rPr>
          <w:rFonts w:ascii="Arial" w:hAnsi="Arial" w:cs="Arial"/>
          <w:i w:val="0"/>
          <w:color w:val="000000" w:themeColor="text1"/>
          <w:sz w:val="22"/>
          <w:szCs w:val="22"/>
        </w:rPr>
        <w:t>w jego części północnej (Rzeszów-Nisko). Co więcej wyraźne wzrosty spodziewane są także na niektórych drogach doprowadzających do trasy S19, co jest potwierdzeniem wcześniejszych oczekiwań wynikających z doświadczeń ukończenia innych dróg ekspresowych w Polsce (np. drogi S7 między Warszawa a Gdańskiem; Plan Transportowy Wo</w:t>
      </w:r>
      <w:r w:rsidR="00D21761">
        <w:rPr>
          <w:rFonts w:ascii="Arial" w:hAnsi="Arial" w:cs="Arial"/>
          <w:i w:val="0"/>
          <w:color w:val="000000" w:themeColor="text1"/>
          <w:sz w:val="22"/>
          <w:szCs w:val="22"/>
        </w:rPr>
        <w:t>jewództwa Warmińsko-Mazurskiego</w:t>
      </w:r>
      <w:r w:rsidR="00934048" w:rsidRPr="009B78DA">
        <w:rPr>
          <w:rFonts w:ascii="Arial" w:hAnsi="Arial" w:cs="Arial"/>
          <w:i w:val="0"/>
          <w:color w:val="000000" w:themeColor="text1"/>
          <w:sz w:val="22"/>
          <w:szCs w:val="22"/>
        </w:rPr>
        <w:t xml:space="preserve"> 2022). W obrazie kartograficznym pojawia się także nowa droga S74 łącząca Nisko z województwem świętokrzyskim oraz obwodnice w ciągach drogi DK73 (między Pilznem a Jasłem) oraz DK9 (między Tarnobrzegiem a Rzeszowem). Pozostałe zmiany nie determinują znacząco ogólnego rozkładu ruchu pojazdów w województwie. Korekcie podlega bezwzględne natężenie ruchu (patrz niżej), ale ogólne rozmieszczenie i relatywne znaczenie poszczególnych węzłów </w:t>
      </w:r>
      <w:r w:rsidR="00D21761">
        <w:rPr>
          <w:rFonts w:ascii="Arial" w:hAnsi="Arial" w:cs="Arial"/>
          <w:i w:val="0"/>
          <w:color w:val="000000" w:themeColor="text1"/>
          <w:sz w:val="22"/>
          <w:szCs w:val="22"/>
        </w:rPr>
        <w:br/>
      </w:r>
      <w:r w:rsidR="00934048" w:rsidRPr="009B78DA">
        <w:rPr>
          <w:rFonts w:ascii="Arial" w:hAnsi="Arial" w:cs="Arial"/>
          <w:i w:val="0"/>
          <w:color w:val="000000" w:themeColor="text1"/>
          <w:sz w:val="22"/>
          <w:szCs w:val="22"/>
        </w:rPr>
        <w:t>i większości odcinków pozostaje takie jak w roku 2022. Można to traktować jako dowód stabilizującej, a jednocześnie głównie reaktywnej roli programów inwestycyjnych. Nowe trasy odpowiadają wygenerowanemu już wcześniej popytowi, a nie kreują ten popyt</w:t>
      </w:r>
      <w:r w:rsidR="00D21761">
        <w:rPr>
          <w:rFonts w:ascii="Arial" w:hAnsi="Arial" w:cs="Arial"/>
          <w:i w:val="0"/>
          <w:color w:val="000000" w:themeColor="text1"/>
          <w:sz w:val="22"/>
          <w:szCs w:val="22"/>
        </w:rPr>
        <w:t xml:space="preserve"> w całkowicie nowych miejscach.</w:t>
      </w:r>
    </w:p>
    <w:p w14:paraId="56841B03" w14:textId="16C1DC92" w:rsidR="006B0084" w:rsidRPr="009B78DA" w:rsidRDefault="006B0084" w:rsidP="00D21761">
      <w:pPr>
        <w:pStyle w:val="Legenda"/>
        <w:keepNext/>
        <w:rPr>
          <w:rFonts w:ascii="Arial" w:hAnsi="Arial" w:cs="Arial"/>
          <w:i w:val="0"/>
          <w:color w:val="000000" w:themeColor="text1"/>
          <w:sz w:val="22"/>
          <w:szCs w:val="22"/>
        </w:rPr>
      </w:pPr>
      <w:bookmarkStart w:id="198" w:name="_Toc146785677"/>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Prognozowany rozkład ruchu pojazdów na sieci drogowej województwa podkarpackiego wg bazowego ZMR 2022 i BAU2030 (wersja 3.0)</w:t>
      </w:r>
      <w:bookmarkEnd w:id="198"/>
    </w:p>
    <w:p w14:paraId="4BA927C0" w14:textId="4C2187AC" w:rsidR="008511DC" w:rsidRPr="009B78DA" w:rsidRDefault="0071471A" w:rsidP="008511DC">
      <w:pPr>
        <w:rPr>
          <w:color w:val="000000" w:themeColor="text1"/>
        </w:rPr>
      </w:pPr>
      <w:r>
        <w:rPr>
          <w:noProof/>
          <w:color w:val="000000" w:themeColor="text1"/>
        </w:rPr>
        <w:drawing>
          <wp:inline distT="0" distB="0" distL="0" distR="0" wp14:anchorId="3D5EC1BA" wp14:editId="0CBD76D9">
            <wp:extent cx="5715798" cy="3629532"/>
            <wp:effectExtent l="0" t="0" r="0" b="9525"/>
            <wp:docPr id="1849177344" name="Obraz 1849177344" descr="Województwo podkarpackie w tym największe miasta powiatowe. Po lewej Średniodobowy Ruch Pojazdów (2022), po prawej Średniodobowy Ruch Pojazdów (2030)" title="Rysunek 48 Prognozowany rozkład ruchu pojazdów na sieci drogowej województwa podkarpackiego wg bazowego ZMR 2022 i BAU2030 (wersj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77344" name="Rysunek 48.png"/>
                    <pic:cNvPicPr/>
                  </pic:nvPicPr>
                  <pic:blipFill>
                    <a:blip r:embed="rId63">
                      <a:extLst>
                        <a:ext uri="{28A0092B-C50C-407E-A947-70E740481C1C}">
                          <a14:useLocalDpi xmlns:a14="http://schemas.microsoft.com/office/drawing/2010/main" val="0"/>
                        </a:ext>
                      </a:extLst>
                    </a:blip>
                    <a:stretch>
                      <a:fillRect/>
                    </a:stretch>
                  </pic:blipFill>
                  <pic:spPr>
                    <a:xfrm>
                      <a:off x="0" y="0"/>
                      <a:ext cx="5715798" cy="3629532"/>
                    </a:xfrm>
                    <a:prstGeom prst="rect">
                      <a:avLst/>
                    </a:prstGeom>
                  </pic:spPr>
                </pic:pic>
              </a:graphicData>
            </a:graphic>
          </wp:inline>
        </w:drawing>
      </w:r>
    </w:p>
    <w:p w14:paraId="78F3DCD5" w14:textId="365DEFB6" w:rsidR="00934048" w:rsidRPr="009B78DA" w:rsidRDefault="0006633A" w:rsidP="00F74621">
      <w:pPr>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1F19070B" w14:textId="77777777" w:rsidR="00C431C1" w:rsidRPr="009B78DA" w:rsidRDefault="00934048" w:rsidP="00F74621">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 przypadku ruchu osób (</w:t>
      </w:r>
      <w:r w:rsidR="00C431C1" w:rsidRPr="009B78DA">
        <w:rPr>
          <w:rFonts w:ascii="Arial" w:hAnsi="Arial" w:cs="Arial"/>
          <w:i w:val="0"/>
          <w:color w:val="000000" w:themeColor="text1"/>
          <w:sz w:val="22"/>
          <w:szCs w:val="22"/>
        </w:rPr>
        <w:t xml:space="preserve">rysunek </w:t>
      </w:r>
      <w:r w:rsidRPr="009B78DA">
        <w:rPr>
          <w:rFonts w:ascii="Arial" w:hAnsi="Arial" w:cs="Arial"/>
          <w:i w:val="0"/>
          <w:color w:val="000000" w:themeColor="text1"/>
          <w:sz w:val="22"/>
          <w:szCs w:val="22"/>
        </w:rPr>
        <w:t>obejmujący zarówno sieć drogową, jak i kolejową) rozkład przestrzenny jest już nieco mniej zbliżony do notowanego przy wykorzystaniu wcześniejszych wersji modeli CUPT. Powodem jest założenie pojawienia się ważnych, skupiających znaczący ruch, ciągów kolejowych:</w:t>
      </w:r>
    </w:p>
    <w:p w14:paraId="051B02C9" w14:textId="784682D4" w:rsidR="00C431C1" w:rsidRPr="009B78DA" w:rsidRDefault="00934048" w:rsidP="00F74621">
      <w:pPr>
        <w:pStyle w:val="Legenda"/>
        <w:numPr>
          <w:ilvl w:val="0"/>
          <w:numId w:val="308"/>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nowego  z Rzeszowa do Łętowni i dalej po trasie linii 68 przez Nisko i Stalową Wolę do Lublina, </w:t>
      </w:r>
    </w:p>
    <w:p w14:paraId="6E0E7BC7" w14:textId="77777777" w:rsidR="00C431C1" w:rsidRPr="009B78DA" w:rsidRDefault="00934048" w:rsidP="00F74621">
      <w:pPr>
        <w:pStyle w:val="Legenda"/>
        <w:numPr>
          <w:ilvl w:val="0"/>
          <w:numId w:val="308"/>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modernizowanego z Rzeszowa do Tarnobrzega (linia 71),</w:t>
      </w:r>
    </w:p>
    <w:p w14:paraId="0746BB29" w14:textId="450394BA" w:rsidR="00934048" w:rsidRPr="009B78DA" w:rsidRDefault="00934048" w:rsidP="00F74621">
      <w:pPr>
        <w:pStyle w:val="Legenda"/>
        <w:numPr>
          <w:ilvl w:val="0"/>
          <w:numId w:val="308"/>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modernizowanego z Dębicy przez Mi</w:t>
      </w:r>
      <w:r w:rsidR="00F74621">
        <w:rPr>
          <w:rFonts w:ascii="Arial" w:hAnsi="Arial" w:cs="Arial"/>
          <w:i w:val="0"/>
          <w:color w:val="000000" w:themeColor="text1"/>
          <w:sz w:val="22"/>
          <w:szCs w:val="22"/>
        </w:rPr>
        <w:t>elec do Tarnobrzega (linia 25).</w:t>
      </w:r>
    </w:p>
    <w:p w14:paraId="3F86D096" w14:textId="51EFFAC4" w:rsidR="00934048" w:rsidRPr="009B78DA" w:rsidRDefault="00934048" w:rsidP="00F74621">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Zauważalny jest także większy ruch kolejowy na trasach 106 i 108, których konkurencyjność wzrasta po uruchomieniu łącznika w rejonie Jedlicza. Efekt drogi S19 jest słabiej widoczny w kategorii ruchu pasażerskiego, niż ruchu pojazdów, co można wiązać</w:t>
      </w:r>
      <w:r w:rsidR="00F74621">
        <w:rPr>
          <w:rFonts w:ascii="Arial" w:hAnsi="Arial" w:cs="Arial"/>
          <w:i w:val="0"/>
          <w:color w:val="000000" w:themeColor="text1"/>
          <w:sz w:val="22"/>
          <w:szCs w:val="22"/>
        </w:rPr>
        <w:t xml:space="preserve"> </w:t>
      </w:r>
      <w:r w:rsidR="00F74621">
        <w:rPr>
          <w:rFonts w:ascii="Arial" w:hAnsi="Arial" w:cs="Arial"/>
          <w:i w:val="0"/>
          <w:color w:val="000000" w:themeColor="text1"/>
          <w:sz w:val="22"/>
          <w:szCs w:val="22"/>
        </w:rPr>
        <w:br/>
      </w:r>
      <w:r w:rsidRPr="009B78DA">
        <w:rPr>
          <w:rFonts w:ascii="Arial" w:hAnsi="Arial" w:cs="Arial"/>
          <w:i w:val="0"/>
          <w:color w:val="000000" w:themeColor="text1"/>
          <w:sz w:val="22"/>
          <w:szCs w:val="22"/>
        </w:rPr>
        <w:t>z słabym jej wykorzystaniem przez zbiorowy transport autobusowy (przynajmniej zgodnie</w:t>
      </w:r>
      <w:r w:rsidR="00F74621">
        <w:rPr>
          <w:rFonts w:ascii="Arial" w:hAnsi="Arial" w:cs="Arial"/>
          <w:i w:val="0"/>
          <w:color w:val="000000" w:themeColor="text1"/>
          <w:sz w:val="22"/>
          <w:szCs w:val="22"/>
        </w:rPr>
        <w:t xml:space="preserve"> </w:t>
      </w:r>
      <w:r w:rsidR="00F74621">
        <w:rPr>
          <w:rFonts w:ascii="Arial" w:hAnsi="Arial" w:cs="Arial"/>
          <w:i w:val="0"/>
          <w:color w:val="000000" w:themeColor="text1"/>
          <w:sz w:val="22"/>
          <w:szCs w:val="22"/>
        </w:rPr>
        <w:br/>
      </w:r>
      <w:r w:rsidRPr="009B78DA">
        <w:rPr>
          <w:rFonts w:ascii="Arial" w:hAnsi="Arial" w:cs="Arial"/>
          <w:i w:val="0"/>
          <w:color w:val="000000" w:themeColor="text1"/>
          <w:sz w:val="22"/>
          <w:szCs w:val="22"/>
        </w:rPr>
        <w:t>z założeniami modelu CUPT).</w:t>
      </w:r>
    </w:p>
    <w:p w14:paraId="10755888" w14:textId="77777777" w:rsidR="00C24E47" w:rsidRPr="009B78DA" w:rsidRDefault="00C24E47" w:rsidP="00F74621">
      <w:pPr>
        <w:rPr>
          <w:color w:val="000000" w:themeColor="text1"/>
          <w:sz w:val="4"/>
          <w:szCs w:val="4"/>
        </w:rPr>
      </w:pPr>
    </w:p>
    <w:p w14:paraId="0E75DE2E" w14:textId="773B32EA" w:rsidR="006B0084" w:rsidRPr="009B78DA" w:rsidRDefault="006B0084" w:rsidP="00F74621">
      <w:pPr>
        <w:pStyle w:val="Legenda"/>
        <w:keepNext/>
        <w:rPr>
          <w:rFonts w:ascii="Arial" w:hAnsi="Arial" w:cs="Arial"/>
          <w:i w:val="0"/>
          <w:color w:val="000000" w:themeColor="text1"/>
          <w:sz w:val="22"/>
          <w:szCs w:val="22"/>
        </w:rPr>
      </w:pPr>
      <w:bookmarkStart w:id="199" w:name="_Toc146785678"/>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49</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Prognozowany rozkład ruchu pasażerskiego na sieci drogowej i kolejowej województwa podkarpackiego wg bazowego ZMR 2022 i BAU2030 (wersja 3.0)</w:t>
      </w:r>
      <w:bookmarkEnd w:id="199"/>
    </w:p>
    <w:p w14:paraId="0F2EA4B2" w14:textId="68CC2611" w:rsidR="0006633A" w:rsidRPr="009B78DA" w:rsidRDefault="00F74621" w:rsidP="0006633A">
      <w:pPr>
        <w:rPr>
          <w:color w:val="000000" w:themeColor="text1"/>
        </w:rPr>
      </w:pPr>
      <w:r>
        <w:rPr>
          <w:noProof/>
          <w:color w:val="000000" w:themeColor="text1"/>
        </w:rPr>
        <w:drawing>
          <wp:inline distT="0" distB="0" distL="0" distR="0" wp14:anchorId="7ADD4B17" wp14:editId="1629E34E">
            <wp:extent cx="5715798" cy="3686689"/>
            <wp:effectExtent l="0" t="0" r="0" b="9525"/>
            <wp:docPr id="1849177345" name="Obraz 1849177345" descr="Województwo podkarpackie w tym największe miasta powiatowe. Po lewej Średniodobowy Ruch Osób Drogowych-Kolejowych (2022), po prawej Średniodobowy Ruch Osób Drogowych-Kolejowych (2030)" title="Rysunek 49 Prognozowany rozkład ruchu pasażerskiego na sieci drogowej i kolejowej województwa podkarpackiego wg bazowego ZMR 2022 i BAU2030 (wersj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177345" name="Rysunek 49.png"/>
                    <pic:cNvPicPr/>
                  </pic:nvPicPr>
                  <pic:blipFill>
                    <a:blip r:embed="rId64">
                      <a:extLst>
                        <a:ext uri="{28A0092B-C50C-407E-A947-70E740481C1C}">
                          <a14:useLocalDpi xmlns:a14="http://schemas.microsoft.com/office/drawing/2010/main" val="0"/>
                        </a:ext>
                      </a:extLst>
                    </a:blip>
                    <a:stretch>
                      <a:fillRect/>
                    </a:stretch>
                  </pic:blipFill>
                  <pic:spPr>
                    <a:xfrm>
                      <a:off x="0" y="0"/>
                      <a:ext cx="5715798" cy="3686689"/>
                    </a:xfrm>
                    <a:prstGeom prst="rect">
                      <a:avLst/>
                    </a:prstGeom>
                  </pic:spPr>
                </pic:pic>
              </a:graphicData>
            </a:graphic>
          </wp:inline>
        </w:drawing>
      </w:r>
    </w:p>
    <w:p w14:paraId="333E548A" w14:textId="4CC1EA90" w:rsidR="00934048" w:rsidRPr="009B78DA" w:rsidRDefault="0006633A" w:rsidP="00F74621">
      <w:pPr>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0A16942D" w14:textId="44A4DCC2" w:rsidR="00C431C1" w:rsidRPr="009B78DA" w:rsidRDefault="00934048" w:rsidP="00F74621">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Model BAU2030 w wersji 3.0 w podziale na podstawowe motywacje w ruchu pasażerskim indywidualnym i w ruchu pojazdów, na sieci drogowej, potwierdza wnioski przedstawione wyżej na podstawie analizy więźby ruchu. Pozwala jednak dodatkowo na ocenę jakiemu rodzajowi ruchu służyć mogą poszczególne inwestycje drogowe. W kategorii dojazdów do pracy w roku 2030 największy ruch zarówno pojazdów, jaki i pasażerów koncentrować się będzie (zgodnie z modelem) na drogach prowadzących do Rzeszowa,</w:t>
      </w:r>
      <w:r w:rsidR="00F74621">
        <w:rPr>
          <w:rFonts w:ascii="Arial" w:hAnsi="Arial" w:cs="Arial"/>
          <w:i w:val="0"/>
          <w:color w:val="000000" w:themeColor="text1"/>
          <w:sz w:val="22"/>
          <w:szCs w:val="22"/>
        </w:rPr>
        <w:t xml:space="preserve"> </w:t>
      </w:r>
      <w:r w:rsidR="00F74621">
        <w:rPr>
          <w:rFonts w:ascii="Arial" w:hAnsi="Arial" w:cs="Arial"/>
          <w:i w:val="0"/>
          <w:color w:val="000000" w:themeColor="text1"/>
          <w:sz w:val="22"/>
          <w:szCs w:val="22"/>
        </w:rPr>
        <w:br/>
      </w:r>
      <w:r w:rsidRPr="009B78DA">
        <w:rPr>
          <w:rFonts w:ascii="Arial" w:hAnsi="Arial" w:cs="Arial"/>
          <w:i w:val="0"/>
          <w:color w:val="000000" w:themeColor="text1"/>
          <w:sz w:val="22"/>
          <w:szCs w:val="22"/>
        </w:rPr>
        <w:t>a w drugiej kolejności Krosna, Mielca i Jarosławia. Bardzo silnie obciążone ruchem dojazdowym będą autostrada A4 (na odcinku granica z województwem małopolskim – Łańcut) oraz droga S19 od Krosna do granicy z województwem lubelskim. Potwierdza, to że drogi szybkiego ruchu, pełnią istotne funkcje lokalne, obsługując rynki pracy. Przejmują także ruch dojazdowy z niższych rangą tras sąsiednich (także gdy wiąże się to z wydłużeniem podróży</w:t>
      </w:r>
      <w:r w:rsidR="00C431C1"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w kilometrach). Ruch drogowy pojazdów związany z kateg</w:t>
      </w:r>
      <w:r w:rsidR="00F74621">
        <w:rPr>
          <w:rFonts w:ascii="Arial" w:hAnsi="Arial" w:cs="Arial"/>
          <w:i w:val="0"/>
          <w:color w:val="000000" w:themeColor="text1"/>
          <w:sz w:val="22"/>
          <w:szCs w:val="22"/>
        </w:rPr>
        <w:t>orią „pozostałe” jest widoczny:</w:t>
      </w:r>
    </w:p>
    <w:p w14:paraId="52767D1D" w14:textId="77777777" w:rsidR="00C431C1" w:rsidRPr="009B78DA" w:rsidRDefault="00934048" w:rsidP="00F74621">
      <w:pPr>
        <w:pStyle w:val="Legenda"/>
        <w:numPr>
          <w:ilvl w:val="0"/>
          <w:numId w:val="309"/>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na tych samych trasach co ruch pracowniczy;</w:t>
      </w:r>
    </w:p>
    <w:p w14:paraId="788C557D" w14:textId="700AC62F" w:rsidR="00C431C1" w:rsidRPr="009B78DA" w:rsidRDefault="00934048" w:rsidP="00F74621">
      <w:pPr>
        <w:pStyle w:val="Legenda"/>
        <w:numPr>
          <w:ilvl w:val="0"/>
          <w:numId w:val="309"/>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na odcinkach prowadzących </w:t>
      </w:r>
      <w:r w:rsidR="00F74621">
        <w:rPr>
          <w:rFonts w:ascii="Arial" w:hAnsi="Arial" w:cs="Arial"/>
          <w:i w:val="0"/>
          <w:color w:val="000000" w:themeColor="text1"/>
          <w:sz w:val="22"/>
          <w:szCs w:val="22"/>
        </w:rPr>
        <w:t>do granic z Słowacją i Ukrainą;</w:t>
      </w:r>
    </w:p>
    <w:p w14:paraId="4624CB56" w14:textId="77777777" w:rsidR="00C431C1" w:rsidRPr="009B78DA" w:rsidRDefault="00934048" w:rsidP="00F74621">
      <w:pPr>
        <w:pStyle w:val="Legenda"/>
        <w:numPr>
          <w:ilvl w:val="0"/>
          <w:numId w:val="309"/>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na trasach obsługujących potoki turystyczne; </w:t>
      </w:r>
    </w:p>
    <w:p w14:paraId="3B5EBD95" w14:textId="59E876DC" w:rsidR="00934048" w:rsidRPr="009B78DA" w:rsidRDefault="00934048" w:rsidP="00F74621">
      <w:pPr>
        <w:pStyle w:val="Legenda"/>
        <w:numPr>
          <w:ilvl w:val="0"/>
          <w:numId w:val="309"/>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na trasach, gdzie obsługiwane są liczne mikroprzedsiębiorstwa (np. gospodarka leśna w Karpatach, podmioty handlowe na obszarze przygranicznym).</w:t>
      </w:r>
    </w:p>
    <w:p w14:paraId="3C9BE2CF" w14:textId="16922A1D" w:rsidR="00934048" w:rsidRPr="009B78DA" w:rsidRDefault="00934048" w:rsidP="00F74621">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We wschodniej części regionu modelowany ruch „pozostały” będzie w 2030 r. już zauważalnie większy niż ruch związany z dojazdami do pracy (m.in. w otoczeniu takich miast jak Przemyśl, Lubaczów, Jarosław). Innymi słowy dojazdy do usług (w tym szkół) będą ważniejszym generatorem ruchu niż rynek pracy. Ruch biznesowy będzie się, tak jak obecnie koncentrował na głównych drogach krajowych, w tym </w:t>
      </w:r>
      <w:r w:rsidR="00F74621">
        <w:rPr>
          <w:rFonts w:ascii="Arial" w:hAnsi="Arial" w:cs="Arial"/>
          <w:i w:val="0"/>
          <w:color w:val="000000" w:themeColor="text1"/>
          <w:sz w:val="22"/>
          <w:szCs w:val="22"/>
        </w:rPr>
        <w:t>szczególnie na A4 i S19.</w:t>
      </w:r>
    </w:p>
    <w:p w14:paraId="4AF00E1A" w14:textId="6861F2AE" w:rsidR="00C431C1" w:rsidRPr="009B78DA" w:rsidRDefault="00934048" w:rsidP="00F74621">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Zarówno ruch pasażerów, jak i pojazdów wskazuje na niektóre drogi wojewódzkie, jako prawdopodobnie szczególnie wysoce obciążone w perspektywie roku 2030. </w:t>
      </w:r>
      <w:r w:rsidR="00F74621">
        <w:rPr>
          <w:rFonts w:ascii="Arial" w:hAnsi="Arial" w:cs="Arial"/>
          <w:i w:val="0"/>
          <w:color w:val="000000" w:themeColor="text1"/>
          <w:sz w:val="22"/>
          <w:szCs w:val="22"/>
        </w:rPr>
        <w:br/>
      </w:r>
      <w:r w:rsidRPr="009B78DA">
        <w:rPr>
          <w:rFonts w:ascii="Arial" w:hAnsi="Arial" w:cs="Arial"/>
          <w:i w:val="0"/>
          <w:color w:val="000000" w:themeColor="text1"/>
          <w:sz w:val="22"/>
          <w:szCs w:val="22"/>
        </w:rPr>
        <w:t>W przypadku motywacji dojazdów do pracy są to:</w:t>
      </w:r>
    </w:p>
    <w:p w14:paraId="0A7D2A9B" w14:textId="77777777" w:rsidR="00C431C1" w:rsidRPr="009B78DA" w:rsidRDefault="00934048" w:rsidP="00F74621">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drogi zbiegające się w Mielcu (DW985, DW983, DW875, DW984),</w:t>
      </w:r>
    </w:p>
    <w:p w14:paraId="7A4E8BD4" w14:textId="77777777" w:rsidR="00C431C1" w:rsidRPr="009B78DA" w:rsidRDefault="00934048" w:rsidP="00F74621">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droga Łańcut-Przemyśl (DW881),</w:t>
      </w:r>
    </w:p>
    <w:p w14:paraId="01518379" w14:textId="2AF45430" w:rsidR="00934048" w:rsidRPr="009B78DA" w:rsidRDefault="00934048" w:rsidP="00F74621">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droga Rzeszów-Dynów (DW878).</w:t>
      </w:r>
    </w:p>
    <w:p w14:paraId="2F2D63D1" w14:textId="77777777" w:rsidR="00934048" w:rsidRPr="009B78DA" w:rsidRDefault="00934048" w:rsidP="00F74621">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 ruchu pozostałym (w tym tranzyt, turystyka, usługi) obciążenie takie widoczne będzie (poza wymienionymi wyżej) także m.in. na:</w:t>
      </w:r>
    </w:p>
    <w:p w14:paraId="3B901E8D" w14:textId="77777777" w:rsidR="00C431C1" w:rsidRPr="009B78DA" w:rsidRDefault="00934048" w:rsidP="00F74621">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drodze Gorlice-Dukla (DW993),</w:t>
      </w:r>
    </w:p>
    <w:p w14:paraId="461050D1" w14:textId="4080B8A5" w:rsidR="00C431C1" w:rsidRPr="009B78DA" w:rsidRDefault="00934048" w:rsidP="00F74621">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drodze Jarosław-Lubaczów</w:t>
      </w:r>
      <w:r w:rsidR="00C431C1"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w:t>
      </w:r>
      <w:r w:rsidR="00C431C1"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Tomaszów Lubelski (DW865),</w:t>
      </w:r>
    </w:p>
    <w:p w14:paraId="58B546A2" w14:textId="7E881811" w:rsidR="00934048" w:rsidRPr="009B78DA" w:rsidRDefault="00934048" w:rsidP="00F74621">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drodze Przemyśl-Dynów (DW884).</w:t>
      </w:r>
    </w:p>
    <w:p w14:paraId="3D63AD1D" w14:textId="77777777" w:rsidR="00934048" w:rsidRPr="009B78DA" w:rsidRDefault="00934048" w:rsidP="00F74621">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Niezależnie od dróg wojewódzkich w roku 2030  pomimo koncentracji na sieci szkieletowej autostrad i dróg ekspresowych, wysokie obciążenie utrzyma się także na niektórych innych drogach krajowych. Może być to przesłanką do dalszych działań inwestycyjnych na tych kierunkach. Są to:</w:t>
      </w:r>
    </w:p>
    <w:p w14:paraId="180A8093" w14:textId="77777777" w:rsidR="00C431C1" w:rsidRPr="009B78DA" w:rsidRDefault="00934048" w:rsidP="00F74621">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ciąg dróg krajowych DK73/DK28 od Tarnowa po Sanok, ale także między Nowym Sączem a Leskiem;</w:t>
      </w:r>
    </w:p>
    <w:p w14:paraId="5FE08257" w14:textId="77777777" w:rsidR="00C431C1" w:rsidRPr="009B78DA" w:rsidRDefault="00934048" w:rsidP="00F74621">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droga DK9 z Warszawy do Rzeszowa;</w:t>
      </w:r>
    </w:p>
    <w:p w14:paraId="4FFAC0E6" w14:textId="29E45309" w:rsidR="00C24E47" w:rsidRPr="00F74621" w:rsidRDefault="00934048" w:rsidP="00F74621">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droga DK77 między Niskiem a Przeworskiem.</w:t>
      </w:r>
    </w:p>
    <w:p w14:paraId="5511F6CA" w14:textId="4BF9DEC5" w:rsidR="006B0084" w:rsidRPr="009B78DA" w:rsidRDefault="006B0084" w:rsidP="00F74621">
      <w:pPr>
        <w:pStyle w:val="Legenda"/>
        <w:keepNext/>
        <w:rPr>
          <w:rFonts w:ascii="Arial" w:hAnsi="Arial" w:cs="Arial"/>
          <w:i w:val="0"/>
          <w:color w:val="000000" w:themeColor="text1"/>
          <w:sz w:val="22"/>
          <w:szCs w:val="22"/>
        </w:rPr>
      </w:pPr>
      <w:bookmarkStart w:id="200" w:name="_Toc146785679"/>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50</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Prognozowany rozkład ruchu pasażerskiego na sieci drogowej województwa podkarpackiego w układzie podstawowych motywacji wg BAU2030 (wersja 3.0)</w:t>
      </w:r>
      <w:bookmarkEnd w:id="200"/>
    </w:p>
    <w:p w14:paraId="15290B2F" w14:textId="18DCBEA1" w:rsidR="00934048" w:rsidRPr="009B78DA" w:rsidRDefault="008F5323" w:rsidP="00C24E47">
      <w:pPr>
        <w:pStyle w:val="Legenda"/>
        <w:keepNext/>
        <w:jc w:val="both"/>
        <w:rPr>
          <w:rFonts w:ascii="Arial" w:hAnsi="Arial" w:cs="Arial"/>
          <w:i w:val="0"/>
          <w:color w:val="000000" w:themeColor="text1"/>
          <w:sz w:val="22"/>
          <w:szCs w:val="22"/>
        </w:rPr>
      </w:pPr>
      <w:r w:rsidRPr="009B78DA">
        <w:rPr>
          <w:noProof/>
          <w:color w:val="000000" w:themeColor="text1"/>
        </w:rPr>
        <w:drawing>
          <wp:inline distT="0" distB="0" distL="0" distR="0" wp14:anchorId="11409785" wp14:editId="58429F31">
            <wp:extent cx="5760720" cy="7042487"/>
            <wp:effectExtent l="0" t="0" r="0" b="6350"/>
            <wp:docPr id="1849177369" name="Obraz 1849177369" descr="Województwo podkarpackie w tym największe miasta powiatowe. Po lewej dojazdy do pracy 2030 – Średniodobowy Ruch Pasażerów, po prawej przejazdy biznesowe 2030, pod spodem pozostałe 2030" title="Rysunek 50 Prognozowany rozkład ruchu pasażerskiego na sieci drogowej województwa podkarpackiego w układzie podstawowych motywacji wg BAU2030 (wersj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7042487"/>
                    </a:xfrm>
                    <a:prstGeom prst="rect">
                      <a:avLst/>
                    </a:prstGeom>
                    <a:noFill/>
                    <a:ln>
                      <a:noFill/>
                    </a:ln>
                  </pic:spPr>
                </pic:pic>
              </a:graphicData>
            </a:graphic>
          </wp:inline>
        </w:drawing>
      </w:r>
    </w:p>
    <w:p w14:paraId="5A483594" w14:textId="46508129" w:rsidR="0006633A" w:rsidRPr="009B78DA" w:rsidRDefault="0006633A" w:rsidP="00F74621">
      <w:pPr>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5FC82053" w14:textId="447218F3" w:rsidR="006B0084" w:rsidRPr="009B78DA" w:rsidRDefault="006B0084" w:rsidP="00F74621">
      <w:pPr>
        <w:pStyle w:val="Legenda"/>
        <w:keepNext/>
        <w:rPr>
          <w:rFonts w:ascii="Arial" w:hAnsi="Arial" w:cs="Arial"/>
          <w:i w:val="0"/>
          <w:color w:val="000000" w:themeColor="text1"/>
          <w:sz w:val="22"/>
          <w:szCs w:val="22"/>
        </w:rPr>
      </w:pPr>
      <w:bookmarkStart w:id="201" w:name="_Toc146785680"/>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Prognozowany rozkład ruchu pojazdów na sieci drogowej województwa podkarpackiego w układzie podstawowych motywacji wg BAU2030 (wersja 3.0)</w:t>
      </w:r>
      <w:bookmarkEnd w:id="201"/>
      <w:r w:rsidRPr="009B78DA">
        <w:rPr>
          <w:rFonts w:ascii="Arial" w:hAnsi="Arial" w:cs="Arial"/>
          <w:i w:val="0"/>
          <w:color w:val="000000" w:themeColor="text1"/>
          <w:sz w:val="22"/>
          <w:szCs w:val="22"/>
        </w:rPr>
        <w:t xml:space="preserve"> </w:t>
      </w:r>
    </w:p>
    <w:p w14:paraId="7B0E9B6E" w14:textId="6789F888" w:rsidR="00934048" w:rsidRPr="009B78DA" w:rsidRDefault="008F5323" w:rsidP="00B825C2">
      <w:pPr>
        <w:pStyle w:val="Legenda"/>
        <w:keepNext/>
        <w:jc w:val="both"/>
        <w:rPr>
          <w:rFonts w:ascii="Arial" w:hAnsi="Arial" w:cs="Arial"/>
          <w:i w:val="0"/>
          <w:color w:val="000000" w:themeColor="text1"/>
          <w:sz w:val="22"/>
          <w:szCs w:val="22"/>
        </w:rPr>
      </w:pPr>
      <w:r w:rsidRPr="009B78DA">
        <w:rPr>
          <w:noProof/>
          <w:color w:val="000000" w:themeColor="text1"/>
        </w:rPr>
        <w:drawing>
          <wp:inline distT="0" distB="0" distL="0" distR="0" wp14:anchorId="6ACF8714" wp14:editId="5386CBC1">
            <wp:extent cx="5760720" cy="7042487"/>
            <wp:effectExtent l="0" t="0" r="0" b="6350"/>
            <wp:docPr id="1849177370" name="Obraz 1849177370" descr="Województwo podkarpackie w tym największe miasta powiatowe. Po lewej dojazdy do pracy 2030 – Średniodobowy Ruch Pojazdów, po prawej przejazdy biznesowe 2030, pod spodem pozostałe 2030" title="Rysunek 51 Prognozowany rozkład ruchu pojazdów na sieci drogowej województwa podkarpackiego w układzie podstawowych motywacji wg BAU2030 (wersja 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7042487"/>
                    </a:xfrm>
                    <a:prstGeom prst="rect">
                      <a:avLst/>
                    </a:prstGeom>
                    <a:noFill/>
                    <a:ln>
                      <a:noFill/>
                    </a:ln>
                  </pic:spPr>
                </pic:pic>
              </a:graphicData>
            </a:graphic>
          </wp:inline>
        </w:drawing>
      </w:r>
    </w:p>
    <w:p w14:paraId="618AD6D4" w14:textId="1977DC7C" w:rsidR="00934048" w:rsidRPr="009B78DA" w:rsidRDefault="0006633A" w:rsidP="00380F2B">
      <w:pPr>
        <w:spacing w:line="276" w:lineRule="auto"/>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26607E6D" w14:textId="478C7522" w:rsidR="00934048" w:rsidRPr="009B78DA" w:rsidRDefault="00934048" w:rsidP="00380F2B">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Pełniejszy obraz w tym zakresie uzyskujemy analizując samą zmianę ruchu pojazdów w sieci drogowej oczekiwaną w latach 2022-2030. Uzyskane wyniki silniej niż w przypadku więźby, wskazują na spadki ruchu przede wszystkim w motywacji dojazdów do pracy. Ma to miejsce szczególnie poza rejonem aglomeracji rzeszowskiej.  Z dala od stolicy regionu wzrosty ruchu związanego z dojazdami do pracy mają miejsce tylko w sąsiedztwie Krosna, Jasła</w:t>
      </w:r>
      <w:r w:rsidR="00380F2B">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 xml:space="preserve">i Stalowej Woli. W każdym z tych przypadków nie dotyczą jednak wszystkich dróg prowadzących do wymienionych ośrodków. Względem wcześniejszych wyników modelowania utratę dynamiki wzrostu zauważamy szczególnie w otoczeniu Mielca. </w:t>
      </w:r>
      <w:r w:rsidR="00380F2B">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W długich ciągach zwiększenie ruchu w tej kategorii obserwujemy nadal na A4 od Tarnowa po Jarosław i  na S19 od Krosna po Nisko oraz na nowym fragmencie przyszłej S74. Jest charakterystyczne, że wzrosty występują także na całym odcinku drogi DK9 od granicy </w:t>
      </w:r>
      <w:r w:rsidR="00380F2B">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z województwem świętokrzyskim po Rzeszów. Dowodzi to, że ciąg dróg ekspresowy S74 </w:t>
      </w:r>
      <w:r w:rsidR="00380F2B">
        <w:rPr>
          <w:rFonts w:ascii="Arial" w:hAnsi="Arial" w:cs="Arial"/>
          <w:i w:val="0"/>
          <w:color w:val="000000" w:themeColor="text1"/>
          <w:sz w:val="22"/>
          <w:szCs w:val="22"/>
        </w:rPr>
        <w:br/>
      </w:r>
      <w:r w:rsidRPr="009B78DA">
        <w:rPr>
          <w:rFonts w:ascii="Arial" w:hAnsi="Arial" w:cs="Arial"/>
          <w:i w:val="0"/>
          <w:color w:val="000000" w:themeColor="text1"/>
          <w:sz w:val="22"/>
          <w:szCs w:val="22"/>
        </w:rPr>
        <w:t>i S19 nie będzie pełną alternatywą dla dojazdów do Rzeszowa z północnego-zachodu. Kolejne rozwiązania drogowe z tego kierunku mogą być zatem potrzebne. Zrealizowane obwodnice w ciągu DK9 będą sprzyjały pozostaniu dużych potoków ruchu na tej trasie. Peryferyjne obszary województwa (co ważne nie tylko te położone na wschodzie i południu, ale także północy, a nawet na zachodzie) wykazują w perspektywie roku 2030 wyraźne spadki ruchu pojazdów w dojazdach do pracy. Spadki takie widoczne są nawet na niektórych drogach prowadzących do Rzeszowa (np. DW878), co może być wynikiem przejęcia ruch</w:t>
      </w:r>
      <w:r w:rsidR="00380F2B">
        <w:rPr>
          <w:rFonts w:ascii="Arial" w:hAnsi="Arial" w:cs="Arial"/>
          <w:i w:val="0"/>
          <w:color w:val="000000" w:themeColor="text1"/>
          <w:sz w:val="22"/>
          <w:szCs w:val="22"/>
        </w:rPr>
        <w:t>u przez południowy odcinek S19.</w:t>
      </w:r>
    </w:p>
    <w:p w14:paraId="4203E23D" w14:textId="7276804D" w:rsidR="00C24E47" w:rsidRPr="00380F2B" w:rsidRDefault="00934048" w:rsidP="00380F2B">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Zakres spadków ruchu w motywacji „pozostałe” jest o wiele mniejszy. Dotyczy przede wszystkim dróg równoległych do nowo powstałych szlaków ekspresowych. W strefach peryferyjnych mamy w tym wypadku raczej stabilizację wielkości ruchu niż jego zmniejszenie. Charakterystyczne są przyrosty na drogach krajowych DK9, DK77, DK73, </w:t>
      </w:r>
      <w:r w:rsidR="00380F2B">
        <w:rPr>
          <w:rFonts w:ascii="Arial" w:hAnsi="Arial" w:cs="Arial"/>
          <w:i w:val="0"/>
          <w:color w:val="000000" w:themeColor="text1"/>
          <w:sz w:val="22"/>
          <w:szCs w:val="22"/>
        </w:rPr>
        <w:br/>
      </w:r>
      <w:r w:rsidRPr="009B78DA">
        <w:rPr>
          <w:rFonts w:ascii="Arial" w:hAnsi="Arial" w:cs="Arial"/>
          <w:i w:val="0"/>
          <w:color w:val="000000" w:themeColor="text1"/>
          <w:sz w:val="22"/>
          <w:szCs w:val="22"/>
        </w:rPr>
        <w:t>a także na wojewódzkiej DW993 z Gorlic w kierunku Dukli. Te same odcinki wykazują także wzrost ruch</w:t>
      </w:r>
      <w:r w:rsidR="00380F2B">
        <w:rPr>
          <w:rFonts w:ascii="Arial" w:hAnsi="Arial" w:cs="Arial"/>
          <w:i w:val="0"/>
          <w:color w:val="000000" w:themeColor="text1"/>
          <w:sz w:val="22"/>
          <w:szCs w:val="22"/>
        </w:rPr>
        <w:t>u w motywacji biznesowej.</w:t>
      </w:r>
    </w:p>
    <w:p w14:paraId="05624DA5" w14:textId="754B43F6" w:rsidR="006B0084" w:rsidRPr="009B78DA" w:rsidRDefault="006B0084" w:rsidP="006B0084">
      <w:pPr>
        <w:pStyle w:val="Legenda"/>
        <w:keepNext/>
        <w:jc w:val="both"/>
        <w:rPr>
          <w:rFonts w:ascii="Arial" w:hAnsi="Arial" w:cs="Arial"/>
          <w:i w:val="0"/>
          <w:color w:val="000000" w:themeColor="text1"/>
          <w:sz w:val="22"/>
          <w:szCs w:val="22"/>
        </w:rPr>
      </w:pPr>
      <w:bookmarkStart w:id="202" w:name="_Toc146785681"/>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Prognozowana zmiana ruchu pojazdów na sieci drogowej w okresie 2022-2030 wg bazowego ZMR 2022 i BAU2030 (wersja 3.0), w układzie podstawowych motywacji</w:t>
      </w:r>
      <w:bookmarkEnd w:id="202"/>
    </w:p>
    <w:p w14:paraId="3C7B2D30" w14:textId="29CB5A33" w:rsidR="008F5323" w:rsidRPr="009B78DA" w:rsidRDefault="008F5323" w:rsidP="008F5323">
      <w:pPr>
        <w:rPr>
          <w:color w:val="000000" w:themeColor="text1"/>
        </w:rPr>
      </w:pPr>
      <w:r w:rsidRPr="009B78DA">
        <w:rPr>
          <w:noProof/>
          <w:color w:val="000000" w:themeColor="text1"/>
        </w:rPr>
        <w:drawing>
          <wp:inline distT="0" distB="0" distL="0" distR="0" wp14:anchorId="249E18BB" wp14:editId="490466BC">
            <wp:extent cx="5760720" cy="7042487"/>
            <wp:effectExtent l="0" t="0" r="0" b="6350"/>
            <wp:docPr id="1849177371" name="Obraz 1849177371" descr="Województwo podkarpackie w tym największe miasta powiatowe. Po lewej dojazdy do pracy 2030. Zmiana w latach 2022-2030, po prawej przejazdy biznesowe. Zmiana w latach 2022-2030, pod spodem pozostałe. Zmiana w latach 2022-2030" title="Rysunek 52 Prognozowana zmiana ruchu pojazdów na sieci drogowej w okresie 2022-2030 wg bazowego ZMR 2022 i BAU2030 (wersja 3.0), w układzie podstawowych motywa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0720" cy="7042487"/>
                    </a:xfrm>
                    <a:prstGeom prst="rect">
                      <a:avLst/>
                    </a:prstGeom>
                    <a:noFill/>
                    <a:ln>
                      <a:noFill/>
                    </a:ln>
                  </pic:spPr>
                </pic:pic>
              </a:graphicData>
            </a:graphic>
          </wp:inline>
        </w:drawing>
      </w:r>
    </w:p>
    <w:p w14:paraId="7C553288" w14:textId="26524BAD" w:rsidR="00934048" w:rsidRPr="009B78DA" w:rsidRDefault="0006633A" w:rsidP="00C63C35">
      <w:pPr>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6B807474" w14:textId="459F535F" w:rsidR="00934048" w:rsidRPr="009B78DA" w:rsidRDefault="00934048" w:rsidP="00C63C35">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W ruchu poza granice województwa na A4 w kierunku Krakowa obserwujemy stabilizację lub niewielki wzrost w kategoriach dojazdów do pracy oraz biznesowej i wyraźne wzrosty w kategorii pozostałe motywacje. W stronę Warszawy, Lublina i Kielc wzrost utrzymuje się we wszystkich analizowanych kategoriach. Powstanie drogi S74 z Kielc do Niska, przy jednoczesnej budowie kolejnych obwodnic w ciągu DK9, powoduje rozłożenie ruchu</w:t>
      </w:r>
      <w:r w:rsidR="00C63C35">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rPr>
        <w:t>z województwa podkarpackiego w kierunku Pols</w:t>
      </w:r>
      <w:r w:rsidR="00C63C35">
        <w:rPr>
          <w:rFonts w:ascii="Arial" w:hAnsi="Arial" w:cs="Arial"/>
          <w:i w:val="0"/>
          <w:color w:val="000000" w:themeColor="text1"/>
          <w:sz w:val="22"/>
          <w:szCs w:val="22"/>
        </w:rPr>
        <w:t>ki centralnej na trzy warianty:</w:t>
      </w:r>
    </w:p>
    <w:p w14:paraId="69312933" w14:textId="77777777" w:rsidR="00C45157" w:rsidRPr="009B78DA" w:rsidRDefault="00934048" w:rsidP="00C63C35">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ciąg S17/S19, </w:t>
      </w:r>
    </w:p>
    <w:p w14:paraId="61C42AD7" w14:textId="77777777" w:rsidR="00C45157" w:rsidRPr="009B78DA" w:rsidRDefault="00934048" w:rsidP="00C63C35">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ciąg S7/DK9 i dalej S74 do S19,</w:t>
      </w:r>
    </w:p>
    <w:p w14:paraId="1FC8BAA5" w14:textId="570B262B" w:rsidR="00934048" w:rsidRPr="009B78DA" w:rsidRDefault="00934048" w:rsidP="00C63C35">
      <w:pPr>
        <w:pStyle w:val="Legenda"/>
        <w:numPr>
          <w:ilvl w:val="0"/>
          <w:numId w:val="64"/>
        </w:numPr>
        <w:spacing w:after="0" w:line="276"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ciąg S7/S74 i dalej DK9 do Rzeszowa. </w:t>
      </w:r>
    </w:p>
    <w:p w14:paraId="1C729F29" w14:textId="77777777" w:rsidR="00C45157" w:rsidRPr="009B78DA" w:rsidRDefault="00C45157" w:rsidP="00C63C35">
      <w:pPr>
        <w:pStyle w:val="Legenda"/>
        <w:spacing w:after="0" w:line="276" w:lineRule="auto"/>
        <w:ind w:firstLine="709"/>
        <w:rPr>
          <w:rFonts w:ascii="Arial" w:hAnsi="Arial" w:cs="Arial"/>
          <w:i w:val="0"/>
          <w:color w:val="000000" w:themeColor="text1"/>
          <w:sz w:val="4"/>
          <w:szCs w:val="4"/>
        </w:rPr>
      </w:pPr>
    </w:p>
    <w:p w14:paraId="72AD2255" w14:textId="4A32E712" w:rsidR="00934048" w:rsidRPr="009B78DA" w:rsidRDefault="00934048" w:rsidP="00C63C35">
      <w:pPr>
        <w:pStyle w:val="Legenda"/>
        <w:spacing w:after="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Budowa S74 do Niska wyraźnie zwiększa też natężenie ruchu na DK77 w stronę</w:t>
      </w:r>
      <w:r w:rsidR="00C63C35">
        <w:rPr>
          <w:rFonts w:ascii="Arial" w:hAnsi="Arial" w:cs="Arial"/>
          <w:i w:val="0"/>
          <w:color w:val="000000" w:themeColor="text1"/>
          <w:sz w:val="22"/>
          <w:szCs w:val="22"/>
        </w:rPr>
        <w:t xml:space="preserve"> Przeworska.</w:t>
      </w:r>
    </w:p>
    <w:p w14:paraId="7C3CD7EE" w14:textId="6DCC8033" w:rsidR="00934048" w:rsidRPr="009B78DA" w:rsidRDefault="00934048" w:rsidP="00C63C35">
      <w:pPr>
        <w:pStyle w:val="Legenda"/>
        <w:spacing w:after="120" w:line="276"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 xml:space="preserve">Ogólny obraz zmian w prognozowanym ruchu pojazdów (pomiędzy latami 2022 </w:t>
      </w:r>
      <w:r w:rsidR="00C63C35">
        <w:rPr>
          <w:rFonts w:ascii="Arial" w:hAnsi="Arial" w:cs="Arial"/>
          <w:i w:val="0"/>
          <w:color w:val="000000" w:themeColor="text1"/>
          <w:sz w:val="22"/>
          <w:szCs w:val="22"/>
        </w:rPr>
        <w:br/>
      </w:r>
      <w:r w:rsidRPr="009B78DA">
        <w:rPr>
          <w:rFonts w:ascii="Arial" w:hAnsi="Arial" w:cs="Arial"/>
          <w:i w:val="0"/>
          <w:color w:val="000000" w:themeColor="text1"/>
          <w:sz w:val="22"/>
          <w:szCs w:val="22"/>
        </w:rPr>
        <w:t>i 2030</w:t>
      </w:r>
      <w:r w:rsidR="00C45157" w:rsidRPr="009B78DA">
        <w:rPr>
          <w:rFonts w:ascii="Arial" w:hAnsi="Arial" w:cs="Arial"/>
          <w:i w:val="0"/>
          <w:color w:val="000000" w:themeColor="text1"/>
          <w:sz w:val="22"/>
          <w:szCs w:val="22"/>
        </w:rPr>
        <w:t>)</w:t>
      </w:r>
      <w:r w:rsidRPr="009B78DA">
        <w:rPr>
          <w:rFonts w:ascii="Arial" w:hAnsi="Arial" w:cs="Arial"/>
          <w:i w:val="0"/>
          <w:color w:val="000000" w:themeColor="text1"/>
          <w:sz w:val="22"/>
          <w:szCs w:val="22"/>
        </w:rPr>
        <w:t xml:space="preserve"> jest wypadkową wszystkich analizowanych motywacji. Pokazuje nam jakie szlaki drogowe staną się w tej perspektywie bardziej, a jakie mniej obciążone ruchem (niezależnie od motywacji). Jest to istotna przesłanka przy podejmowaniu decyzji odnośnie nowych inwestycji, a także odnośnie orga</w:t>
      </w:r>
      <w:r w:rsidR="00C63C35">
        <w:rPr>
          <w:rFonts w:ascii="Arial" w:hAnsi="Arial" w:cs="Arial"/>
          <w:i w:val="0"/>
          <w:color w:val="000000" w:themeColor="text1"/>
          <w:sz w:val="22"/>
          <w:szCs w:val="22"/>
        </w:rPr>
        <w:t>nizacji transportu zbiorowego.</w:t>
      </w:r>
    </w:p>
    <w:p w14:paraId="6D13109E" w14:textId="5D5BBF60" w:rsidR="006B0084" w:rsidRPr="009B78DA" w:rsidRDefault="006B0084" w:rsidP="00C63C35">
      <w:pPr>
        <w:pStyle w:val="Legenda"/>
        <w:keepNext/>
        <w:rPr>
          <w:rFonts w:ascii="Arial" w:hAnsi="Arial" w:cs="Arial"/>
          <w:i w:val="0"/>
          <w:color w:val="000000" w:themeColor="text1"/>
          <w:sz w:val="22"/>
          <w:szCs w:val="22"/>
        </w:rPr>
      </w:pPr>
      <w:bookmarkStart w:id="203" w:name="_Toc146785682"/>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Prognozowana zmiana ogólnego ruchu pojazdów na sieci drogowej w okresie 2022-2030 wg bazowego ZMR 2022 i BAU2030 (wersja 3.0)</w:t>
      </w:r>
      <w:bookmarkEnd w:id="203"/>
    </w:p>
    <w:p w14:paraId="1140133B" w14:textId="40ED376E" w:rsidR="00934048" w:rsidRPr="009B78DA" w:rsidRDefault="008F5323" w:rsidP="008F5323">
      <w:pPr>
        <w:pStyle w:val="Legenda"/>
        <w:spacing w:after="0" w:line="276" w:lineRule="auto"/>
        <w:ind w:firstLine="709"/>
        <w:jc w:val="center"/>
        <w:rPr>
          <w:rFonts w:ascii="Arial" w:hAnsi="Arial" w:cs="Arial"/>
          <w:i w:val="0"/>
          <w:color w:val="000000" w:themeColor="text1"/>
          <w:sz w:val="22"/>
          <w:szCs w:val="22"/>
        </w:rPr>
      </w:pPr>
      <w:r w:rsidRPr="009B78DA">
        <w:rPr>
          <w:noProof/>
          <w:color w:val="000000" w:themeColor="text1"/>
        </w:rPr>
        <w:drawing>
          <wp:inline distT="0" distB="0" distL="0" distR="0" wp14:anchorId="0D03609D" wp14:editId="5C0C4B63">
            <wp:extent cx="4562475" cy="5593094"/>
            <wp:effectExtent l="0" t="0" r="0" b="7620"/>
            <wp:docPr id="1849177372" name="Obraz 1849177372" descr="Województwo podkarpackie w tym największe miasta powiatowe. Średniodobowy Ruch Pojazdów. Ruch samochodów. Zmiana w latach 2022-2030" title="Rysunek 53 Prognozowana zmiana ogólnego ruchu pojazdów na sieci drogowej w okresie 2022-2030 wg bazowego ZMR 2022 i BAU2030 (wersj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601361" cy="5640764"/>
                    </a:xfrm>
                    <a:prstGeom prst="rect">
                      <a:avLst/>
                    </a:prstGeom>
                    <a:noFill/>
                    <a:ln>
                      <a:noFill/>
                    </a:ln>
                  </pic:spPr>
                </pic:pic>
              </a:graphicData>
            </a:graphic>
          </wp:inline>
        </w:drawing>
      </w:r>
    </w:p>
    <w:p w14:paraId="01F6C417" w14:textId="3E2E0264" w:rsidR="00DE2160" w:rsidRPr="009B78DA" w:rsidRDefault="0006633A" w:rsidP="00C63C35">
      <w:pPr>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745AB441" w14:textId="5EB4FFF6" w:rsidR="006B0084" w:rsidRPr="009B78DA" w:rsidRDefault="006B0084" w:rsidP="00C63C35">
      <w:pPr>
        <w:pStyle w:val="Legenda"/>
        <w:keepNext/>
        <w:rPr>
          <w:rFonts w:ascii="Arial" w:hAnsi="Arial" w:cs="Arial"/>
          <w:i w:val="0"/>
          <w:color w:val="000000" w:themeColor="text1"/>
          <w:sz w:val="22"/>
          <w:szCs w:val="22"/>
        </w:rPr>
      </w:pPr>
      <w:bookmarkStart w:id="204" w:name="_Toc146785683"/>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Prognozowana zmiana ogólnego ruchu pasażerów na sieci drogowej i kolejowej w okresie 2022-2030 wg bazowego ZMR2022 i BAU2030 (wersja 3.0)</w:t>
      </w:r>
      <w:bookmarkEnd w:id="204"/>
    </w:p>
    <w:p w14:paraId="4AACCC86" w14:textId="24504EF6" w:rsidR="00934048" w:rsidRPr="009B78DA" w:rsidRDefault="008F5323" w:rsidP="008F5323">
      <w:pPr>
        <w:pStyle w:val="Legenda"/>
        <w:spacing w:after="0" w:line="276" w:lineRule="auto"/>
        <w:ind w:firstLine="709"/>
        <w:jc w:val="center"/>
        <w:rPr>
          <w:rFonts w:ascii="Arial" w:hAnsi="Arial" w:cs="Arial"/>
          <w:i w:val="0"/>
          <w:color w:val="000000" w:themeColor="text1"/>
          <w:sz w:val="22"/>
          <w:szCs w:val="22"/>
        </w:rPr>
      </w:pPr>
      <w:r w:rsidRPr="009B78DA">
        <w:rPr>
          <w:noProof/>
          <w:color w:val="000000" w:themeColor="text1"/>
        </w:rPr>
        <w:drawing>
          <wp:inline distT="0" distB="0" distL="0" distR="0" wp14:anchorId="36C76ABF" wp14:editId="723BC597">
            <wp:extent cx="4745659" cy="5809996"/>
            <wp:effectExtent l="0" t="0" r="0" b="635"/>
            <wp:docPr id="1849177373" name="Obraz 1849177373" descr="Województwo podkarpackie w tym największe miasta powiatowe. Średniodobowy Ruch Osób Drogowy/Kolejowy. Przejazdy transportem drogowym i kolejowy. Zmiana w latach 2022-2030" title="Rysunek 54 Prognozowana zmiana ogólnego ruchu pasażerów na sieci drogowej i kolejowej w okresie 2022-2030 wg bazowego ZMR2022 i BAU2030 (wersj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745659" cy="5809996"/>
                    </a:xfrm>
                    <a:prstGeom prst="rect">
                      <a:avLst/>
                    </a:prstGeom>
                    <a:noFill/>
                    <a:ln>
                      <a:noFill/>
                    </a:ln>
                  </pic:spPr>
                </pic:pic>
              </a:graphicData>
            </a:graphic>
          </wp:inline>
        </w:drawing>
      </w:r>
    </w:p>
    <w:p w14:paraId="42A4D720" w14:textId="45A15CE9" w:rsidR="00934048" w:rsidRPr="00C63C35" w:rsidRDefault="0006633A" w:rsidP="00DE7D98">
      <w:pPr>
        <w:spacing w:line="288" w:lineRule="auto"/>
        <w:rPr>
          <w:color w:val="000000" w:themeColor="text1"/>
        </w:rPr>
      </w:pPr>
      <w:r w:rsidRPr="009B78DA">
        <w:rPr>
          <w:rFonts w:ascii="Arial" w:hAnsi="Arial" w:cs="Arial"/>
          <w:color w:val="000000" w:themeColor="text1"/>
          <w:sz w:val="22"/>
          <w:szCs w:val="22"/>
        </w:rPr>
        <w:t>Źródło: Opracowanie eksperckie (2023) na podstawie materiałów CUPT</w:t>
      </w:r>
      <w:r w:rsidR="003351B8" w:rsidRPr="009B78DA">
        <w:rPr>
          <w:rFonts w:ascii="Arial" w:hAnsi="Arial" w:cs="Arial"/>
          <w:color w:val="000000" w:themeColor="text1"/>
          <w:sz w:val="22"/>
          <w:szCs w:val="22"/>
        </w:rPr>
        <w:t>.</w:t>
      </w:r>
    </w:p>
    <w:p w14:paraId="5660F8F5" w14:textId="77777777" w:rsidR="00C45157" w:rsidRPr="009B78DA" w:rsidRDefault="00934048" w:rsidP="00DE7D98">
      <w:pPr>
        <w:pStyle w:val="Legenda"/>
        <w:spacing w:after="0" w:line="288"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Reasumując, zgodnie z wynikami modelu BAU2030 wersja 3.0 oczekiwany do roku 2030 znaczny wzrost ruchu pojazdów obejmie:</w:t>
      </w:r>
    </w:p>
    <w:p w14:paraId="1E0A1876" w14:textId="0459310D" w:rsidR="00C45157" w:rsidRPr="009B78DA" w:rsidRDefault="00934048" w:rsidP="00DE7D98">
      <w:pPr>
        <w:pStyle w:val="Legenda"/>
        <w:numPr>
          <w:ilvl w:val="0"/>
          <w:numId w:val="310"/>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cały przebieg autostrady A4 w granicach województwa;</w:t>
      </w:r>
    </w:p>
    <w:p w14:paraId="031EEBEE" w14:textId="77777777" w:rsidR="00C45157" w:rsidRPr="009B78DA" w:rsidRDefault="00934048" w:rsidP="00DE7D98">
      <w:pPr>
        <w:pStyle w:val="Legenda"/>
        <w:numPr>
          <w:ilvl w:val="0"/>
          <w:numId w:val="310"/>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cały przebieg drogi ekspresowej S19 w granicach województwa;</w:t>
      </w:r>
    </w:p>
    <w:p w14:paraId="35254912" w14:textId="77777777" w:rsidR="00C45157" w:rsidRPr="009B78DA" w:rsidRDefault="00934048" w:rsidP="00DE7D98">
      <w:pPr>
        <w:pStyle w:val="Legenda"/>
        <w:numPr>
          <w:ilvl w:val="0"/>
          <w:numId w:val="310"/>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drogę DK77 na odcinku Nisko – Przeworsk;</w:t>
      </w:r>
    </w:p>
    <w:p w14:paraId="5F66254A" w14:textId="77777777" w:rsidR="00C45157" w:rsidRPr="009B78DA" w:rsidRDefault="00934048" w:rsidP="00DE7D98">
      <w:pPr>
        <w:pStyle w:val="Legenda"/>
        <w:numPr>
          <w:ilvl w:val="0"/>
          <w:numId w:val="310"/>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drogę DK9 od Tarnobrzega do Rzeszowa;</w:t>
      </w:r>
    </w:p>
    <w:p w14:paraId="756702B2" w14:textId="77777777" w:rsidR="00C45157" w:rsidRPr="009B78DA" w:rsidRDefault="00934048" w:rsidP="00DE7D98">
      <w:pPr>
        <w:pStyle w:val="Legenda"/>
        <w:numPr>
          <w:ilvl w:val="0"/>
          <w:numId w:val="310"/>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drogę krajową DK73 od Pilzna do Jasła;</w:t>
      </w:r>
    </w:p>
    <w:p w14:paraId="6D2CDC9B" w14:textId="77777777" w:rsidR="00C45157" w:rsidRPr="009B78DA" w:rsidRDefault="00934048" w:rsidP="00DE7D98">
      <w:pPr>
        <w:pStyle w:val="Legenda"/>
        <w:numPr>
          <w:ilvl w:val="0"/>
          <w:numId w:val="310"/>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drogę krajową DK28 od Jasła do Sanoka;</w:t>
      </w:r>
    </w:p>
    <w:p w14:paraId="1D858F39" w14:textId="77777777" w:rsidR="00C45157" w:rsidRPr="009B78DA" w:rsidRDefault="00934048" w:rsidP="00DE7D98">
      <w:pPr>
        <w:pStyle w:val="Legenda"/>
        <w:numPr>
          <w:ilvl w:val="0"/>
          <w:numId w:val="310"/>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niektóre drogi krajowe i wojewódzkie doprowadzające ruch do biegunów subregionalnych w Krośnie i Przemyślu;</w:t>
      </w:r>
    </w:p>
    <w:p w14:paraId="27DBDA4D" w14:textId="77777777" w:rsidR="00C45157" w:rsidRPr="009B78DA" w:rsidRDefault="00934048" w:rsidP="00DE7D98">
      <w:pPr>
        <w:pStyle w:val="Legenda"/>
        <w:numPr>
          <w:ilvl w:val="0"/>
          <w:numId w:val="310"/>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inne drogi do przejść granicznych z Ukrainą (Przemyśl – Medyka – DK28, Lubaczów – Budomierz – DW866);</w:t>
      </w:r>
    </w:p>
    <w:p w14:paraId="33DF1F22" w14:textId="77777777" w:rsidR="00C45157" w:rsidRPr="009B78DA" w:rsidRDefault="00934048" w:rsidP="00DE7D98">
      <w:pPr>
        <w:pStyle w:val="Legenda"/>
        <w:numPr>
          <w:ilvl w:val="0"/>
          <w:numId w:val="310"/>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drogę wojewódzką DW858 z Krzeszowa (DK77) do Zamościa;</w:t>
      </w:r>
    </w:p>
    <w:p w14:paraId="61DE9E84" w14:textId="11BA2B87" w:rsidR="00934048" w:rsidRPr="009B78DA" w:rsidRDefault="00934048" w:rsidP="00DE7D98">
      <w:pPr>
        <w:pStyle w:val="Legenda"/>
        <w:numPr>
          <w:ilvl w:val="0"/>
          <w:numId w:val="310"/>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drogę wojewódzką DW993 Gorlice – Dukla.</w:t>
      </w:r>
    </w:p>
    <w:p w14:paraId="2E249B28" w14:textId="77777777" w:rsidR="00C45157" w:rsidRPr="009B78DA" w:rsidRDefault="00C45157" w:rsidP="00DE7D98">
      <w:pPr>
        <w:spacing w:line="288" w:lineRule="auto"/>
        <w:rPr>
          <w:color w:val="000000" w:themeColor="text1"/>
          <w:sz w:val="4"/>
          <w:szCs w:val="4"/>
        </w:rPr>
      </w:pPr>
    </w:p>
    <w:p w14:paraId="347424B7" w14:textId="77777777" w:rsidR="00934048" w:rsidRPr="009B78DA" w:rsidRDefault="00934048" w:rsidP="00DE7D98">
      <w:pPr>
        <w:pStyle w:val="Legenda"/>
        <w:spacing w:after="0" w:line="288"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Jednocześnie spadki natężenia ruchu mogące mieć wpływ na potrzeby inwestycyjne mogą wystąpić w ciągach:</w:t>
      </w:r>
    </w:p>
    <w:p w14:paraId="633A8658" w14:textId="1F43ADB9" w:rsidR="00C45157" w:rsidRPr="009B78DA" w:rsidRDefault="00934048" w:rsidP="00DE7D98">
      <w:pPr>
        <w:pStyle w:val="Legenda"/>
        <w:numPr>
          <w:ilvl w:val="0"/>
          <w:numId w:val="311"/>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dróg równoległych bezpośrednio sąsiednich (stare ślady) do nowych tras ekspresowych (S19) i obwodnic (przejścia przez miejscowości na DK9, DK73</w:t>
      </w:r>
      <w:r w:rsidR="00C63C35">
        <w:rPr>
          <w:rFonts w:ascii="Arial" w:hAnsi="Arial" w:cs="Arial"/>
          <w:i w:val="0"/>
          <w:color w:val="000000" w:themeColor="text1"/>
          <w:sz w:val="22"/>
          <w:szCs w:val="22"/>
        </w:rPr>
        <w:t xml:space="preserve"> </w:t>
      </w:r>
      <w:r w:rsidR="00C63C35">
        <w:rPr>
          <w:rFonts w:ascii="Arial" w:hAnsi="Arial" w:cs="Arial"/>
          <w:i w:val="0"/>
          <w:color w:val="000000" w:themeColor="text1"/>
          <w:sz w:val="22"/>
          <w:szCs w:val="22"/>
        </w:rPr>
        <w:br/>
      </w:r>
      <w:r w:rsidRPr="009B78DA">
        <w:rPr>
          <w:rFonts w:ascii="Arial" w:hAnsi="Arial" w:cs="Arial"/>
          <w:i w:val="0"/>
          <w:color w:val="000000" w:themeColor="text1"/>
          <w:sz w:val="22"/>
          <w:szCs w:val="22"/>
        </w:rPr>
        <w:t>i DK28);</w:t>
      </w:r>
    </w:p>
    <w:p w14:paraId="218A97B6" w14:textId="77777777" w:rsidR="00C45157" w:rsidRPr="009B78DA" w:rsidRDefault="00934048" w:rsidP="00DE7D98">
      <w:pPr>
        <w:pStyle w:val="Legenda"/>
        <w:numPr>
          <w:ilvl w:val="0"/>
          <w:numId w:val="311"/>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na szlakach południkowych DW835 i DW877 (prawdopodobnie także efekt „ucieczki” ruchu na S19;</w:t>
      </w:r>
    </w:p>
    <w:p w14:paraId="6BE9E8D5" w14:textId="180BDEEA" w:rsidR="00934048" w:rsidRPr="009B78DA" w:rsidRDefault="00934048" w:rsidP="00DE7D98">
      <w:pPr>
        <w:pStyle w:val="Legenda"/>
        <w:numPr>
          <w:ilvl w:val="0"/>
          <w:numId w:val="311"/>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dróg wojewódzkich w otoczeniu Mielca, w tym DW764 i trasy przez most</w:t>
      </w:r>
      <w:r w:rsidR="00C63C35">
        <w:rPr>
          <w:rFonts w:ascii="Arial" w:hAnsi="Arial" w:cs="Arial"/>
          <w:i w:val="0"/>
          <w:color w:val="000000" w:themeColor="text1"/>
          <w:sz w:val="22"/>
          <w:szCs w:val="22"/>
        </w:rPr>
        <w:t xml:space="preserve"> </w:t>
      </w:r>
      <w:r w:rsidR="00C63C35">
        <w:rPr>
          <w:rFonts w:ascii="Arial" w:hAnsi="Arial" w:cs="Arial"/>
          <w:i w:val="0"/>
          <w:color w:val="000000" w:themeColor="text1"/>
          <w:sz w:val="22"/>
          <w:szCs w:val="22"/>
        </w:rPr>
        <w:br/>
      </w:r>
      <w:r w:rsidRPr="009B78DA">
        <w:rPr>
          <w:rFonts w:ascii="Arial" w:hAnsi="Arial" w:cs="Arial"/>
          <w:i w:val="0"/>
          <w:color w:val="000000" w:themeColor="text1"/>
          <w:sz w:val="22"/>
          <w:szCs w:val="22"/>
        </w:rPr>
        <w:t>w Połańcu.</w:t>
      </w:r>
    </w:p>
    <w:p w14:paraId="38D0928C" w14:textId="77777777" w:rsidR="00C45157" w:rsidRPr="009B78DA" w:rsidRDefault="00C45157" w:rsidP="00DE7D98">
      <w:pPr>
        <w:spacing w:line="288" w:lineRule="auto"/>
        <w:rPr>
          <w:color w:val="000000" w:themeColor="text1"/>
          <w:sz w:val="4"/>
          <w:szCs w:val="4"/>
        </w:rPr>
      </w:pPr>
    </w:p>
    <w:p w14:paraId="079614DD" w14:textId="4575BC4A" w:rsidR="00934048" w:rsidRPr="009B78DA" w:rsidRDefault="00934048" w:rsidP="00DE7D98">
      <w:pPr>
        <w:pStyle w:val="Legenda"/>
        <w:spacing w:after="0" w:line="288"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Nałożenie na obraz ruchu drogowego także modelowanych przejazdów transportem zbiorowym pozwala ocenić komplementarność inwestycji i zmian organizacyjnych oraz zidentyfikować ewentualne wystąpienie przesunięć modalnych. W 2030 r. odnotujemy (zgodnie z modelem BAU2030 wersja 3.0) wzro</w:t>
      </w:r>
      <w:r w:rsidR="00C63C35">
        <w:rPr>
          <w:rFonts w:ascii="Arial" w:hAnsi="Arial" w:cs="Arial"/>
          <w:i w:val="0"/>
          <w:color w:val="000000" w:themeColor="text1"/>
          <w:sz w:val="22"/>
          <w:szCs w:val="22"/>
        </w:rPr>
        <w:t>st ruchu kolejowego na trasach:</w:t>
      </w:r>
    </w:p>
    <w:p w14:paraId="04B26B19" w14:textId="4BC3518F" w:rsidR="00C45157" w:rsidRPr="009B78DA" w:rsidRDefault="00934048" w:rsidP="00DE7D98">
      <w:pPr>
        <w:pStyle w:val="Legenda"/>
        <w:numPr>
          <w:ilvl w:val="0"/>
          <w:numId w:val="312"/>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E30 od Krakowa do Medyki, szczególnie w rejonie Rzeszowa;</w:t>
      </w:r>
    </w:p>
    <w:p w14:paraId="0F770829" w14:textId="77777777" w:rsidR="00C45157" w:rsidRPr="009B78DA" w:rsidRDefault="00934048" w:rsidP="00DE7D98">
      <w:pPr>
        <w:pStyle w:val="Legenda"/>
        <w:numPr>
          <w:ilvl w:val="0"/>
          <w:numId w:val="312"/>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Rzeszów – Nisko (nowy odcinek) – Stalowa Wola – Lublin;</w:t>
      </w:r>
    </w:p>
    <w:p w14:paraId="6E054CBE" w14:textId="77777777" w:rsidR="00C45157" w:rsidRPr="009B78DA" w:rsidRDefault="00934048" w:rsidP="00DE7D98">
      <w:pPr>
        <w:pStyle w:val="Legenda"/>
        <w:numPr>
          <w:ilvl w:val="0"/>
          <w:numId w:val="312"/>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Rzeszów-Kolbuszowa –Tarnobrzeg (71);</w:t>
      </w:r>
    </w:p>
    <w:p w14:paraId="44C4D5F8" w14:textId="77777777" w:rsidR="00C45157" w:rsidRPr="009B78DA" w:rsidRDefault="00934048" w:rsidP="00DE7D98">
      <w:pPr>
        <w:pStyle w:val="Legenda"/>
        <w:numPr>
          <w:ilvl w:val="0"/>
          <w:numId w:val="312"/>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Dębica - Mielec-Tarnobrzeg (25);</w:t>
      </w:r>
    </w:p>
    <w:p w14:paraId="286DB19F" w14:textId="228BC2A8" w:rsidR="00934048" w:rsidRPr="009B78DA" w:rsidRDefault="00934048" w:rsidP="00DE7D98">
      <w:pPr>
        <w:pStyle w:val="Legenda"/>
        <w:numPr>
          <w:ilvl w:val="0"/>
          <w:numId w:val="312"/>
        </w:numPr>
        <w:spacing w:after="0" w:line="288" w:lineRule="auto"/>
        <w:rPr>
          <w:rFonts w:ascii="Arial" w:hAnsi="Arial" w:cs="Arial"/>
          <w:i w:val="0"/>
          <w:color w:val="000000" w:themeColor="text1"/>
          <w:sz w:val="22"/>
          <w:szCs w:val="22"/>
        </w:rPr>
      </w:pPr>
      <w:r w:rsidRPr="009B78DA">
        <w:rPr>
          <w:rFonts w:ascii="Arial" w:hAnsi="Arial" w:cs="Arial"/>
          <w:i w:val="0"/>
          <w:color w:val="000000" w:themeColor="text1"/>
          <w:sz w:val="22"/>
          <w:szCs w:val="22"/>
        </w:rPr>
        <w:t>Rzeszów-Jedlicze (106) oraz Gorlice – Krosno – Sanok (108).</w:t>
      </w:r>
    </w:p>
    <w:p w14:paraId="66B75DCD" w14:textId="77777777" w:rsidR="00C45157" w:rsidRPr="009B78DA" w:rsidRDefault="00C45157" w:rsidP="00DE7D98">
      <w:pPr>
        <w:spacing w:line="288" w:lineRule="auto"/>
        <w:rPr>
          <w:color w:val="000000" w:themeColor="text1"/>
          <w:sz w:val="4"/>
          <w:szCs w:val="4"/>
        </w:rPr>
      </w:pPr>
    </w:p>
    <w:p w14:paraId="27B3D0DE" w14:textId="42352E68" w:rsidR="00A42023" w:rsidRPr="00C63C35" w:rsidRDefault="00934048" w:rsidP="00DE7D98">
      <w:pPr>
        <w:pStyle w:val="Legenda"/>
        <w:spacing w:after="120" w:line="288" w:lineRule="auto"/>
        <w:ind w:firstLine="709"/>
        <w:rPr>
          <w:rFonts w:ascii="Arial" w:hAnsi="Arial" w:cs="Arial"/>
          <w:i w:val="0"/>
          <w:color w:val="000000" w:themeColor="text1"/>
          <w:sz w:val="22"/>
          <w:szCs w:val="22"/>
        </w:rPr>
      </w:pPr>
      <w:r w:rsidRPr="009B78DA">
        <w:rPr>
          <w:rFonts w:ascii="Arial" w:hAnsi="Arial" w:cs="Arial"/>
          <w:i w:val="0"/>
          <w:color w:val="000000" w:themeColor="text1"/>
          <w:sz w:val="22"/>
          <w:szCs w:val="22"/>
        </w:rPr>
        <w:t>Każdorazowo największe wzrosty ruchu mają miejsce w sąsiedztwie Rzeszowa, co będzie zapewne wynikiem funkcjonowania Podkarpackiej Kolei Aglomeracyjnej. Model nie zakłada zmniejszenia ruchu kolejowego na prawie żadnym analizowanym odcinku.</w:t>
      </w:r>
    </w:p>
    <w:p w14:paraId="2609DAF5" w14:textId="1E40DDA7" w:rsidR="004513C5" w:rsidRPr="009B78DA" w:rsidRDefault="00A42023" w:rsidP="00DE7D98">
      <w:pPr>
        <w:pStyle w:val="Akapitzlist"/>
        <w:numPr>
          <w:ilvl w:val="2"/>
          <w:numId w:val="243"/>
        </w:numPr>
        <w:spacing w:line="288" w:lineRule="auto"/>
        <w:rPr>
          <w:rFonts w:ascii="Arial" w:hAnsi="Arial" w:cs="Arial"/>
          <w:b/>
          <w:color w:val="000000" w:themeColor="text1"/>
          <w:sz w:val="22"/>
          <w:szCs w:val="22"/>
        </w:rPr>
      </w:pPr>
      <w:r w:rsidRPr="009B78DA">
        <w:rPr>
          <w:rFonts w:ascii="Arial" w:hAnsi="Arial" w:cs="Arial"/>
          <w:b/>
          <w:color w:val="000000" w:themeColor="text1"/>
          <w:sz w:val="22"/>
          <w:szCs w:val="22"/>
        </w:rPr>
        <w:t>Wyniki ZMR 3.0 i wnioski dla polityki transportowej województwa podkarpackiego</w:t>
      </w:r>
    </w:p>
    <w:p w14:paraId="029DF1A5" w14:textId="744C343B" w:rsidR="00A42023" w:rsidRPr="009B78DA" w:rsidRDefault="00A42023" w:rsidP="00DE7D98">
      <w:pPr>
        <w:spacing w:after="12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Przeprowadzona ocena wyników modelowania bazowego ZMR 2022 oraz modelu prognostycznego BAU2030 (wersja 3.0) pozwalają na sformułowanie kilku bardziej ogólnych wniosków i rekomendacji. Przedstawiono je poniżej. Część z nich jest tożsama z tymi, które można było formułować na bazie wcześniejszych wersji modelu ZMR. Inne mogą jednak wskazywać na potrzebę zmiany akcentów w zakresie przyszłej polityki transportowej województwa. Generalnie zmiany układu więźby ruchu dla województwa podkarpackiego</w:t>
      </w:r>
      <w:r w:rsidR="00C63C35">
        <w:rPr>
          <w:rFonts w:ascii="Arial" w:hAnsi="Arial" w:cs="Arial"/>
          <w:color w:val="000000" w:themeColor="text1"/>
          <w:sz w:val="22"/>
          <w:szCs w:val="22"/>
        </w:rPr>
        <w:t xml:space="preserve"> </w:t>
      </w:r>
      <w:r w:rsidR="00C63C35">
        <w:rPr>
          <w:rFonts w:ascii="Arial" w:hAnsi="Arial" w:cs="Arial"/>
          <w:color w:val="000000" w:themeColor="text1"/>
          <w:sz w:val="22"/>
          <w:szCs w:val="22"/>
        </w:rPr>
        <w:br/>
      </w:r>
      <w:r w:rsidRPr="009B78DA">
        <w:rPr>
          <w:rFonts w:ascii="Arial" w:hAnsi="Arial" w:cs="Arial"/>
          <w:color w:val="000000" w:themeColor="text1"/>
          <w:sz w:val="22"/>
          <w:szCs w:val="22"/>
        </w:rPr>
        <w:t xml:space="preserve">w latach 2022-2030 nie są znaczące. </w:t>
      </w:r>
      <w:r w:rsidRPr="009B78DA">
        <w:rPr>
          <w:rFonts w:ascii="Arial" w:hAnsi="Arial" w:cs="Arial"/>
          <w:b/>
          <w:bCs/>
          <w:color w:val="000000" w:themeColor="text1"/>
          <w:sz w:val="22"/>
          <w:szCs w:val="22"/>
        </w:rPr>
        <w:t>Popyt na transport w wartościach bezwzględnych pozostanie w sensie rozkładu terytorialnego zbliżony do obecnego</w:t>
      </w:r>
      <w:r w:rsidRPr="009B78DA">
        <w:rPr>
          <w:rFonts w:ascii="Arial" w:hAnsi="Arial" w:cs="Arial"/>
          <w:color w:val="000000" w:themeColor="text1"/>
          <w:sz w:val="22"/>
          <w:szCs w:val="22"/>
        </w:rPr>
        <w:t xml:space="preserve">. Wyraźnie większe zmiany zajdą w obciążeniu ruchem konkretnych dróg (efekt zmian w infrastrukturze). Mimo to uzyskane wyniki trzeba traktować jako sygnał zbliżających się zmian popytu o charakterze zarówno terytorialnym jak i strukturalnym. Dlatego ich wartość dla kształtowania polityki transportowej jest (mimo pewnej stabilności układu) duża. </w:t>
      </w:r>
      <w:r w:rsidRPr="009B78DA">
        <w:rPr>
          <w:rFonts w:ascii="Arial" w:hAnsi="Arial" w:cs="Arial"/>
          <w:b/>
          <w:color w:val="000000" w:themeColor="text1"/>
          <w:sz w:val="22"/>
          <w:szCs w:val="22"/>
        </w:rPr>
        <w:t>W perspektywie roku 2030 procesy demograficzne i społeczno-gospodarcze kształtujące zapotrzebowanie na transport zaczną ulegać przyśpieszeniu</w:t>
      </w:r>
      <w:r w:rsidRPr="009B78DA">
        <w:rPr>
          <w:rFonts w:ascii="Arial" w:hAnsi="Arial" w:cs="Arial"/>
          <w:color w:val="000000" w:themeColor="text1"/>
          <w:sz w:val="22"/>
          <w:szCs w:val="22"/>
        </w:rPr>
        <w:t>. Jest to lepiej widoczne niż w przypadku modeli sięgających tylko roku 2025 (w zakresie nowych inwestycji; ZMR wersja 2.0). Polityka transportowa musi brać pod uwagę te zmiany, zarówno w sensie inwestycyjnym (dostosowanie skali inwestycji), jak też terytorialnym (koncentracja ruchu w określonych ciągach i obszarach) oraz strukturalnym (specyfika określonych motywacji podróży).</w:t>
      </w:r>
    </w:p>
    <w:p w14:paraId="004BF1BB" w14:textId="7226B561" w:rsidR="00A42023" w:rsidRPr="009B78DA" w:rsidRDefault="00A42023" w:rsidP="00DE7D98">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rPr>
        <w:t>Wykorzystanie nowej wersji ZMR (3.0) rzuciło nowe światło na sekwencyjność dynamiki zmian w natężeniu ruchu osób i pojazdów na sieci transportowej województwa. Było to możliwe dzięki porównaniu dwóch modeli bazowych (dla lat 2019 i 2022), a następnie odniesienie tego porównania do wyników prognozy na rok 2030. Niektóre identyfikowane obecnie procesy mogą się okazać krótkotrwałe (przy założeniu słuszności przyjętej metodyki modelowania)</w:t>
      </w:r>
      <w:r w:rsidR="00C63C35">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i tym samym nieaktualne już w perspektywie końca obecnej dekady. Krótkie okazuje się przede wszystkim generowanie nowego ruchu przez nowe inwestycje (wszędzie poza trasami do Rzeszowa). </w:t>
      </w:r>
      <w:r w:rsidRPr="009B78DA">
        <w:rPr>
          <w:rFonts w:ascii="Arial" w:hAnsi="Arial" w:cs="Arial"/>
          <w:b/>
          <w:color w:val="000000" w:themeColor="text1"/>
          <w:sz w:val="22"/>
          <w:szCs w:val="22"/>
        </w:rPr>
        <w:t>Można oczekiwać, że po roku 2030 wypełnienie regionu nowoczesną infrastrukturą drogową i kolejową (co zakłada model BAU2030 w wersji 3.0) spowoduje osiągniecie nowego punktu równowagi w rozkładzie ruchu</w:t>
      </w:r>
      <w:r w:rsidRPr="009B78DA">
        <w:rPr>
          <w:rFonts w:ascii="Arial" w:hAnsi="Arial" w:cs="Arial"/>
          <w:color w:val="000000" w:themeColor="text1"/>
          <w:sz w:val="22"/>
          <w:szCs w:val="22"/>
        </w:rPr>
        <w:t xml:space="preserve">. Będzie to równowaga oparta w większym stopniu na głównych trasach oraz na węźle rzeszowskim. Jednocześnie dominującym czynnikiem zmian w strukturze i układzie terytorialnym potoków ruchu staną się czynniki społeczno-gospodarcze, w tym zwłaszcza demografia. Tym samym zmiany będą następować nawet w wypadku zahamowania działań inwestycyjnych </w:t>
      </w:r>
      <w:r w:rsidR="00C63C35">
        <w:rPr>
          <w:rFonts w:ascii="Arial" w:hAnsi="Arial" w:cs="Arial"/>
          <w:color w:val="000000" w:themeColor="text1"/>
          <w:sz w:val="22"/>
          <w:szCs w:val="22"/>
        </w:rPr>
        <w:br/>
      </w:r>
      <w:r w:rsidRPr="009B78DA">
        <w:rPr>
          <w:rFonts w:ascii="Arial" w:hAnsi="Arial" w:cs="Arial"/>
          <w:color w:val="000000" w:themeColor="text1"/>
          <w:sz w:val="22"/>
          <w:szCs w:val="22"/>
        </w:rPr>
        <w:t>i organizacyjnych</w:t>
      </w:r>
      <w:r w:rsidR="00C63C35">
        <w:rPr>
          <w:rFonts w:ascii="Arial" w:hAnsi="Arial" w:cs="Arial"/>
          <w:color w:val="000000" w:themeColor="text1"/>
          <w:sz w:val="22"/>
          <w:szCs w:val="22"/>
        </w:rPr>
        <w:t xml:space="preserve"> </w:t>
      </w:r>
      <w:r w:rsidRPr="009B78DA">
        <w:rPr>
          <w:rFonts w:ascii="Arial" w:hAnsi="Arial" w:cs="Arial"/>
          <w:color w:val="000000" w:themeColor="text1"/>
          <w:sz w:val="22"/>
          <w:szCs w:val="22"/>
        </w:rPr>
        <w:t>w ramach polityki transportowej. W tym kontekście można oczekiwać następujących etapów (sekwencji) zmian w obciążeniu ruchem (etapy podano bez podania konkretnych dat):</w:t>
      </w:r>
    </w:p>
    <w:p w14:paraId="7C853B8B" w14:textId="0926B9EA" w:rsidR="00A42023" w:rsidRPr="009B78DA" w:rsidRDefault="00A42023" w:rsidP="00DE7D98">
      <w:pPr>
        <w:pStyle w:val="Akapitzlist"/>
        <w:numPr>
          <w:ilvl w:val="0"/>
          <w:numId w:val="316"/>
        </w:numPr>
        <w:spacing w:after="120" w:line="288" w:lineRule="auto"/>
        <w:rPr>
          <w:rFonts w:ascii="Arial" w:hAnsi="Arial" w:cs="Arial"/>
          <w:color w:val="000000" w:themeColor="text1"/>
          <w:sz w:val="22"/>
          <w:szCs w:val="22"/>
        </w:rPr>
      </w:pPr>
      <w:r w:rsidRPr="009B78DA">
        <w:rPr>
          <w:rFonts w:ascii="Arial" w:hAnsi="Arial" w:cs="Arial"/>
          <w:b/>
          <w:color w:val="000000" w:themeColor="text1"/>
          <w:sz w:val="22"/>
          <w:szCs w:val="22"/>
        </w:rPr>
        <w:t>Etap I szybkiego rozwoju</w:t>
      </w:r>
      <w:r w:rsidRPr="009B78DA">
        <w:rPr>
          <w:rFonts w:ascii="Arial" w:hAnsi="Arial" w:cs="Arial"/>
          <w:color w:val="000000" w:themeColor="text1"/>
          <w:sz w:val="22"/>
          <w:szCs w:val="22"/>
        </w:rPr>
        <w:t xml:space="preserve"> wszystkich biegunów wzrostu, przy jednoczesnym rozpoczęciu dużych inwestycji drogowych; wzrost ruchu indywidualnego na większości kierunków;</w:t>
      </w:r>
    </w:p>
    <w:p w14:paraId="1E4A4592" w14:textId="27FF55D5" w:rsidR="00A42023" w:rsidRPr="009B78DA" w:rsidRDefault="00A42023" w:rsidP="00DE7D98">
      <w:pPr>
        <w:pStyle w:val="Akapitzlist"/>
        <w:numPr>
          <w:ilvl w:val="0"/>
          <w:numId w:val="316"/>
        </w:numPr>
        <w:spacing w:after="120" w:line="288" w:lineRule="auto"/>
        <w:rPr>
          <w:rFonts w:ascii="Arial" w:hAnsi="Arial" w:cs="Arial"/>
          <w:color w:val="000000" w:themeColor="text1"/>
          <w:sz w:val="22"/>
          <w:szCs w:val="22"/>
        </w:rPr>
      </w:pPr>
      <w:r w:rsidRPr="009B78DA">
        <w:rPr>
          <w:rFonts w:ascii="Arial" w:hAnsi="Arial" w:cs="Arial"/>
          <w:b/>
          <w:color w:val="000000" w:themeColor="text1"/>
          <w:sz w:val="22"/>
          <w:szCs w:val="22"/>
        </w:rPr>
        <w:t>Etap II umiarkowanej koncentracji</w:t>
      </w:r>
      <w:r w:rsidRPr="009B78DA">
        <w:rPr>
          <w:rFonts w:ascii="Arial" w:hAnsi="Arial" w:cs="Arial"/>
          <w:color w:val="000000" w:themeColor="text1"/>
          <w:sz w:val="22"/>
          <w:szCs w:val="22"/>
        </w:rPr>
        <w:t xml:space="preserve"> rozwoju gospodarczego i demograficznego</w:t>
      </w:r>
      <w:r w:rsidR="00DE7D98">
        <w:rPr>
          <w:rFonts w:ascii="Arial" w:hAnsi="Arial" w:cs="Arial"/>
          <w:color w:val="000000" w:themeColor="text1"/>
          <w:sz w:val="22"/>
          <w:szCs w:val="22"/>
        </w:rPr>
        <w:t xml:space="preserve"> </w:t>
      </w:r>
      <w:r w:rsidR="00DE7D98">
        <w:rPr>
          <w:rFonts w:ascii="Arial" w:hAnsi="Arial" w:cs="Arial"/>
          <w:color w:val="000000" w:themeColor="text1"/>
          <w:sz w:val="22"/>
          <w:szCs w:val="22"/>
        </w:rPr>
        <w:br/>
      </w:r>
      <w:r w:rsidRPr="009B78DA">
        <w:rPr>
          <w:rFonts w:ascii="Arial" w:hAnsi="Arial" w:cs="Arial"/>
          <w:color w:val="000000" w:themeColor="text1"/>
          <w:sz w:val="22"/>
          <w:szCs w:val="22"/>
        </w:rPr>
        <w:t>w Rzeszowie i kilku innych ośrodkach (z</w:t>
      </w:r>
      <w:r w:rsidR="00DE7D98">
        <w:rPr>
          <w:rFonts w:ascii="Arial" w:hAnsi="Arial" w:cs="Arial"/>
          <w:color w:val="000000" w:themeColor="text1"/>
          <w:sz w:val="22"/>
          <w:szCs w:val="22"/>
        </w:rPr>
        <w:t xml:space="preserve">achód regionu), przy domykaniu </w:t>
      </w:r>
      <w:r w:rsidRPr="009B78DA">
        <w:rPr>
          <w:rFonts w:ascii="Arial" w:hAnsi="Arial" w:cs="Arial"/>
          <w:color w:val="000000" w:themeColor="text1"/>
          <w:sz w:val="22"/>
          <w:szCs w:val="22"/>
        </w:rPr>
        <w:t xml:space="preserve">nowoczesnej sieci drogowej i zauważalnym wykluczeniu transportowym na peryferiach; wzrost ruchu indywidualnego głównie na nowej infrastrukturze oraz </w:t>
      </w:r>
      <w:r w:rsidR="00DE7D98">
        <w:rPr>
          <w:rFonts w:ascii="Arial" w:hAnsi="Arial" w:cs="Arial"/>
          <w:color w:val="000000" w:themeColor="text1"/>
          <w:sz w:val="22"/>
          <w:szCs w:val="22"/>
        </w:rPr>
        <w:br/>
      </w:r>
      <w:r w:rsidRPr="009B78DA">
        <w:rPr>
          <w:rFonts w:ascii="Arial" w:hAnsi="Arial" w:cs="Arial"/>
          <w:color w:val="000000" w:themeColor="text1"/>
          <w:sz w:val="22"/>
          <w:szCs w:val="22"/>
        </w:rPr>
        <w:t>w aglomeracji rzeszowskiej;</w:t>
      </w:r>
    </w:p>
    <w:p w14:paraId="225BA1EC" w14:textId="419E96CD" w:rsidR="00A42023" w:rsidRPr="009B78DA" w:rsidRDefault="00A42023" w:rsidP="00DE7D98">
      <w:pPr>
        <w:pStyle w:val="Akapitzlist"/>
        <w:numPr>
          <w:ilvl w:val="0"/>
          <w:numId w:val="316"/>
        </w:numPr>
        <w:spacing w:after="120" w:line="288" w:lineRule="auto"/>
        <w:rPr>
          <w:rFonts w:ascii="Arial" w:hAnsi="Arial" w:cs="Arial"/>
          <w:color w:val="000000" w:themeColor="text1"/>
          <w:sz w:val="22"/>
          <w:szCs w:val="22"/>
        </w:rPr>
      </w:pPr>
      <w:r w:rsidRPr="009B78DA">
        <w:rPr>
          <w:rFonts w:ascii="Arial" w:hAnsi="Arial" w:cs="Arial"/>
          <w:b/>
          <w:color w:val="000000" w:themeColor="text1"/>
          <w:sz w:val="22"/>
          <w:szCs w:val="22"/>
        </w:rPr>
        <w:t>Etap III szybkiej koncentracji</w:t>
      </w:r>
      <w:r w:rsidRPr="009B78DA">
        <w:rPr>
          <w:rFonts w:ascii="Arial" w:hAnsi="Arial" w:cs="Arial"/>
          <w:color w:val="000000" w:themeColor="text1"/>
          <w:sz w:val="22"/>
          <w:szCs w:val="22"/>
        </w:rPr>
        <w:t>, już wyraźnie wolniejszego rozwoju gospodarczego</w:t>
      </w:r>
      <w:r w:rsidR="00DE7D98">
        <w:rPr>
          <w:rFonts w:ascii="Arial" w:hAnsi="Arial" w:cs="Arial"/>
          <w:color w:val="000000" w:themeColor="text1"/>
          <w:sz w:val="22"/>
          <w:szCs w:val="22"/>
        </w:rPr>
        <w:t xml:space="preserve"> </w:t>
      </w:r>
      <w:r w:rsidR="00DE7D98">
        <w:rPr>
          <w:rFonts w:ascii="Arial" w:hAnsi="Arial" w:cs="Arial"/>
          <w:color w:val="000000" w:themeColor="text1"/>
          <w:sz w:val="22"/>
          <w:szCs w:val="22"/>
        </w:rPr>
        <w:br/>
      </w:r>
      <w:r w:rsidRPr="009B78DA">
        <w:rPr>
          <w:rFonts w:ascii="Arial" w:hAnsi="Arial" w:cs="Arial"/>
          <w:color w:val="000000" w:themeColor="text1"/>
          <w:sz w:val="22"/>
          <w:szCs w:val="22"/>
        </w:rPr>
        <w:t>i demograficznego (ten ostatni praktycznie tylko w Rzeszowie); przy jednoczesnym rozwoju transportu kolejowego w aglomeracji stolicy regionu oraz w układach krajowych; wzrost ruchu tak indywidualnego, jak i w transporcie zbiorowym do Rzeszowa, z coraz większych odległości, stabilizacja lub spadek intensywności ruchu na pozostałym obszarze województwa (poza trasami do innych metropolii krajowych</w:t>
      </w:r>
      <w:r w:rsidR="00DE7D98">
        <w:rPr>
          <w:rFonts w:ascii="Arial" w:hAnsi="Arial" w:cs="Arial"/>
          <w:color w:val="000000" w:themeColor="text1"/>
          <w:sz w:val="22"/>
          <w:szCs w:val="22"/>
        </w:rPr>
        <w:t xml:space="preserve"> </w:t>
      </w:r>
      <w:r w:rsidR="00DE7D98">
        <w:rPr>
          <w:rFonts w:ascii="Arial" w:hAnsi="Arial" w:cs="Arial"/>
          <w:color w:val="000000" w:themeColor="text1"/>
          <w:sz w:val="22"/>
          <w:szCs w:val="22"/>
        </w:rPr>
        <w:br/>
      </w:r>
      <w:r w:rsidRPr="009B78DA">
        <w:rPr>
          <w:rFonts w:ascii="Arial" w:hAnsi="Arial" w:cs="Arial"/>
          <w:color w:val="000000" w:themeColor="text1"/>
          <w:sz w:val="22"/>
          <w:szCs w:val="22"/>
        </w:rPr>
        <w:t>i zagranicznych); zmiany strukturalne z ruchu generowanego dojazdami do pracy</w:t>
      </w:r>
      <w:r w:rsidR="00DE7D98">
        <w:rPr>
          <w:rFonts w:ascii="Arial" w:hAnsi="Arial" w:cs="Arial"/>
          <w:color w:val="000000" w:themeColor="text1"/>
          <w:sz w:val="22"/>
          <w:szCs w:val="22"/>
        </w:rPr>
        <w:t xml:space="preserve"> </w:t>
      </w:r>
      <w:r w:rsidR="00DE7D98">
        <w:rPr>
          <w:rFonts w:ascii="Arial" w:hAnsi="Arial" w:cs="Arial"/>
          <w:color w:val="000000" w:themeColor="text1"/>
          <w:sz w:val="22"/>
          <w:szCs w:val="22"/>
        </w:rPr>
        <w:br/>
      </w:r>
      <w:r w:rsidRPr="009B78DA">
        <w:rPr>
          <w:rFonts w:ascii="Arial" w:hAnsi="Arial" w:cs="Arial"/>
          <w:color w:val="000000" w:themeColor="text1"/>
          <w:sz w:val="22"/>
          <w:szCs w:val="22"/>
        </w:rPr>
        <w:t>w s</w:t>
      </w:r>
      <w:r w:rsidR="00DE7D98">
        <w:rPr>
          <w:rFonts w:ascii="Arial" w:hAnsi="Arial" w:cs="Arial"/>
          <w:color w:val="000000" w:themeColor="text1"/>
          <w:sz w:val="22"/>
          <w:szCs w:val="22"/>
        </w:rPr>
        <w:t>tronę mobilności fakultatywnej.</w:t>
      </w:r>
    </w:p>
    <w:p w14:paraId="305F90D5" w14:textId="77777777" w:rsidR="00A42023" w:rsidRPr="009B78DA" w:rsidRDefault="00A42023" w:rsidP="00DE7D98">
      <w:pPr>
        <w:pStyle w:val="Akapitzlist"/>
        <w:numPr>
          <w:ilvl w:val="0"/>
          <w:numId w:val="316"/>
        </w:numPr>
        <w:spacing w:after="120" w:line="288" w:lineRule="auto"/>
        <w:rPr>
          <w:rFonts w:ascii="Arial" w:hAnsi="Arial" w:cs="Arial"/>
          <w:color w:val="000000" w:themeColor="text1"/>
          <w:sz w:val="22"/>
          <w:szCs w:val="22"/>
        </w:rPr>
      </w:pPr>
      <w:r w:rsidRPr="009B78DA">
        <w:rPr>
          <w:rFonts w:ascii="Arial" w:hAnsi="Arial" w:cs="Arial"/>
          <w:b/>
          <w:color w:val="000000" w:themeColor="text1"/>
          <w:sz w:val="22"/>
          <w:szCs w:val="22"/>
        </w:rPr>
        <w:t>Etap IV nowej równowagi</w:t>
      </w:r>
      <w:r w:rsidRPr="009B78DA">
        <w:rPr>
          <w:rFonts w:ascii="Arial" w:hAnsi="Arial" w:cs="Arial"/>
          <w:color w:val="000000" w:themeColor="text1"/>
          <w:sz w:val="22"/>
          <w:szCs w:val="22"/>
        </w:rPr>
        <w:t xml:space="preserve"> opartej na bardzo silnej pozycji Rzeszowa, zachowanej pozycji kilku innych biegunów wzrostu, przy ubytkach demograficznych we wszystkich pozostałych częściach regionu; spadki ruchu, mniejsze wykorzystanie infrastruktury, rosnąca rola transportu publicznego zarówno w aglomeracji rzeszowskiej (przeciwdziałanie emisji i kongestii), jak też na peryferiach (przeciwdziałanie wykluczeniu transportowemu).</w:t>
      </w:r>
    </w:p>
    <w:p w14:paraId="5D441AC3" w14:textId="77777777" w:rsidR="00A42023" w:rsidRPr="009B78DA" w:rsidRDefault="00A42023" w:rsidP="00DE7D98">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rPr>
        <w:t>Przedstawione etapy należy rozumieć umownie, jako możliwy kierunek zmian. Celem polityki transportowej jest ewentualne mitygowanie tego kierunku (przeciwdziałanie utracie policentryczności regionu), przy zachowaniu gotowości do funkcjonowania w warunkach równowagi odmiennej niż dzisiejsza.</w:t>
      </w:r>
    </w:p>
    <w:p w14:paraId="18C38D73" w14:textId="74C0EB68" w:rsidR="00A42023" w:rsidRPr="009B78DA" w:rsidRDefault="00A42023" w:rsidP="00DE7D98">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rPr>
        <w:t>Można przyjąć, że obecnie województwo znajduje się na etapie II sekwencji zmian. Tym samym,</w:t>
      </w:r>
      <w:r w:rsidRPr="009B78DA">
        <w:rPr>
          <w:rFonts w:ascii="Arial" w:hAnsi="Arial" w:cs="Arial"/>
          <w:b/>
          <w:color w:val="000000" w:themeColor="text1"/>
          <w:sz w:val="22"/>
          <w:szCs w:val="22"/>
        </w:rPr>
        <w:t xml:space="preserve"> w perspektywie roku 2030 nastąpi dalsza, choć jeszcze stosunkowo wolna, koncentracja ruchu zarówno wymiarze węzłowym, jak też korytarzowym</w:t>
      </w:r>
      <w:r w:rsidRPr="009B78DA">
        <w:rPr>
          <w:rFonts w:ascii="Arial" w:hAnsi="Arial" w:cs="Arial"/>
          <w:color w:val="000000" w:themeColor="text1"/>
          <w:sz w:val="22"/>
          <w:szCs w:val="22"/>
        </w:rPr>
        <w:t>. W pierwszym przypadku dotyczyć będzie to przede wszystkim Rzeszowa, a ponadto tylko niektórych subregionalnych ośrodków wzrostu (w kolejnych latach już nie Mielca, ale raczej Stalowej Woli i Krosna). Nastąpi także skupienie potoków na trasach szybkiego ruchu (A4 i S19) oraz kilku innych odcinkach częściowo modernizowanych dróg krajowych (w tym D9, DK77 oraz DK73/DK28). Wyraźnie wzrośnie znaczenie kilku dróg wojewódzkich. Należą do nich m.in. trasy doprowadzające ruch do dróg ekspresowych i autostrad, a także do przejść granicznych. Na innych drogach ruch jednak wyraźnie zmaleje, co będzie zarówno efektem przesuwania potoków do nowej infrastruktury, jak też konsekwencja zachodz</w:t>
      </w:r>
      <w:r w:rsidR="00DE7D98">
        <w:rPr>
          <w:rFonts w:ascii="Arial" w:hAnsi="Arial" w:cs="Arial"/>
          <w:color w:val="000000" w:themeColor="text1"/>
          <w:sz w:val="22"/>
          <w:szCs w:val="22"/>
        </w:rPr>
        <w:t>ących procesów demograficznych.</w:t>
      </w:r>
    </w:p>
    <w:p w14:paraId="211629C1" w14:textId="692E3DB8" w:rsidR="00A42023" w:rsidRPr="009B78DA" w:rsidRDefault="00A42023" w:rsidP="00DE7D98">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Wyniki modelu BAU2030 wersja 3.0 bardziej jednoznacznie, niż wcześniejsze ujęcia potwierdziły, że już w bieżącej dekadzie </w:t>
      </w:r>
      <w:r w:rsidRPr="009B78DA">
        <w:rPr>
          <w:rFonts w:ascii="Arial" w:hAnsi="Arial" w:cs="Arial"/>
          <w:b/>
          <w:color w:val="000000" w:themeColor="text1"/>
          <w:sz w:val="22"/>
          <w:szCs w:val="22"/>
        </w:rPr>
        <w:t>w ujęciu strukturalnym nastąpi spadek znaczenia motywacji dojazdy do pracy (zwłaszcza na peryferiach, ale także wokół wielu ośrodków subregionalnych</w:t>
      </w:r>
      <w:r w:rsidRPr="009B78DA">
        <w:rPr>
          <w:rFonts w:ascii="Arial" w:hAnsi="Arial" w:cs="Arial"/>
          <w:color w:val="000000" w:themeColor="text1"/>
          <w:sz w:val="22"/>
          <w:szCs w:val="22"/>
        </w:rPr>
        <w:t xml:space="preserve"> we wschodniej części regionu) przy jednoczesnym wzroście znaczenia motywacji pozostałych. Można oczekiwać, że będą to m.in. motywacje związane z dojazdem do usług, w tym turystycznych. Jednocześnie dojazdy do pracy i do usług (motywacja pozostałe) w dużym stopniu wykorzystują te same odcinku dróg. Dlatego inwestycje w ich ciągach będą sekwencyjnie służyć obu motywacjom. Wzrost znaczenia dojazdów do usług</w:t>
      </w:r>
      <w:r w:rsidR="00DE7D98">
        <w:rPr>
          <w:rFonts w:ascii="Arial" w:hAnsi="Arial" w:cs="Arial"/>
          <w:color w:val="000000" w:themeColor="text1"/>
          <w:sz w:val="22"/>
          <w:szCs w:val="22"/>
        </w:rPr>
        <w:t xml:space="preserve"> </w:t>
      </w:r>
      <w:r w:rsidRPr="009B78DA">
        <w:rPr>
          <w:rFonts w:ascii="Arial" w:hAnsi="Arial" w:cs="Arial"/>
          <w:color w:val="000000" w:themeColor="text1"/>
          <w:sz w:val="22"/>
          <w:szCs w:val="22"/>
        </w:rPr>
        <w:t>w strefach depopulacji i starzenia się społeczeństwa jest jednak wskazówką dla zwiększenia roli czynnika organizacyjnego w transporcie zbiorowym (autobusowym).</w:t>
      </w:r>
    </w:p>
    <w:p w14:paraId="6A4C94B2" w14:textId="0296D8E1" w:rsidR="00A42023" w:rsidRPr="009B78DA" w:rsidRDefault="00A42023" w:rsidP="00DE7D98">
      <w:pPr>
        <w:spacing w:after="120" w:line="288" w:lineRule="auto"/>
        <w:rPr>
          <w:rFonts w:ascii="Arial" w:hAnsi="Arial" w:cs="Arial"/>
          <w:color w:val="000000" w:themeColor="text1"/>
          <w:sz w:val="22"/>
          <w:szCs w:val="22"/>
        </w:rPr>
      </w:pPr>
      <w:r w:rsidRPr="009B78DA">
        <w:rPr>
          <w:rFonts w:ascii="Arial" w:hAnsi="Arial" w:cs="Arial"/>
          <w:b/>
          <w:color w:val="000000" w:themeColor="text1"/>
          <w:sz w:val="22"/>
          <w:szCs w:val="22"/>
        </w:rPr>
        <w:t>Wymiar modalny zmian w wielkości i strukturze prognozowanego ruchu jest ograniczony.</w:t>
      </w:r>
      <w:r w:rsidRPr="009B78DA">
        <w:rPr>
          <w:rFonts w:ascii="Arial" w:hAnsi="Arial" w:cs="Arial"/>
          <w:color w:val="000000" w:themeColor="text1"/>
          <w:sz w:val="22"/>
          <w:szCs w:val="22"/>
        </w:rPr>
        <w:t xml:space="preserve"> Pozornie może on nie spełniać oczekiwań Komisji Europejskiej w tym zakresie. W rzeczywistości jednak oczekiwane zmiany mają miejsce na niektórych najbardziej obciążonych kierunkach (dojazdy do Rzeszowa, układ międzymetropolitalny </w:t>
      </w:r>
      <w:r w:rsidR="00DE7D98">
        <w:rPr>
          <w:rFonts w:ascii="Arial" w:hAnsi="Arial" w:cs="Arial"/>
          <w:color w:val="000000" w:themeColor="text1"/>
          <w:sz w:val="22"/>
          <w:szCs w:val="22"/>
        </w:rPr>
        <w:br/>
      </w:r>
      <w:r w:rsidRPr="009B78DA">
        <w:rPr>
          <w:rFonts w:ascii="Arial" w:hAnsi="Arial" w:cs="Arial"/>
          <w:color w:val="000000" w:themeColor="text1"/>
          <w:sz w:val="22"/>
          <w:szCs w:val="22"/>
        </w:rPr>
        <w:t>w relacjach do Krakowa, Lublina i Warszawy), czyli tam gdzie mogą być one najbardziej efektywne w sensie ograniczenia emisji gazów cieplarnianych. Z drugiej strony na terenach peryferyjnych zmiany także będą zachodzić w ujęciu relatywnym. Wymaga to jedynie utrzymania odpowiednie</w:t>
      </w:r>
      <w:r w:rsidR="00DE7D98">
        <w:rPr>
          <w:rFonts w:ascii="Arial" w:hAnsi="Arial" w:cs="Arial"/>
          <w:color w:val="000000" w:themeColor="text1"/>
          <w:sz w:val="22"/>
          <w:szCs w:val="22"/>
        </w:rPr>
        <w:t>j podaży transportu zbiorowego.</w:t>
      </w:r>
    </w:p>
    <w:p w14:paraId="16F16ABA" w14:textId="77777777" w:rsidR="00A42023" w:rsidRPr="009B78DA" w:rsidRDefault="00A42023" w:rsidP="00DE7D98">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rPr>
        <w:t xml:space="preserve">Opisane </w:t>
      </w:r>
      <w:r w:rsidRPr="009B78DA">
        <w:rPr>
          <w:rFonts w:ascii="Arial" w:hAnsi="Arial" w:cs="Arial"/>
          <w:b/>
          <w:color w:val="000000" w:themeColor="text1"/>
          <w:sz w:val="22"/>
          <w:szCs w:val="22"/>
        </w:rPr>
        <w:t>zmiany społeczno-gospodarcze zmniejszą, już w roku 2030, poziom policentryczności regionu</w:t>
      </w:r>
      <w:r w:rsidRPr="009B78DA">
        <w:rPr>
          <w:rFonts w:ascii="Arial" w:hAnsi="Arial" w:cs="Arial"/>
          <w:color w:val="000000" w:themeColor="text1"/>
          <w:sz w:val="22"/>
          <w:szCs w:val="22"/>
        </w:rPr>
        <w:t xml:space="preserve">. Będzie to dotyczyć szczególnie rynku pracy. Wyznacznikiem układu policentrycznego będzie się stopniowo stawał raczej rynek usług publicznych oraz jego obsługa transportem zbiorowym. </w:t>
      </w:r>
      <w:r w:rsidRPr="009B78DA">
        <w:rPr>
          <w:rFonts w:ascii="Arial" w:hAnsi="Arial" w:cs="Arial"/>
          <w:b/>
          <w:color w:val="000000" w:themeColor="text1"/>
          <w:sz w:val="22"/>
          <w:szCs w:val="22"/>
        </w:rPr>
        <w:t>Rzeszów wzmocni swoją pozycję w ogólnopolskiej sieci metropolii</w:t>
      </w:r>
      <w:r w:rsidRPr="009B78DA">
        <w:rPr>
          <w:rFonts w:ascii="Arial" w:hAnsi="Arial" w:cs="Arial"/>
          <w:color w:val="000000" w:themeColor="text1"/>
          <w:sz w:val="22"/>
          <w:szCs w:val="22"/>
        </w:rPr>
        <w:t xml:space="preserve"> (bardziej niż wskazywały na to dotychczasowe wyniki modelowania). Stanie się jej integralną częścią. Silnie wzrosną relacje z Lublinem, a dzięki budowie drogi S74 także, choć w mniejszym stopniu, z Kielcami. Relacje wyższego rzędu (biznesowe) innych miast poza region będą podobnie jak obecnie stosunkowo słabe. Zwiększy się jednak rola tych powiązań z między północną częścią województwa a Warszawą. Rzeszów po roku 2030 w rosnącym stopniu będzie też konkurował na „rynku” średniej wielkości metropolii polskich i europejskich. Wynik tej konkurencji może zależeć od jego pozycji transportowej. </w:t>
      </w:r>
      <w:r w:rsidRPr="009B78DA">
        <w:rPr>
          <w:rFonts w:ascii="Arial" w:hAnsi="Arial" w:cs="Arial"/>
          <w:b/>
          <w:color w:val="000000" w:themeColor="text1"/>
          <w:sz w:val="22"/>
          <w:szCs w:val="22"/>
        </w:rPr>
        <w:t>Konkurencja między metropoliami będzie obejmowała także oddziaływanie na strefy otaczające.</w:t>
      </w:r>
      <w:r w:rsidRPr="009B78DA">
        <w:rPr>
          <w:rFonts w:ascii="Arial" w:hAnsi="Arial" w:cs="Arial"/>
          <w:color w:val="000000" w:themeColor="text1"/>
          <w:sz w:val="22"/>
          <w:szCs w:val="22"/>
        </w:rPr>
        <w:t xml:space="preserve"> Może to oznaczać współzawodnictwo w wymywaniu ograniczonych zasobów siły roboczej, np. między Rzeszowem a Lublinem.</w:t>
      </w:r>
    </w:p>
    <w:p w14:paraId="469810ED" w14:textId="6A12454D" w:rsidR="00A42023" w:rsidRPr="009B78DA" w:rsidRDefault="00A42023" w:rsidP="00DE7D98">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 konsekwencji opisanych procesów </w:t>
      </w:r>
      <w:r w:rsidRPr="009B78DA">
        <w:rPr>
          <w:rFonts w:ascii="Arial" w:hAnsi="Arial" w:cs="Arial"/>
          <w:b/>
          <w:color w:val="000000" w:themeColor="text1"/>
          <w:sz w:val="22"/>
          <w:szCs w:val="22"/>
        </w:rPr>
        <w:t>zwiększy się zagrożenie wewnętrzną polaryzacją województwa w zakresie potrzeb, a jednocześnie możliwości obsługi transportowej</w:t>
      </w:r>
      <w:r w:rsidRPr="009B78DA">
        <w:rPr>
          <w:rFonts w:ascii="Arial" w:hAnsi="Arial" w:cs="Arial"/>
          <w:color w:val="000000" w:themeColor="text1"/>
          <w:sz w:val="22"/>
          <w:szCs w:val="22"/>
        </w:rPr>
        <w:t xml:space="preserve"> regionu. Bardziej jednoznacznie możliwe będzie wydzielenie jego silnie różniących się stref (wymagających prawdopodobnie coraz bardziej zróżnicowanych narzędzi interwe</w:t>
      </w:r>
      <w:r w:rsidR="00DE7D98">
        <w:rPr>
          <w:rFonts w:ascii="Arial" w:hAnsi="Arial" w:cs="Arial"/>
          <w:color w:val="000000" w:themeColor="text1"/>
          <w:sz w:val="22"/>
          <w:szCs w:val="22"/>
        </w:rPr>
        <w:t>ncji publicznej w transporcie):</w:t>
      </w:r>
    </w:p>
    <w:p w14:paraId="52CE2625" w14:textId="5807DBEA" w:rsidR="00A42023" w:rsidRPr="009B78DA" w:rsidRDefault="00A42023" w:rsidP="00DE7D98">
      <w:pPr>
        <w:pStyle w:val="Akapitzlist"/>
        <w:numPr>
          <w:ilvl w:val="0"/>
          <w:numId w:val="315"/>
        </w:numPr>
        <w:spacing w:after="120" w:line="288" w:lineRule="auto"/>
        <w:rPr>
          <w:rFonts w:ascii="Arial" w:hAnsi="Arial" w:cs="Arial"/>
          <w:b/>
          <w:bCs/>
          <w:color w:val="000000" w:themeColor="text1"/>
          <w:sz w:val="22"/>
          <w:szCs w:val="22"/>
        </w:rPr>
      </w:pPr>
      <w:r w:rsidRPr="009B78DA">
        <w:rPr>
          <w:rFonts w:ascii="Arial" w:hAnsi="Arial" w:cs="Arial"/>
          <w:b/>
          <w:bCs/>
          <w:color w:val="000000" w:themeColor="text1"/>
          <w:sz w:val="22"/>
          <w:szCs w:val="22"/>
        </w:rPr>
        <w:t>metropolia rzeszowska</w:t>
      </w:r>
      <w:r w:rsidR="00BC125E" w:rsidRPr="009B78DA">
        <w:rPr>
          <w:rFonts w:ascii="Arial" w:hAnsi="Arial" w:cs="Arial"/>
          <w:b/>
          <w:bCs/>
          <w:color w:val="000000" w:themeColor="text1"/>
          <w:sz w:val="22"/>
          <w:szCs w:val="22"/>
        </w:rPr>
        <w:t xml:space="preserve"> / Rzeszowski Obszar Funkcjonalny</w:t>
      </w:r>
      <w:r w:rsidRPr="009B78DA">
        <w:rPr>
          <w:rFonts w:ascii="Arial" w:hAnsi="Arial" w:cs="Arial"/>
          <w:color w:val="000000" w:themeColor="text1"/>
          <w:sz w:val="22"/>
          <w:szCs w:val="22"/>
        </w:rPr>
        <w:t xml:space="preserve"> z: dalszymi wzrostami ruchu we wszystkich motywacjach, wzrostem powiązań pozawojewódzkich, korzystnymi zmianami w strukturze modalnej, dobrą obsług</w:t>
      </w:r>
      <w:r w:rsidR="00BC125E" w:rsidRPr="009B78DA">
        <w:rPr>
          <w:rFonts w:ascii="Arial" w:hAnsi="Arial" w:cs="Arial"/>
          <w:color w:val="000000" w:themeColor="text1"/>
          <w:sz w:val="22"/>
          <w:szCs w:val="22"/>
        </w:rPr>
        <w:t>ą</w:t>
      </w:r>
      <w:r w:rsidRPr="009B78DA">
        <w:rPr>
          <w:rFonts w:ascii="Arial" w:hAnsi="Arial" w:cs="Arial"/>
          <w:color w:val="000000" w:themeColor="text1"/>
          <w:sz w:val="22"/>
          <w:szCs w:val="22"/>
        </w:rPr>
        <w:t xml:space="preserve"> kolejową, rosnącym terytor</w:t>
      </w:r>
      <w:r w:rsidR="00DE7D98">
        <w:rPr>
          <w:rFonts w:ascii="Arial" w:hAnsi="Arial" w:cs="Arial"/>
          <w:color w:val="000000" w:themeColor="text1"/>
          <w:sz w:val="22"/>
          <w:szCs w:val="22"/>
        </w:rPr>
        <w:t>ialnie zasięgiem oddziaływania;</w:t>
      </w:r>
    </w:p>
    <w:p w14:paraId="499A2F4F" w14:textId="6A86F058" w:rsidR="00A42023" w:rsidRPr="009B78DA" w:rsidRDefault="00A42023" w:rsidP="00DE7D98">
      <w:pPr>
        <w:pStyle w:val="Akapitzlist"/>
        <w:numPr>
          <w:ilvl w:val="0"/>
          <w:numId w:val="315"/>
        </w:numPr>
        <w:spacing w:after="120" w:line="288" w:lineRule="auto"/>
        <w:rPr>
          <w:rFonts w:ascii="Arial" w:hAnsi="Arial" w:cs="Arial"/>
          <w:color w:val="000000" w:themeColor="text1"/>
          <w:sz w:val="22"/>
          <w:szCs w:val="22"/>
        </w:rPr>
      </w:pPr>
      <w:r w:rsidRPr="009B78DA">
        <w:rPr>
          <w:rFonts w:ascii="Arial" w:hAnsi="Arial" w:cs="Arial"/>
          <w:b/>
          <w:bCs/>
          <w:color w:val="000000" w:themeColor="text1"/>
          <w:sz w:val="22"/>
          <w:szCs w:val="22"/>
        </w:rPr>
        <w:t>subregionalne bieguny wzrostu zachodniej i częściowo południowej części regionu</w:t>
      </w:r>
      <w:r w:rsidRPr="009B78DA">
        <w:rPr>
          <w:rFonts w:ascii="Arial" w:hAnsi="Arial" w:cs="Arial"/>
          <w:color w:val="000000" w:themeColor="text1"/>
          <w:sz w:val="22"/>
          <w:szCs w:val="22"/>
        </w:rPr>
        <w:t xml:space="preserve"> (Czwórmiasto, Mielec, Dębica, Jasło, Krosno) z: zahamowaniem wzrostu ruchu w kategorii dojazdów do pracy, kompensowanym jednak wzrostem ruchu pozostałego (usługi), dojazdami opartymi nada</w:t>
      </w:r>
      <w:r w:rsidR="00DE7D98">
        <w:rPr>
          <w:rFonts w:ascii="Arial" w:hAnsi="Arial" w:cs="Arial"/>
          <w:color w:val="000000" w:themeColor="text1"/>
          <w:sz w:val="22"/>
          <w:szCs w:val="22"/>
        </w:rPr>
        <w:t>l na transporcie indywidualnym;</w:t>
      </w:r>
    </w:p>
    <w:p w14:paraId="3B15C9AF" w14:textId="2691EF6C" w:rsidR="00A42023" w:rsidRPr="009B78DA" w:rsidRDefault="00A42023" w:rsidP="00DE7D98">
      <w:pPr>
        <w:pStyle w:val="Akapitzlist"/>
        <w:numPr>
          <w:ilvl w:val="0"/>
          <w:numId w:val="315"/>
        </w:numPr>
        <w:spacing w:after="120" w:line="288" w:lineRule="auto"/>
        <w:rPr>
          <w:rFonts w:ascii="Arial" w:hAnsi="Arial" w:cs="Arial"/>
          <w:color w:val="000000" w:themeColor="text1"/>
          <w:sz w:val="22"/>
          <w:szCs w:val="22"/>
        </w:rPr>
      </w:pPr>
      <w:r w:rsidRPr="009B78DA">
        <w:rPr>
          <w:rFonts w:ascii="Arial" w:hAnsi="Arial" w:cs="Arial"/>
          <w:b/>
          <w:bCs/>
          <w:color w:val="000000" w:themeColor="text1"/>
          <w:sz w:val="22"/>
          <w:szCs w:val="22"/>
        </w:rPr>
        <w:t>subregionalne bieguny wzrostu wschodniej części województwa</w:t>
      </w:r>
      <w:r w:rsidRPr="009B78DA">
        <w:rPr>
          <w:rFonts w:ascii="Arial" w:hAnsi="Arial" w:cs="Arial"/>
          <w:color w:val="000000" w:themeColor="text1"/>
          <w:sz w:val="22"/>
          <w:szCs w:val="22"/>
        </w:rPr>
        <w:t xml:space="preserve"> (Przemyśl, Sanok, Jarosław, Lubaczów) z: spadkiem ruchu w kategorii dojazdów pracowniczych, nie w pełni bilansowanym innymi motywacjami; ogólnym spadkiem ruchu; domin</w:t>
      </w:r>
      <w:r w:rsidR="00DE7D98">
        <w:rPr>
          <w:rFonts w:ascii="Arial" w:hAnsi="Arial" w:cs="Arial"/>
          <w:color w:val="000000" w:themeColor="text1"/>
          <w:sz w:val="22"/>
          <w:szCs w:val="22"/>
        </w:rPr>
        <w:t>acją transportu indywidualnego;</w:t>
      </w:r>
    </w:p>
    <w:p w14:paraId="4DE70C33" w14:textId="0BE7CBFA" w:rsidR="00A42023" w:rsidRPr="009B78DA" w:rsidRDefault="00A42023" w:rsidP="00DE7D98">
      <w:pPr>
        <w:pStyle w:val="Akapitzlist"/>
        <w:numPr>
          <w:ilvl w:val="0"/>
          <w:numId w:val="315"/>
        </w:numPr>
        <w:spacing w:after="120" w:line="288" w:lineRule="auto"/>
        <w:rPr>
          <w:rFonts w:ascii="Arial" w:hAnsi="Arial" w:cs="Arial"/>
          <w:color w:val="000000" w:themeColor="text1"/>
          <w:sz w:val="22"/>
          <w:szCs w:val="22"/>
        </w:rPr>
      </w:pPr>
      <w:r w:rsidRPr="009B78DA">
        <w:rPr>
          <w:rFonts w:ascii="Arial" w:hAnsi="Arial" w:cs="Arial"/>
          <w:b/>
          <w:bCs/>
          <w:color w:val="000000" w:themeColor="text1"/>
          <w:sz w:val="22"/>
          <w:szCs w:val="22"/>
        </w:rPr>
        <w:t>strefy peryferyjne</w:t>
      </w:r>
      <w:r w:rsidRPr="009B78DA">
        <w:rPr>
          <w:rFonts w:ascii="Arial" w:hAnsi="Arial" w:cs="Arial"/>
          <w:color w:val="000000" w:themeColor="text1"/>
          <w:sz w:val="22"/>
          <w:szCs w:val="22"/>
        </w:rPr>
        <w:t xml:space="preserve">, głównie na południu i wschodzie regionu z: spadkami ruchu na większości kierunków; konkretnymi </w:t>
      </w:r>
      <w:r w:rsidR="00967E6A">
        <w:rPr>
          <w:rFonts w:ascii="Arial" w:hAnsi="Arial" w:cs="Arial"/>
          <w:color w:val="000000" w:themeColor="text1"/>
          <w:sz w:val="22"/>
          <w:szCs w:val="22"/>
        </w:rPr>
        <w:t xml:space="preserve">ale niezbyt licznymi, szlakami </w:t>
      </w:r>
      <w:r w:rsidRPr="009B78DA">
        <w:rPr>
          <w:rFonts w:ascii="Arial" w:hAnsi="Arial" w:cs="Arial"/>
          <w:color w:val="000000" w:themeColor="text1"/>
          <w:sz w:val="22"/>
          <w:szCs w:val="22"/>
        </w:rPr>
        <w:t>wykazującymi wzrost ruchu (łączniki do dróg ekspresowych, drogi turystyczne).</w:t>
      </w:r>
    </w:p>
    <w:p w14:paraId="33CBE143" w14:textId="17450141" w:rsidR="00A42023" w:rsidRPr="009B78DA" w:rsidRDefault="00A42023" w:rsidP="00DE7D98">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rPr>
        <w:t>We wschodniej i południowej części regionu wzrośnie zagrożenie wykluczeniem transportowym. Może ono wystąpić także w innych częściach województwa, gdzie zmiany demograficzne spowodują spadek rentowności transportu zbiorowego. Model BAU2030 wersja 3.0 potwierdził, że najszybsze negatywne zmiany wystąpią w powiatach lubaczowskim, przemyskim i jarosławskim. Nie do końca potwierdziła się natomiast zła pro</w:t>
      </w:r>
      <w:r w:rsidR="00DE7D98">
        <w:rPr>
          <w:rFonts w:ascii="Arial" w:hAnsi="Arial" w:cs="Arial"/>
          <w:color w:val="000000" w:themeColor="text1"/>
          <w:sz w:val="22"/>
          <w:szCs w:val="22"/>
        </w:rPr>
        <w:t>gnoza dla powiatu jasielskiego.</w:t>
      </w:r>
    </w:p>
    <w:p w14:paraId="2F8D8DEC" w14:textId="4D4DDEDF" w:rsidR="00A42023" w:rsidRPr="009B78DA" w:rsidRDefault="00A42023" w:rsidP="00DE7D98">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Paradoksalna sytuacja dotyczy integracji rynków pracy między położonymi w sąsiedztwie podkarpackimi subregionalnymi biegunami wzrostu (Czwórmiasto, pas południowy). Obserwacja bieżących procesów (2019-2022) wskazuje na pozytywne trendy w tym zakresie. </w:t>
      </w:r>
      <w:r w:rsidRPr="009B78DA">
        <w:rPr>
          <w:rFonts w:ascii="Arial" w:hAnsi="Arial" w:cs="Arial"/>
          <w:b/>
          <w:color w:val="000000" w:themeColor="text1"/>
          <w:sz w:val="22"/>
          <w:szCs w:val="22"/>
        </w:rPr>
        <w:t>Model prognostyczny pokazuje, że integracja ta będzie przebiegała dalej, ale sama wielkość rynku pracy prawdopodobnie się zmniejszy</w:t>
      </w:r>
      <w:r w:rsidRPr="009B78DA">
        <w:rPr>
          <w:rFonts w:ascii="Arial" w:hAnsi="Arial" w:cs="Arial"/>
          <w:color w:val="000000" w:themeColor="text1"/>
          <w:sz w:val="22"/>
          <w:szCs w:val="22"/>
        </w:rPr>
        <w:t xml:space="preserve">. Poprawiająca się dostępność Rzeszowa może ponownie „rozrywać” układy subregionalne. Dlatego zasługują one na specjalne wsparcie w zakresie działań tak inwestycyjnych, jak i organizacyjnych </w:t>
      </w:r>
      <w:r w:rsidR="00DE7D98">
        <w:rPr>
          <w:rFonts w:ascii="Arial" w:hAnsi="Arial" w:cs="Arial"/>
          <w:color w:val="000000" w:themeColor="text1"/>
          <w:sz w:val="22"/>
          <w:szCs w:val="22"/>
        </w:rPr>
        <w:br/>
      </w:r>
      <w:r w:rsidRPr="009B78DA">
        <w:rPr>
          <w:rFonts w:ascii="Arial" w:hAnsi="Arial" w:cs="Arial"/>
          <w:color w:val="000000" w:themeColor="text1"/>
          <w:sz w:val="22"/>
          <w:szCs w:val="22"/>
        </w:rPr>
        <w:t>w transporcie.</w:t>
      </w:r>
    </w:p>
    <w:p w14:paraId="58BB590F" w14:textId="2CD7FF71" w:rsidR="00C45157" w:rsidRPr="009B78DA" w:rsidRDefault="00A42023" w:rsidP="00DE7D98">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rPr>
        <w:t>Aktualna pozostaje wcześniejsza rekomendacja</w:t>
      </w:r>
      <w:r w:rsidR="0082704E"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że </w:t>
      </w:r>
      <w:r w:rsidRPr="009B78DA">
        <w:rPr>
          <w:rFonts w:ascii="Arial" w:hAnsi="Arial" w:cs="Arial"/>
          <w:b/>
          <w:color w:val="000000" w:themeColor="text1"/>
          <w:sz w:val="22"/>
          <w:szCs w:val="22"/>
        </w:rPr>
        <w:t>inwestycje transportowe oraz działania organizacyjne w transporcie, których podjęcie planowane jest w PSRT muszą mieć względem zachodzących procesów charakter zarówno mitygacyjny, jak też adaptacyjny.</w:t>
      </w:r>
      <w:r w:rsidRPr="009B78DA">
        <w:rPr>
          <w:rFonts w:ascii="Arial" w:hAnsi="Arial" w:cs="Arial"/>
          <w:color w:val="000000" w:themeColor="text1"/>
          <w:sz w:val="22"/>
          <w:szCs w:val="22"/>
        </w:rPr>
        <w:t xml:space="preserve"> W pierwszym przypadku celem jest spowolnienie depopulacji niektórych obszarów oraz zachowanie policentrycznej struktury województwa (wzmacnianie subregionalnych biegunów wzrostu). Zadanie to, w świetle nowej wersji modelu CUPT okazuje się jeszcze trudniejsze do wykonania, ponieważ w roku 2030 wyraźnie zaawansowane będą już negatywne procesy: polaryzacji wewnątrzregionalnej, zapaści demograficznej oraz utraty policentryczności. W ujęciu adaptacyjnym </w:t>
      </w:r>
      <w:r w:rsidRPr="009B78DA">
        <w:rPr>
          <w:rFonts w:ascii="Arial" w:hAnsi="Arial" w:cs="Arial"/>
          <w:b/>
          <w:color w:val="000000" w:themeColor="text1"/>
          <w:sz w:val="22"/>
          <w:szCs w:val="22"/>
        </w:rPr>
        <w:t>istotne będzie elastyczne podejście do obsługi największych potoków ruchu (z uwzględnieniem zmian w tym zakresie)</w:t>
      </w:r>
      <w:r w:rsidRPr="009B78DA">
        <w:rPr>
          <w:rFonts w:ascii="Arial" w:hAnsi="Arial" w:cs="Arial"/>
          <w:color w:val="000000" w:themeColor="text1"/>
          <w:sz w:val="22"/>
          <w:szCs w:val="22"/>
        </w:rPr>
        <w:t xml:space="preserve"> oraz przeciwdziałanie wykluczeniu transportowemu tam gdzie potoki zmniejszają się. Wyniki prognoz wykonanych z użyciem kolejnych wersji ZMR dowodzą, że </w:t>
      </w:r>
      <w:r w:rsidRPr="009B78DA">
        <w:rPr>
          <w:rFonts w:ascii="Arial" w:hAnsi="Arial" w:cs="Arial"/>
          <w:b/>
          <w:color w:val="000000" w:themeColor="text1"/>
          <w:sz w:val="22"/>
          <w:szCs w:val="22"/>
        </w:rPr>
        <w:t>zmienność dynamiki ruchu na poszczególnych odcinkach (zwłaszcza dróg wojewódzkich) może być bardzo duża.</w:t>
      </w:r>
      <w:r w:rsidRPr="009B78DA">
        <w:rPr>
          <w:rFonts w:ascii="Arial" w:hAnsi="Arial" w:cs="Arial"/>
          <w:color w:val="000000" w:themeColor="text1"/>
          <w:sz w:val="22"/>
          <w:szCs w:val="22"/>
        </w:rPr>
        <w:t xml:space="preserve"> Istnieje niebezpieczeństwo interpretacji zmian występujących bezpośrednio po ukończeniu dużych inwestycji (jak drogi ekspresowe, budowa lub modernizacja linii kolejowych) jako trwałych tendencji wzrostowych wymagających dalszych działań. Model pokazuje jednak, że </w:t>
      </w:r>
      <w:r w:rsidRPr="009B78DA">
        <w:rPr>
          <w:rFonts w:ascii="Arial" w:hAnsi="Arial" w:cs="Arial"/>
          <w:b/>
          <w:color w:val="000000" w:themeColor="text1"/>
          <w:sz w:val="22"/>
          <w:szCs w:val="22"/>
        </w:rPr>
        <w:t>wzrosty tzw. ruchu wzbudzonego mogą być dość szybko zahamowane, głównie przez czynnik demograficzny.</w:t>
      </w:r>
      <w:r w:rsidRPr="009B78DA">
        <w:rPr>
          <w:rFonts w:ascii="Arial" w:hAnsi="Arial" w:cs="Arial"/>
          <w:color w:val="000000" w:themeColor="text1"/>
          <w:sz w:val="22"/>
          <w:szCs w:val="22"/>
        </w:rPr>
        <w:t xml:space="preserve"> Jest to przesłanka dla takiego projektowania inwestycji, które pozwala na ich etapowanie zależne od występującego popytu. Adaptacja musi też nadal obejmować dostosowanie do zmian strukturalnych, w tym zwiększenia roli innych motywacji względem potrzeb rynku pracy (co oznacza np. inn</w:t>
      </w:r>
      <w:r w:rsidR="00DE7D98">
        <w:rPr>
          <w:rFonts w:ascii="Arial" w:hAnsi="Arial" w:cs="Arial"/>
          <w:color w:val="000000" w:themeColor="text1"/>
          <w:sz w:val="22"/>
          <w:szCs w:val="22"/>
        </w:rPr>
        <w:t>ą konstrukcje rozkładów jazdy).</w:t>
      </w:r>
    </w:p>
    <w:p w14:paraId="38C6E32D" w14:textId="77777777" w:rsidR="00B743C4" w:rsidRPr="009B78DA" w:rsidRDefault="00B743C4" w:rsidP="00DE7D98">
      <w:pPr>
        <w:pStyle w:val="Nagwek3"/>
        <w:numPr>
          <w:ilvl w:val="1"/>
          <w:numId w:val="261"/>
        </w:numPr>
        <w:spacing w:line="288" w:lineRule="auto"/>
        <w:rPr>
          <w:rFonts w:cs="Arial"/>
          <w:color w:val="000000" w:themeColor="text1"/>
          <w:sz w:val="24"/>
        </w:rPr>
      </w:pPr>
      <w:bookmarkStart w:id="205" w:name="_Toc100335068"/>
      <w:bookmarkStart w:id="206" w:name="_Toc146785794"/>
      <w:r w:rsidRPr="009B78DA">
        <w:rPr>
          <w:rFonts w:cs="Arial"/>
          <w:color w:val="000000" w:themeColor="text1"/>
          <w:sz w:val="24"/>
        </w:rPr>
        <w:t>Badanie pilotażowe zachowań komunika</w:t>
      </w:r>
      <w:r w:rsidR="00AD7484" w:rsidRPr="009B78DA">
        <w:rPr>
          <w:rFonts w:cs="Arial"/>
          <w:color w:val="000000" w:themeColor="text1"/>
          <w:sz w:val="24"/>
        </w:rPr>
        <w:t xml:space="preserve">cyjnych ludności </w:t>
      </w:r>
      <w:r w:rsidR="00357088" w:rsidRPr="009B78DA">
        <w:rPr>
          <w:rFonts w:cs="Arial"/>
          <w:color w:val="000000" w:themeColor="text1"/>
          <w:sz w:val="24"/>
        </w:rPr>
        <w:t>w Polsce (GUS)</w:t>
      </w:r>
      <w:bookmarkEnd w:id="205"/>
      <w:bookmarkEnd w:id="206"/>
    </w:p>
    <w:p w14:paraId="41060260" w14:textId="2649D7B1" w:rsidR="00357088" w:rsidRPr="009B78DA" w:rsidRDefault="00B743C4" w:rsidP="00DE7D98">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Celem „Badania pilotażowego zachowań komunikacyjnych ludności w Polsce” było uzyskanie danych o przewozach pasażerów, średnim czasie trwania podróży i średniej odległości przewozu 1 pasażera różnymi środkami transportu dla Polski ogółem i według województw (N</w:t>
      </w:r>
      <w:r w:rsidR="00422DE0" w:rsidRPr="009B78DA">
        <w:rPr>
          <w:rFonts w:ascii="Arial" w:hAnsi="Arial" w:cs="Arial"/>
          <w:color w:val="000000" w:themeColor="text1"/>
          <w:sz w:val="22"/>
          <w:szCs w:val="22"/>
        </w:rPr>
        <w:t>U</w:t>
      </w:r>
      <w:r w:rsidRPr="009B78DA">
        <w:rPr>
          <w:rFonts w:ascii="Arial" w:hAnsi="Arial" w:cs="Arial"/>
          <w:color w:val="000000" w:themeColor="text1"/>
          <w:sz w:val="22"/>
          <w:szCs w:val="22"/>
        </w:rPr>
        <w:t xml:space="preserve">TS 2) oraz miast wojewódzkich. Praca powstała w ramach Projektu „Wsparcie systemu monitorowania polityki spójności w perspektywie finansowej 2007-2013 oraz programowania i monitorowania polityki spójności w perspektywie finansowej </w:t>
      </w:r>
      <w:r w:rsidR="00967E6A">
        <w:rPr>
          <w:rFonts w:ascii="Arial" w:hAnsi="Arial" w:cs="Arial"/>
          <w:color w:val="000000" w:themeColor="text1"/>
          <w:sz w:val="22"/>
          <w:szCs w:val="22"/>
        </w:rPr>
        <w:br/>
      </w:r>
      <w:r w:rsidRPr="009B78DA">
        <w:rPr>
          <w:rFonts w:ascii="Arial" w:hAnsi="Arial" w:cs="Arial"/>
          <w:color w:val="000000" w:themeColor="text1"/>
          <w:sz w:val="22"/>
          <w:szCs w:val="22"/>
        </w:rPr>
        <w:t>2014-2020” i została zrealizowana na podstawie umowy pomiędzy Głównym Urzędem Statystycznym z siedzibą w Warszawie a Centrum Badań i Edukacji Statystyczn</w:t>
      </w:r>
      <w:r w:rsidR="00967E6A">
        <w:rPr>
          <w:rFonts w:ascii="Arial" w:hAnsi="Arial" w:cs="Arial"/>
          <w:color w:val="000000" w:themeColor="text1"/>
          <w:sz w:val="22"/>
          <w:szCs w:val="22"/>
        </w:rPr>
        <w:t xml:space="preserve">ej GUS </w:t>
      </w:r>
      <w:r w:rsidR="00967E6A">
        <w:rPr>
          <w:rFonts w:ascii="Arial" w:hAnsi="Arial" w:cs="Arial"/>
          <w:color w:val="000000" w:themeColor="text1"/>
          <w:sz w:val="22"/>
          <w:szCs w:val="22"/>
        </w:rPr>
        <w:br/>
        <w:t xml:space="preserve">z siedzibą </w:t>
      </w:r>
      <w:r w:rsidR="00357088" w:rsidRPr="009B78DA">
        <w:rPr>
          <w:rFonts w:ascii="Arial" w:hAnsi="Arial" w:cs="Arial"/>
          <w:color w:val="000000" w:themeColor="text1"/>
          <w:sz w:val="22"/>
          <w:szCs w:val="22"/>
        </w:rPr>
        <w:t>w Jachrance</w:t>
      </w:r>
      <w:r w:rsidR="000D5044" w:rsidRPr="009B78DA">
        <w:rPr>
          <w:rStyle w:val="Odwoanieprzypisudolnego"/>
          <w:rFonts w:ascii="Arial" w:hAnsi="Arial" w:cs="Arial"/>
          <w:color w:val="000000" w:themeColor="text1"/>
          <w:sz w:val="22"/>
          <w:szCs w:val="22"/>
        </w:rPr>
        <w:footnoteReference w:id="21"/>
      </w:r>
      <w:r w:rsidR="00357088" w:rsidRPr="009B78DA">
        <w:rPr>
          <w:rFonts w:ascii="Arial" w:hAnsi="Arial" w:cs="Arial"/>
          <w:color w:val="000000" w:themeColor="text1"/>
          <w:sz w:val="22"/>
          <w:szCs w:val="22"/>
        </w:rPr>
        <w:t>.</w:t>
      </w:r>
    </w:p>
    <w:p w14:paraId="1E95EC3A" w14:textId="1B1440A4" w:rsidR="00B743C4" w:rsidRPr="009B78DA" w:rsidRDefault="00B743C4" w:rsidP="00DE7D98">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Jak wskazują autorzy opracowania, je</w:t>
      </w:r>
      <w:r w:rsidR="00357088" w:rsidRPr="009B78DA">
        <w:rPr>
          <w:rFonts w:ascii="Arial" w:hAnsi="Arial" w:cs="Arial"/>
          <w:color w:val="000000" w:themeColor="text1"/>
          <w:sz w:val="22"/>
          <w:szCs w:val="22"/>
        </w:rPr>
        <w:t>go wyniki umożliwiają analizę:</w:t>
      </w:r>
    </w:p>
    <w:p w14:paraId="78942E41" w14:textId="45C6FBC7" w:rsidR="00B743C4" w:rsidRPr="009B78DA" w:rsidRDefault="00B743C4" w:rsidP="00DE7D98">
      <w:pPr>
        <w:pStyle w:val="Akapitzlist"/>
        <w:numPr>
          <w:ilvl w:val="0"/>
          <w:numId w:val="66"/>
        </w:numPr>
        <w:spacing w:before="12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zachowań komunikacyjnych ludności</w:t>
      </w:r>
      <w:r w:rsidR="00EB106E"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w:t>
      </w:r>
      <w:r w:rsidR="00EB106E"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przewozów pasażerów (w pasażerach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i pasażerokilometrach) w podziale na cele (motywy) podejmowania podróży i sposoby odbywania podróży (tj. rodzaje środków transportu, w tym transport niezmotoryzowany);</w:t>
      </w:r>
    </w:p>
    <w:p w14:paraId="67BF74DD" w14:textId="77777777" w:rsidR="00B743C4" w:rsidRPr="009B78DA" w:rsidRDefault="00B743C4" w:rsidP="00DE7D98">
      <w:pPr>
        <w:pStyle w:val="Akapitzlist"/>
        <w:numPr>
          <w:ilvl w:val="0"/>
          <w:numId w:val="66"/>
        </w:numPr>
        <w:spacing w:before="12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poziomu wskaźnika ruchliwości komunikacyjnej ludności według motywów podejmowania podróży ogólnego oraz w dni powszednie i dni weekendowe;</w:t>
      </w:r>
    </w:p>
    <w:p w14:paraId="36F328DD" w14:textId="77777777" w:rsidR="00B743C4" w:rsidRPr="009B78DA" w:rsidRDefault="00B743C4" w:rsidP="00DE7D98">
      <w:pPr>
        <w:pStyle w:val="Akapitzlist"/>
        <w:numPr>
          <w:ilvl w:val="0"/>
          <w:numId w:val="66"/>
        </w:numPr>
        <w:spacing w:before="12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ustalenie średniego czasu trwania podróży (w minutach) z uwzględnieniem sposobu odbywania podróży i ich odległości (w kilometrach);</w:t>
      </w:r>
    </w:p>
    <w:p w14:paraId="29737350" w14:textId="77777777" w:rsidR="00B743C4" w:rsidRPr="009B78DA" w:rsidRDefault="00B743C4" w:rsidP="00DE7D98">
      <w:pPr>
        <w:pStyle w:val="Akapitzlist"/>
        <w:numPr>
          <w:ilvl w:val="0"/>
          <w:numId w:val="66"/>
        </w:numPr>
        <w:spacing w:before="120"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udziału publicznego transportu zbiorowego w ogólnych przewozach pasażerskich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w podziale na rodzaje środków transportu (w pasażerach i pasażerokilometrach);</w:t>
      </w:r>
    </w:p>
    <w:p w14:paraId="4D1B9369" w14:textId="75EE17C5" w:rsidR="00357088" w:rsidRPr="009B78DA" w:rsidRDefault="00B743C4" w:rsidP="00DE7D98">
      <w:pPr>
        <w:pStyle w:val="Akapitzlist"/>
        <w:numPr>
          <w:ilvl w:val="0"/>
          <w:numId w:val="66"/>
        </w:numPr>
        <w:spacing w:before="120"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przebiegów samochodów osobowych według stref odległości w podziale na dni powszednie i dni</w:t>
      </w:r>
      <w:r w:rsidR="000D5044" w:rsidRPr="009B78DA">
        <w:rPr>
          <w:rFonts w:ascii="Arial" w:hAnsi="Arial" w:cs="Arial"/>
          <w:color w:val="000000" w:themeColor="text1"/>
          <w:sz w:val="22"/>
          <w:szCs w:val="22"/>
        </w:rPr>
        <w:t xml:space="preserve"> weekendowe oraz cele podróży</w:t>
      </w:r>
      <w:r w:rsidR="00814268" w:rsidRPr="009B78DA">
        <w:rPr>
          <w:rFonts w:ascii="Arial" w:hAnsi="Arial" w:cs="Arial"/>
          <w:color w:val="000000" w:themeColor="text1"/>
          <w:sz w:val="22"/>
          <w:szCs w:val="22"/>
        </w:rPr>
        <w:t>.</w:t>
      </w:r>
    </w:p>
    <w:p w14:paraId="232CE510" w14:textId="106B3935" w:rsidR="00834476" w:rsidRPr="009B78DA" w:rsidRDefault="00B743C4" w:rsidP="00DE7D98">
      <w:pPr>
        <w:spacing w:before="120"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Badanie prowadzone było metodą reprezentacyjną na wylosowanej próbie 18 tys. mieszkań (tab. </w:t>
      </w:r>
      <w:r w:rsidR="009C00D5" w:rsidRPr="009B78DA">
        <w:rPr>
          <w:rFonts w:ascii="Arial" w:hAnsi="Arial" w:cs="Arial"/>
          <w:color w:val="000000" w:themeColor="text1"/>
          <w:sz w:val="22"/>
          <w:szCs w:val="22"/>
        </w:rPr>
        <w:t>10</w:t>
      </w:r>
      <w:r w:rsidRPr="009B78DA">
        <w:rPr>
          <w:rFonts w:ascii="Arial" w:hAnsi="Arial" w:cs="Arial"/>
          <w:color w:val="000000" w:themeColor="text1"/>
          <w:sz w:val="22"/>
          <w:szCs w:val="22"/>
        </w:rPr>
        <w:t>) na terenie całego kraju i miało charakter dobrowolnych badań anonimowych. Ostatecznie wywiady zrealizowano w 13551 mieszkaniach, w tym 55</w:t>
      </w:r>
      <w:r w:rsidR="00357088" w:rsidRPr="009B78DA">
        <w:rPr>
          <w:rFonts w:ascii="Arial" w:hAnsi="Arial" w:cs="Arial"/>
          <w:color w:val="000000" w:themeColor="text1"/>
          <w:sz w:val="22"/>
          <w:szCs w:val="22"/>
        </w:rPr>
        <w:t xml:space="preserve">,3% </w:t>
      </w:r>
      <w:r w:rsidR="00236D6D" w:rsidRPr="009B78DA">
        <w:rPr>
          <w:rFonts w:ascii="Arial" w:hAnsi="Arial" w:cs="Arial"/>
          <w:color w:val="000000" w:themeColor="text1"/>
          <w:sz w:val="22"/>
          <w:szCs w:val="22"/>
        </w:rPr>
        <w:br/>
      </w:r>
      <w:r w:rsidR="00357088" w:rsidRPr="009B78DA">
        <w:rPr>
          <w:rFonts w:ascii="Arial" w:hAnsi="Arial" w:cs="Arial"/>
          <w:color w:val="000000" w:themeColor="text1"/>
          <w:sz w:val="22"/>
          <w:szCs w:val="22"/>
        </w:rPr>
        <w:t>w ramach próby zasadniczej.</w:t>
      </w:r>
      <w:bookmarkStart w:id="207" w:name="_Hlk84591447"/>
    </w:p>
    <w:p w14:paraId="033CCD0E" w14:textId="4A977A73" w:rsidR="006B0084" w:rsidRPr="009B78DA" w:rsidRDefault="006B0084" w:rsidP="00DE7D98">
      <w:pPr>
        <w:pStyle w:val="Legenda"/>
        <w:keepNext/>
        <w:spacing w:line="288" w:lineRule="auto"/>
        <w:rPr>
          <w:rFonts w:ascii="Arial" w:hAnsi="Arial" w:cs="Arial"/>
          <w:i w:val="0"/>
          <w:color w:val="000000" w:themeColor="text1"/>
          <w:sz w:val="22"/>
          <w:szCs w:val="22"/>
        </w:rPr>
      </w:pPr>
      <w:bookmarkStart w:id="208" w:name="_Toc146785740"/>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10</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Wylosowane jednostki losowania pierwszego i drugiego stopnia</w:t>
      </w:r>
      <w:bookmarkEnd w:id="208"/>
    </w:p>
    <w:tbl>
      <w:tblPr>
        <w:tblStyle w:val="Tabela-Siatka"/>
        <w:tblW w:w="5000" w:type="pct"/>
        <w:tblLook w:val="04A0" w:firstRow="1" w:lastRow="0" w:firstColumn="1" w:lastColumn="0" w:noHBand="0" w:noVBand="1"/>
        <w:tblCaption w:val="Tabela 10 Wylosowane jednostki losowania pierwszego i drugiego stopnia"/>
        <w:tblDescription w:val="Tabela zaiwera Województwa, Liczba JPS, Liczba mieszkań w próbie zasadniczej, Liczba mieszkań w próbie rezerwowej"/>
      </w:tblPr>
      <w:tblGrid>
        <w:gridCol w:w="1699"/>
        <w:gridCol w:w="1203"/>
        <w:gridCol w:w="3101"/>
        <w:gridCol w:w="3059"/>
      </w:tblGrid>
      <w:tr w:rsidR="006F4FD2" w:rsidRPr="009B78DA" w14:paraId="18DBD920" w14:textId="77777777" w:rsidTr="00FD7A9B">
        <w:trPr>
          <w:tblHeader/>
        </w:trPr>
        <w:tc>
          <w:tcPr>
            <w:tcW w:w="937" w:type="pct"/>
            <w:shd w:val="clear" w:color="auto" w:fill="DEEAF6" w:themeFill="accent1" w:themeFillTint="33"/>
            <w:vAlign w:val="center"/>
          </w:tcPr>
          <w:p w14:paraId="16BCECBA" w14:textId="77777777" w:rsidR="000D5044" w:rsidRPr="009B78DA" w:rsidRDefault="000D5044" w:rsidP="00967E6A">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Województwa </w:t>
            </w:r>
          </w:p>
        </w:tc>
        <w:tc>
          <w:tcPr>
            <w:tcW w:w="664" w:type="pct"/>
            <w:shd w:val="clear" w:color="auto" w:fill="DEEAF6" w:themeFill="accent1" w:themeFillTint="33"/>
            <w:vAlign w:val="center"/>
          </w:tcPr>
          <w:p w14:paraId="68D261A0" w14:textId="77777777" w:rsidR="000D5044" w:rsidRPr="009B78DA" w:rsidRDefault="000D5044" w:rsidP="00967E6A">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Liczba JPS</w:t>
            </w:r>
          </w:p>
        </w:tc>
        <w:tc>
          <w:tcPr>
            <w:tcW w:w="1711" w:type="pct"/>
            <w:shd w:val="clear" w:color="auto" w:fill="DEEAF6" w:themeFill="accent1" w:themeFillTint="33"/>
            <w:vAlign w:val="center"/>
          </w:tcPr>
          <w:p w14:paraId="69F830F5" w14:textId="77777777" w:rsidR="000D5044" w:rsidRPr="009B78DA" w:rsidRDefault="000D5044" w:rsidP="00967E6A">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Liczba mieszkań w próbie zasadniczej</w:t>
            </w:r>
          </w:p>
        </w:tc>
        <w:tc>
          <w:tcPr>
            <w:tcW w:w="1688" w:type="pct"/>
            <w:shd w:val="clear" w:color="auto" w:fill="DEEAF6" w:themeFill="accent1" w:themeFillTint="33"/>
            <w:vAlign w:val="center"/>
          </w:tcPr>
          <w:p w14:paraId="717B0E2D" w14:textId="77777777" w:rsidR="000D5044" w:rsidRPr="009B78DA" w:rsidRDefault="000D5044" w:rsidP="00967E6A">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Liczba mieszkań w próbie rezerwowej</w:t>
            </w:r>
          </w:p>
        </w:tc>
      </w:tr>
      <w:tr w:rsidR="006F4FD2" w:rsidRPr="009B78DA" w14:paraId="562B38D5" w14:textId="77777777" w:rsidTr="00FD7A9B">
        <w:tc>
          <w:tcPr>
            <w:tcW w:w="937" w:type="pct"/>
            <w:vAlign w:val="center"/>
          </w:tcPr>
          <w:p w14:paraId="45254F01" w14:textId="7F46E752" w:rsidR="000D5044" w:rsidRPr="009B78DA" w:rsidRDefault="000D5044" w:rsidP="00967E6A">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Polska</w:t>
            </w:r>
          </w:p>
        </w:tc>
        <w:tc>
          <w:tcPr>
            <w:tcW w:w="664" w:type="pct"/>
            <w:vAlign w:val="center"/>
          </w:tcPr>
          <w:p w14:paraId="4354C3E9" w14:textId="77777777" w:rsidR="000D5044" w:rsidRPr="009B78DA" w:rsidRDefault="000D5044" w:rsidP="00967E6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6000</w:t>
            </w:r>
          </w:p>
        </w:tc>
        <w:tc>
          <w:tcPr>
            <w:tcW w:w="1711" w:type="pct"/>
            <w:vAlign w:val="center"/>
          </w:tcPr>
          <w:p w14:paraId="25ECA6BA" w14:textId="77777777" w:rsidR="000D5044" w:rsidRPr="009B78DA" w:rsidRDefault="000D5044" w:rsidP="00967E6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18000</w:t>
            </w:r>
          </w:p>
        </w:tc>
        <w:tc>
          <w:tcPr>
            <w:tcW w:w="1688" w:type="pct"/>
            <w:vAlign w:val="center"/>
          </w:tcPr>
          <w:p w14:paraId="02C4E253" w14:textId="77777777" w:rsidR="000D5044" w:rsidRPr="009B78DA" w:rsidRDefault="000D5044" w:rsidP="00967E6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36000</w:t>
            </w:r>
          </w:p>
        </w:tc>
      </w:tr>
      <w:tr w:rsidR="006F4FD2" w:rsidRPr="009B78DA" w14:paraId="040A932B" w14:textId="77777777" w:rsidTr="00FD7A9B">
        <w:tc>
          <w:tcPr>
            <w:tcW w:w="937" w:type="pct"/>
            <w:vAlign w:val="center"/>
          </w:tcPr>
          <w:p w14:paraId="53302370" w14:textId="5E25415A" w:rsidR="000D5044" w:rsidRPr="009B78DA" w:rsidRDefault="000D5044" w:rsidP="00967E6A">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Podkarpackie</w:t>
            </w:r>
          </w:p>
        </w:tc>
        <w:tc>
          <w:tcPr>
            <w:tcW w:w="664" w:type="pct"/>
            <w:vAlign w:val="center"/>
          </w:tcPr>
          <w:p w14:paraId="78CC6B48" w14:textId="77777777" w:rsidR="000D5044" w:rsidRPr="009B78DA" w:rsidRDefault="000D5044" w:rsidP="00967E6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278</w:t>
            </w:r>
          </w:p>
        </w:tc>
        <w:tc>
          <w:tcPr>
            <w:tcW w:w="1711" w:type="pct"/>
            <w:vAlign w:val="center"/>
          </w:tcPr>
          <w:p w14:paraId="553CA310" w14:textId="77777777" w:rsidR="000D5044" w:rsidRPr="009B78DA" w:rsidRDefault="000D5044" w:rsidP="00967E6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834</w:t>
            </w:r>
          </w:p>
        </w:tc>
        <w:tc>
          <w:tcPr>
            <w:tcW w:w="1688" w:type="pct"/>
            <w:vAlign w:val="center"/>
          </w:tcPr>
          <w:p w14:paraId="12488B09" w14:textId="77777777" w:rsidR="000D5044" w:rsidRPr="009B78DA" w:rsidRDefault="000D5044" w:rsidP="00967E6A">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1668</w:t>
            </w:r>
          </w:p>
        </w:tc>
      </w:tr>
    </w:tbl>
    <w:bookmarkEnd w:id="207"/>
    <w:p w14:paraId="24BC8342" w14:textId="5C5FC0DF" w:rsidR="000D5044" w:rsidRPr="009B78DA" w:rsidRDefault="000D5044" w:rsidP="00F45E35">
      <w:pPr>
        <w:spacing w:before="120" w:after="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Źródło: Badanie pilotażowe zachowań komunikacyjnych ludności w Polsce (GUS, 2015)</w:t>
      </w:r>
      <w:r w:rsidR="003351B8" w:rsidRPr="009B78DA">
        <w:rPr>
          <w:rFonts w:ascii="Arial" w:hAnsi="Arial" w:cs="Arial"/>
          <w:color w:val="000000" w:themeColor="text1"/>
          <w:sz w:val="22"/>
          <w:szCs w:val="22"/>
        </w:rPr>
        <w:t>.</w:t>
      </w:r>
    </w:p>
    <w:p w14:paraId="522AC426" w14:textId="4E90F68E" w:rsidR="00A45818" w:rsidRPr="009B78DA" w:rsidRDefault="000D5044" w:rsidP="00A45818">
      <w:pPr>
        <w:spacing w:before="120" w:after="0" w:line="276" w:lineRule="auto"/>
        <w:ind w:firstLine="709"/>
        <w:jc w:val="both"/>
        <w:rPr>
          <w:rFonts w:ascii="Arial" w:hAnsi="Arial" w:cs="Arial"/>
          <w:color w:val="000000" w:themeColor="text1"/>
          <w:sz w:val="22"/>
          <w:szCs w:val="22"/>
        </w:rPr>
      </w:pPr>
      <w:r w:rsidRPr="009B78DA">
        <w:rPr>
          <w:rFonts w:ascii="Arial" w:hAnsi="Arial" w:cs="Arial"/>
          <w:color w:val="000000" w:themeColor="text1"/>
          <w:sz w:val="22"/>
          <w:szCs w:val="22"/>
        </w:rPr>
        <w:t>Badanie GUS, jako jedyne jak do tej pory w kraju, daje możliwości porównań międzywojewódzkich. Na potrzeby PSRT W</w:t>
      </w:r>
      <w:r w:rsidR="00814268" w:rsidRPr="009B78DA">
        <w:rPr>
          <w:rFonts w:ascii="Arial" w:hAnsi="Arial" w:cs="Arial"/>
          <w:color w:val="000000" w:themeColor="text1"/>
          <w:sz w:val="22"/>
          <w:szCs w:val="22"/>
        </w:rPr>
        <w:t>P</w:t>
      </w:r>
      <w:r w:rsidRPr="009B78DA">
        <w:rPr>
          <w:rFonts w:ascii="Arial" w:hAnsi="Arial" w:cs="Arial"/>
          <w:color w:val="000000" w:themeColor="text1"/>
          <w:sz w:val="22"/>
          <w:szCs w:val="22"/>
        </w:rPr>
        <w:t xml:space="preserve"> wzięto pod uwagę kilka wybranych tabel porównując dane dotyczące motywacji podróży, pracy przewozowej oraz średnich długości podróży na poziomie ogólnokrajowym i województwa podkarpackiego.</w:t>
      </w:r>
      <w:r w:rsidR="00A45818" w:rsidRPr="009B78DA">
        <w:rPr>
          <w:rFonts w:ascii="Arial" w:hAnsi="Arial" w:cs="Arial"/>
          <w:color w:val="000000" w:themeColor="text1"/>
          <w:sz w:val="22"/>
          <w:szCs w:val="22"/>
        </w:rPr>
        <w:br w:type="page"/>
      </w:r>
    </w:p>
    <w:p w14:paraId="107F3268" w14:textId="01C73437" w:rsidR="00A45818" w:rsidRPr="009B78DA" w:rsidRDefault="00A45818" w:rsidP="00A45818">
      <w:pPr>
        <w:spacing w:before="120" w:line="276" w:lineRule="auto"/>
        <w:jc w:val="both"/>
        <w:rPr>
          <w:rFonts w:ascii="Arial" w:hAnsi="Arial" w:cs="Arial"/>
          <w:color w:val="000000" w:themeColor="text1"/>
          <w:sz w:val="22"/>
          <w:szCs w:val="22"/>
        </w:rPr>
        <w:sectPr w:rsidR="00A45818" w:rsidRPr="009B78DA" w:rsidSect="00931866">
          <w:pgSz w:w="11906" w:h="16838"/>
          <w:pgMar w:top="1417" w:right="1417" w:bottom="1417" w:left="1417" w:header="708" w:footer="708" w:gutter="0"/>
          <w:cols w:space="708"/>
          <w:docGrid w:linePitch="360"/>
        </w:sectPr>
      </w:pPr>
    </w:p>
    <w:p w14:paraId="7FBB63A1" w14:textId="327F4D9D" w:rsidR="00A45818" w:rsidRPr="00FD7A9B" w:rsidRDefault="00A45818" w:rsidP="00FD7A9B">
      <w:pPr>
        <w:ind w:firstLine="709"/>
        <w:rPr>
          <w:color w:val="000000" w:themeColor="text1"/>
        </w:rPr>
      </w:pPr>
      <w:r w:rsidRPr="009B78DA">
        <w:rPr>
          <w:rFonts w:ascii="Arial" w:hAnsi="Arial" w:cs="Arial"/>
          <w:b/>
          <w:color w:val="000000" w:themeColor="text1"/>
          <w:sz w:val="22"/>
          <w:szCs w:val="22"/>
        </w:rPr>
        <w:t>Motywacje podróży.</w:t>
      </w:r>
      <w:r w:rsidRPr="009B78DA">
        <w:rPr>
          <w:rFonts w:ascii="Arial" w:hAnsi="Arial" w:cs="Arial"/>
          <w:color w:val="000000" w:themeColor="text1"/>
          <w:sz w:val="22"/>
          <w:szCs w:val="22"/>
        </w:rPr>
        <w:t xml:space="preserve"> Udziały poszczególnych motywacji podroży są bardzo zbliżone między wynikami na poziomie województwa podkarpackiego </w:t>
      </w:r>
      <w:r w:rsidR="009C00D5"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a wynikami dla całego kraju. Nieco więcej na Podkarpaciu jest podróży realizowanych w celu realizacji potrzeb osobistych, a nieco mniej podróży wykonywanych w celach zakupowych. Dużo mnie jest natomiast podróży służbowych. Dominują podobnie jak w skali całego kraju (23,8%) dojazdy do pracy. Tym samym, przy wyłączeniu powrotów do domu, niemalże co druga podróż jest realizowana w tej motywacji. Druga najważniejszą motywacją podróży są zakupy, a trzecią – realizacja potrzeb osobistych. Z badania GUS wynika, że dojazdy do szkół i uczelni stanowią jedynie 3,9% podróży, co jest dość niskim udziałem, przynajmniej w porównaniu do większości kompleksowych badań ruchu realizowanych na poziomie miast i aglomeracji (tab. </w:t>
      </w:r>
      <w:r w:rsidR="009C00D5" w:rsidRPr="009B78DA">
        <w:rPr>
          <w:rFonts w:ascii="Arial" w:hAnsi="Arial" w:cs="Arial"/>
          <w:color w:val="000000" w:themeColor="text1"/>
          <w:sz w:val="22"/>
          <w:szCs w:val="22"/>
        </w:rPr>
        <w:t>11</w:t>
      </w:r>
      <w:r w:rsidRPr="009B78DA">
        <w:rPr>
          <w:rFonts w:ascii="Arial" w:hAnsi="Arial" w:cs="Arial"/>
          <w:color w:val="000000" w:themeColor="text1"/>
          <w:sz w:val="22"/>
          <w:szCs w:val="22"/>
        </w:rPr>
        <w:t>)</w:t>
      </w:r>
      <w:r w:rsidR="00814268" w:rsidRPr="009B78DA">
        <w:rPr>
          <w:rFonts w:ascii="Arial" w:hAnsi="Arial" w:cs="Arial"/>
          <w:color w:val="000000" w:themeColor="text1"/>
          <w:sz w:val="22"/>
          <w:szCs w:val="22"/>
        </w:rPr>
        <w:t>.</w:t>
      </w:r>
    </w:p>
    <w:p w14:paraId="220BA529" w14:textId="0B090283" w:rsidR="006A0E5B" w:rsidRPr="009B78DA" w:rsidRDefault="006A0E5B" w:rsidP="00FD7A9B">
      <w:pPr>
        <w:pStyle w:val="Legenda"/>
        <w:keepNext/>
        <w:rPr>
          <w:rFonts w:ascii="Arial" w:hAnsi="Arial" w:cs="Arial"/>
          <w:i w:val="0"/>
          <w:color w:val="000000" w:themeColor="text1"/>
          <w:sz w:val="22"/>
          <w:szCs w:val="22"/>
        </w:rPr>
      </w:pPr>
      <w:bookmarkStart w:id="209" w:name="_Toc146785741"/>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Udział % rocznej liczby podróży według wybranych celów podróży</w:t>
      </w:r>
      <w:bookmarkEnd w:id="209"/>
    </w:p>
    <w:tbl>
      <w:tblPr>
        <w:tblStyle w:val="Tabela-Siatka"/>
        <w:tblW w:w="5000" w:type="pct"/>
        <w:tblLook w:val="04A0" w:firstRow="1" w:lastRow="0" w:firstColumn="1" w:lastColumn="0" w:noHBand="0" w:noVBand="1"/>
        <w:tblCaption w:val="Tabela 11 Udział % rocznej liczby podróży według wybranych celów podróży"/>
        <w:tblDescription w:val="Tabela zawiera WOJEWÓDZTWA Ogółem w %, dojazdy do pracy w %, podróże służbowe w %, dojazdy do szkół uczelni w %, spędzanie wolnego czasu w %, zakupy w %, potrzeby osobiste w %, powroty do domu w %"/>
      </w:tblPr>
      <w:tblGrid>
        <w:gridCol w:w="2037"/>
        <w:gridCol w:w="1256"/>
        <w:gridCol w:w="1699"/>
        <w:gridCol w:w="1843"/>
        <w:gridCol w:w="1825"/>
        <w:gridCol w:w="2016"/>
        <w:gridCol w:w="1182"/>
        <w:gridCol w:w="1791"/>
        <w:gridCol w:w="1739"/>
      </w:tblGrid>
      <w:tr w:rsidR="006F4FD2" w:rsidRPr="009B78DA" w14:paraId="7BFABFD7" w14:textId="77777777" w:rsidTr="009D2847">
        <w:trPr>
          <w:tblHeader/>
        </w:trPr>
        <w:tc>
          <w:tcPr>
            <w:tcW w:w="662" w:type="pct"/>
            <w:shd w:val="clear" w:color="auto" w:fill="DEEAF6" w:themeFill="accent1" w:themeFillTint="33"/>
            <w:vAlign w:val="center"/>
          </w:tcPr>
          <w:p w14:paraId="54205870" w14:textId="77777777" w:rsidR="00043850" w:rsidRPr="009B78DA" w:rsidRDefault="00043850" w:rsidP="00FD7A9B">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WOJEWÓDZTWA </w:t>
            </w:r>
          </w:p>
        </w:tc>
        <w:tc>
          <w:tcPr>
            <w:tcW w:w="408" w:type="pct"/>
            <w:shd w:val="clear" w:color="auto" w:fill="DEEAF6" w:themeFill="accent1" w:themeFillTint="33"/>
            <w:vAlign w:val="center"/>
          </w:tcPr>
          <w:p w14:paraId="77ED973A" w14:textId="77777777" w:rsidR="00043850" w:rsidRPr="009B78DA" w:rsidRDefault="00043850" w:rsidP="00FD7A9B">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Ogółem w % </w:t>
            </w:r>
          </w:p>
        </w:tc>
        <w:tc>
          <w:tcPr>
            <w:tcW w:w="552" w:type="pct"/>
            <w:shd w:val="clear" w:color="auto" w:fill="DEEAF6" w:themeFill="accent1" w:themeFillTint="33"/>
            <w:vAlign w:val="center"/>
          </w:tcPr>
          <w:p w14:paraId="70CF8467" w14:textId="77777777" w:rsidR="00043850" w:rsidRPr="009B78DA" w:rsidRDefault="00043850" w:rsidP="00FD7A9B">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dojazdy do pracy w %</w:t>
            </w:r>
          </w:p>
        </w:tc>
        <w:tc>
          <w:tcPr>
            <w:tcW w:w="599" w:type="pct"/>
            <w:shd w:val="clear" w:color="auto" w:fill="DEEAF6" w:themeFill="accent1" w:themeFillTint="33"/>
            <w:vAlign w:val="center"/>
          </w:tcPr>
          <w:p w14:paraId="641758D4" w14:textId="77777777" w:rsidR="00043850" w:rsidRPr="009B78DA" w:rsidRDefault="00043850" w:rsidP="00FD7A9B">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podróże służbowe w %</w:t>
            </w:r>
          </w:p>
        </w:tc>
        <w:tc>
          <w:tcPr>
            <w:tcW w:w="593" w:type="pct"/>
            <w:shd w:val="clear" w:color="auto" w:fill="DEEAF6" w:themeFill="accent1" w:themeFillTint="33"/>
            <w:vAlign w:val="center"/>
          </w:tcPr>
          <w:p w14:paraId="6EB7AF21" w14:textId="27974ED9" w:rsidR="00043850" w:rsidRPr="009B78DA" w:rsidRDefault="00043850" w:rsidP="00FD7A9B">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dojazdy do szkół uczelni </w:t>
            </w:r>
            <w:r w:rsidR="00FD7A9B">
              <w:rPr>
                <w:rFonts w:ascii="Arial" w:hAnsi="Arial" w:cs="Arial"/>
                <w:b/>
                <w:bCs/>
                <w:color w:val="000000" w:themeColor="text1"/>
                <w:sz w:val="22"/>
                <w:szCs w:val="22"/>
              </w:rPr>
              <w:br/>
            </w:r>
            <w:r w:rsidRPr="009B78DA">
              <w:rPr>
                <w:rFonts w:ascii="Arial" w:hAnsi="Arial" w:cs="Arial"/>
                <w:b/>
                <w:bCs/>
                <w:color w:val="000000" w:themeColor="text1"/>
                <w:sz w:val="22"/>
                <w:szCs w:val="22"/>
              </w:rPr>
              <w:t>w %</w:t>
            </w:r>
          </w:p>
        </w:tc>
        <w:tc>
          <w:tcPr>
            <w:tcW w:w="655" w:type="pct"/>
            <w:shd w:val="clear" w:color="auto" w:fill="DEEAF6" w:themeFill="accent1" w:themeFillTint="33"/>
            <w:vAlign w:val="center"/>
          </w:tcPr>
          <w:p w14:paraId="17C67755" w14:textId="12454B05" w:rsidR="00043850" w:rsidRPr="009B78DA" w:rsidRDefault="00043850" w:rsidP="00FD7A9B">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spędzanie wolnego czasu </w:t>
            </w:r>
            <w:r w:rsidR="00FD7A9B">
              <w:rPr>
                <w:rFonts w:ascii="Arial" w:hAnsi="Arial" w:cs="Arial"/>
                <w:b/>
                <w:bCs/>
                <w:color w:val="000000" w:themeColor="text1"/>
                <w:sz w:val="22"/>
                <w:szCs w:val="22"/>
              </w:rPr>
              <w:br/>
            </w:r>
            <w:r w:rsidRPr="009B78DA">
              <w:rPr>
                <w:rFonts w:ascii="Arial" w:hAnsi="Arial" w:cs="Arial"/>
                <w:b/>
                <w:bCs/>
                <w:color w:val="000000" w:themeColor="text1"/>
                <w:sz w:val="22"/>
                <w:szCs w:val="22"/>
              </w:rPr>
              <w:t>w %</w:t>
            </w:r>
          </w:p>
        </w:tc>
        <w:tc>
          <w:tcPr>
            <w:tcW w:w="384" w:type="pct"/>
            <w:shd w:val="clear" w:color="auto" w:fill="DEEAF6" w:themeFill="accent1" w:themeFillTint="33"/>
            <w:vAlign w:val="center"/>
          </w:tcPr>
          <w:p w14:paraId="33DCB28D" w14:textId="77777777" w:rsidR="00043850" w:rsidRPr="009B78DA" w:rsidRDefault="00043850" w:rsidP="00FD7A9B">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zakupy w %</w:t>
            </w:r>
          </w:p>
        </w:tc>
        <w:tc>
          <w:tcPr>
            <w:tcW w:w="582" w:type="pct"/>
            <w:shd w:val="clear" w:color="auto" w:fill="DEEAF6" w:themeFill="accent1" w:themeFillTint="33"/>
            <w:vAlign w:val="center"/>
          </w:tcPr>
          <w:p w14:paraId="34BA8751" w14:textId="77777777" w:rsidR="00043850" w:rsidRPr="009B78DA" w:rsidRDefault="00043850" w:rsidP="00FD7A9B">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potrzeby osobiste w %</w:t>
            </w:r>
          </w:p>
        </w:tc>
        <w:tc>
          <w:tcPr>
            <w:tcW w:w="565" w:type="pct"/>
            <w:shd w:val="clear" w:color="auto" w:fill="DEEAF6" w:themeFill="accent1" w:themeFillTint="33"/>
            <w:vAlign w:val="center"/>
          </w:tcPr>
          <w:p w14:paraId="72E5FBD3" w14:textId="77777777" w:rsidR="00043850" w:rsidRPr="009B78DA" w:rsidRDefault="00043850" w:rsidP="00FD7A9B">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powroty do domu w %</w:t>
            </w:r>
          </w:p>
        </w:tc>
      </w:tr>
      <w:tr w:rsidR="006F4FD2" w:rsidRPr="009B78DA" w14:paraId="0817CC84" w14:textId="77777777" w:rsidTr="009D2847">
        <w:tc>
          <w:tcPr>
            <w:tcW w:w="662" w:type="pct"/>
            <w:vAlign w:val="center"/>
          </w:tcPr>
          <w:p w14:paraId="5D9E946A" w14:textId="1C725C8E" w:rsidR="00043850" w:rsidRPr="009B78DA" w:rsidRDefault="00043850" w:rsidP="00455CD8">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POLSKA</w:t>
            </w:r>
          </w:p>
        </w:tc>
        <w:tc>
          <w:tcPr>
            <w:tcW w:w="408" w:type="pct"/>
            <w:vAlign w:val="center"/>
          </w:tcPr>
          <w:p w14:paraId="27B08359" w14:textId="6A5584CE"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52" w:type="pct"/>
            <w:vAlign w:val="center"/>
          </w:tcPr>
          <w:p w14:paraId="39ABA2D5" w14:textId="6DD4CF24"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23,8</w:t>
            </w:r>
          </w:p>
        </w:tc>
        <w:tc>
          <w:tcPr>
            <w:tcW w:w="599" w:type="pct"/>
            <w:vAlign w:val="center"/>
          </w:tcPr>
          <w:p w14:paraId="08929362" w14:textId="181B7F08"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0,5</w:t>
            </w:r>
          </w:p>
        </w:tc>
        <w:tc>
          <w:tcPr>
            <w:tcW w:w="593" w:type="pct"/>
            <w:vAlign w:val="center"/>
          </w:tcPr>
          <w:p w14:paraId="7A2CCD72" w14:textId="71E51F8F"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3,9</w:t>
            </w:r>
          </w:p>
        </w:tc>
        <w:tc>
          <w:tcPr>
            <w:tcW w:w="655" w:type="pct"/>
            <w:vAlign w:val="center"/>
          </w:tcPr>
          <w:p w14:paraId="23D28D1F" w14:textId="7DF89FFD"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3,6</w:t>
            </w:r>
          </w:p>
        </w:tc>
        <w:tc>
          <w:tcPr>
            <w:tcW w:w="384" w:type="pct"/>
            <w:vAlign w:val="center"/>
          </w:tcPr>
          <w:p w14:paraId="5F7C97BB" w14:textId="461EB49B"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10,2</w:t>
            </w:r>
          </w:p>
        </w:tc>
        <w:tc>
          <w:tcPr>
            <w:tcW w:w="582" w:type="pct"/>
            <w:vAlign w:val="center"/>
          </w:tcPr>
          <w:p w14:paraId="49D5C6FC" w14:textId="2303765A"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5,1</w:t>
            </w:r>
          </w:p>
        </w:tc>
        <w:tc>
          <w:tcPr>
            <w:tcW w:w="565" w:type="pct"/>
            <w:vAlign w:val="center"/>
          </w:tcPr>
          <w:p w14:paraId="293F9A86" w14:textId="56E01E94"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49,2</w:t>
            </w:r>
          </w:p>
        </w:tc>
      </w:tr>
      <w:tr w:rsidR="006F4FD2" w:rsidRPr="009B78DA" w14:paraId="57F6CBD2" w14:textId="77777777" w:rsidTr="009D2847">
        <w:tc>
          <w:tcPr>
            <w:tcW w:w="662" w:type="pct"/>
            <w:vAlign w:val="center"/>
          </w:tcPr>
          <w:p w14:paraId="140DA285" w14:textId="6F020355" w:rsidR="00043850" w:rsidRPr="009B78DA" w:rsidRDefault="00043850" w:rsidP="00455CD8">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Podkarpackie</w:t>
            </w:r>
          </w:p>
        </w:tc>
        <w:tc>
          <w:tcPr>
            <w:tcW w:w="408" w:type="pct"/>
            <w:vAlign w:val="center"/>
          </w:tcPr>
          <w:p w14:paraId="6A20957E" w14:textId="3B46BF7A"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52" w:type="pct"/>
            <w:vAlign w:val="center"/>
          </w:tcPr>
          <w:p w14:paraId="7F13E00E" w14:textId="242C7EDE"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23,8</w:t>
            </w:r>
          </w:p>
        </w:tc>
        <w:tc>
          <w:tcPr>
            <w:tcW w:w="599" w:type="pct"/>
            <w:vAlign w:val="center"/>
          </w:tcPr>
          <w:p w14:paraId="38877EC2" w14:textId="5A0BD26E"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0,1</w:t>
            </w:r>
          </w:p>
        </w:tc>
        <w:tc>
          <w:tcPr>
            <w:tcW w:w="593" w:type="pct"/>
            <w:vAlign w:val="center"/>
          </w:tcPr>
          <w:p w14:paraId="4116B41D" w14:textId="1294A041"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3,9</w:t>
            </w:r>
          </w:p>
        </w:tc>
        <w:tc>
          <w:tcPr>
            <w:tcW w:w="655" w:type="pct"/>
            <w:vAlign w:val="center"/>
          </w:tcPr>
          <w:p w14:paraId="1F089BFF" w14:textId="6AD48C5E"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3,2</w:t>
            </w:r>
          </w:p>
        </w:tc>
        <w:tc>
          <w:tcPr>
            <w:tcW w:w="384" w:type="pct"/>
            <w:vAlign w:val="center"/>
          </w:tcPr>
          <w:p w14:paraId="285548D9" w14:textId="7719D92C"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9,8</w:t>
            </w:r>
          </w:p>
        </w:tc>
        <w:tc>
          <w:tcPr>
            <w:tcW w:w="582" w:type="pct"/>
            <w:vAlign w:val="center"/>
          </w:tcPr>
          <w:p w14:paraId="6AD8840C" w14:textId="35AD63E6"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5,8</w:t>
            </w:r>
          </w:p>
        </w:tc>
        <w:tc>
          <w:tcPr>
            <w:tcW w:w="565" w:type="pct"/>
            <w:vAlign w:val="center"/>
          </w:tcPr>
          <w:p w14:paraId="0F4EAAB0" w14:textId="57DE2C38" w:rsidR="00043850" w:rsidRPr="009B78DA" w:rsidRDefault="00043850"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49,2</w:t>
            </w:r>
          </w:p>
        </w:tc>
      </w:tr>
    </w:tbl>
    <w:p w14:paraId="31F625BC" w14:textId="6F5645F6" w:rsidR="00043850" w:rsidRPr="009B78DA" w:rsidRDefault="00043850" w:rsidP="009D2847">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Źródło: Badanie pilotażowe zachowań komunikacyjnych ludności w Polsce (GUS, 2015)</w:t>
      </w:r>
      <w:r w:rsidR="00640A11" w:rsidRPr="009B78DA">
        <w:rPr>
          <w:rFonts w:ascii="Arial" w:hAnsi="Arial" w:cs="Arial"/>
          <w:color w:val="000000" w:themeColor="text1"/>
          <w:sz w:val="22"/>
          <w:szCs w:val="22"/>
        </w:rPr>
        <w:t>.</w:t>
      </w:r>
    </w:p>
    <w:p w14:paraId="4B126D18" w14:textId="2DE0B94D" w:rsidR="000D5044" w:rsidRPr="009B78DA" w:rsidRDefault="00043850" w:rsidP="009D2847">
      <w:pPr>
        <w:spacing w:before="120" w:after="120" w:line="276" w:lineRule="auto"/>
        <w:ind w:firstLine="709"/>
        <w:rPr>
          <w:rFonts w:ascii="Arial" w:hAnsi="Arial" w:cs="Arial"/>
          <w:color w:val="000000" w:themeColor="text1"/>
          <w:sz w:val="22"/>
          <w:szCs w:val="22"/>
        </w:rPr>
      </w:pPr>
      <w:r w:rsidRPr="009B78DA">
        <w:rPr>
          <w:rFonts w:ascii="Arial" w:hAnsi="Arial" w:cs="Arial"/>
          <w:b/>
          <w:color w:val="000000" w:themeColor="text1"/>
          <w:sz w:val="22"/>
          <w:szCs w:val="22"/>
        </w:rPr>
        <w:t>Praca przewozowa.</w:t>
      </w:r>
      <w:r w:rsidRPr="009B78DA">
        <w:rPr>
          <w:rFonts w:ascii="Arial" w:hAnsi="Arial" w:cs="Arial"/>
          <w:color w:val="000000" w:themeColor="text1"/>
          <w:sz w:val="22"/>
          <w:szCs w:val="22"/>
        </w:rPr>
        <w:t xml:space="preserve"> W modelu ruchu dla regionu podkarpackiego mogą być przydatne łączne wartości pracy przewozowej w przewozie osób według sposobu odbywania podróży. W celu ewentualnych porównań z całym krajem uwzględniono również wyniki na poziomie ogólnokrajowym (tab. </w:t>
      </w:r>
      <w:r w:rsidR="009C00D5" w:rsidRPr="009B78DA">
        <w:rPr>
          <w:rFonts w:ascii="Arial" w:hAnsi="Arial" w:cs="Arial"/>
          <w:color w:val="000000" w:themeColor="text1"/>
          <w:sz w:val="22"/>
          <w:szCs w:val="22"/>
        </w:rPr>
        <w:t>12</w:t>
      </w:r>
      <w:r w:rsidRPr="009B78DA">
        <w:rPr>
          <w:rFonts w:ascii="Arial" w:hAnsi="Arial" w:cs="Arial"/>
          <w:color w:val="000000" w:themeColor="text1"/>
          <w:sz w:val="22"/>
          <w:szCs w:val="22"/>
        </w:rPr>
        <w:t xml:space="preserve">). Co interesujące, wyniki pokazują, że udział osób dojeżdżających do pracy samochodem osobowym jest w województwie podkarpackim najwyższy w skali kraju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i sięga niemalże 75%. Jest to o tyle zaskakujące, że tradycyjnie dobrze rozwinięty w Polsce południowo-wschodniej jest transport autobusowy. Zauważalne są też w badaniu GUS duże różnice między Podkarpaciem i Małopolską. W tym drugim regionie udział dojeżdżających do pracy samochodem osobowym jest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z koeli relatywnie niski (ok. 62%).</w:t>
      </w:r>
    </w:p>
    <w:p w14:paraId="1276F939" w14:textId="73B20639" w:rsidR="006A0E5B" w:rsidRPr="009B78DA" w:rsidRDefault="006A0E5B" w:rsidP="009D2847">
      <w:pPr>
        <w:pStyle w:val="Legenda"/>
        <w:keepNext/>
        <w:rPr>
          <w:rFonts w:ascii="Arial" w:hAnsi="Arial" w:cs="Arial"/>
          <w:i w:val="0"/>
          <w:color w:val="000000" w:themeColor="text1"/>
          <w:sz w:val="22"/>
          <w:szCs w:val="22"/>
        </w:rPr>
      </w:pPr>
      <w:bookmarkStart w:id="210" w:name="_Toc146785742"/>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Praca przewozowa przy przewozie osób według sposobów odbywania podróży według województw w tysiącach pasażerokilometrów</w:t>
      </w:r>
      <w:bookmarkEnd w:id="210"/>
    </w:p>
    <w:tbl>
      <w:tblPr>
        <w:tblStyle w:val="Tabela-Siatka"/>
        <w:tblW w:w="5000" w:type="pct"/>
        <w:tblLook w:val="04A0" w:firstRow="1" w:lastRow="0" w:firstColumn="1" w:lastColumn="0" w:noHBand="0" w:noVBand="1"/>
        <w:tblCaption w:val="Tabela 12 Praca przewozowa przy przewozie osób według sposobów odbywania podróży według województw w tysiącach pasażerokilometrów"/>
        <w:tblDescription w:val="Tabela zawiera WOJEWÓDZTWA, ogółem transport niezmotoryzowany, zmotoryzowany razem, Samochodowe osobowe, Publiczny transport zbiorowy razem, Publiczny transport zbiorowy w tym komunikacja autobusowa zamiejska "/>
      </w:tblPr>
      <w:tblGrid>
        <w:gridCol w:w="2143"/>
        <w:gridCol w:w="1623"/>
        <w:gridCol w:w="2208"/>
        <w:gridCol w:w="2062"/>
        <w:gridCol w:w="2065"/>
        <w:gridCol w:w="1997"/>
        <w:gridCol w:w="3290"/>
      </w:tblGrid>
      <w:tr w:rsidR="006F4FD2" w:rsidRPr="009B78DA" w14:paraId="4B93410F" w14:textId="77777777" w:rsidTr="009D2847">
        <w:trPr>
          <w:tblHeader/>
        </w:trPr>
        <w:tc>
          <w:tcPr>
            <w:tcW w:w="696" w:type="pct"/>
            <w:shd w:val="clear" w:color="auto" w:fill="DEEAF6" w:themeFill="accent1" w:themeFillTint="33"/>
            <w:vAlign w:val="center"/>
          </w:tcPr>
          <w:p w14:paraId="428A8101" w14:textId="77777777" w:rsidR="00D34FBC" w:rsidRPr="009B78DA" w:rsidRDefault="00D34FBC" w:rsidP="009D2847">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WOJEWÓDZTWA </w:t>
            </w:r>
          </w:p>
        </w:tc>
        <w:tc>
          <w:tcPr>
            <w:tcW w:w="527" w:type="pct"/>
            <w:shd w:val="clear" w:color="auto" w:fill="DEEAF6" w:themeFill="accent1" w:themeFillTint="33"/>
            <w:vAlign w:val="center"/>
          </w:tcPr>
          <w:p w14:paraId="5683EC1D" w14:textId="77777777" w:rsidR="00D34FBC" w:rsidRPr="009B78DA" w:rsidRDefault="00D34FBC" w:rsidP="009D2847">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ogółem </w:t>
            </w:r>
          </w:p>
        </w:tc>
        <w:tc>
          <w:tcPr>
            <w:tcW w:w="717" w:type="pct"/>
            <w:shd w:val="clear" w:color="auto" w:fill="DEEAF6" w:themeFill="accent1" w:themeFillTint="33"/>
            <w:vAlign w:val="center"/>
          </w:tcPr>
          <w:p w14:paraId="1E05EBD4" w14:textId="77777777" w:rsidR="00D34FBC" w:rsidRPr="009B78DA" w:rsidRDefault="00D34FBC" w:rsidP="009D2847">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transport niezmotoryzowany</w:t>
            </w:r>
          </w:p>
        </w:tc>
        <w:tc>
          <w:tcPr>
            <w:tcW w:w="670" w:type="pct"/>
            <w:shd w:val="clear" w:color="auto" w:fill="DEEAF6" w:themeFill="accent1" w:themeFillTint="33"/>
            <w:vAlign w:val="center"/>
          </w:tcPr>
          <w:p w14:paraId="6434EEF1" w14:textId="77777777" w:rsidR="00D34FBC" w:rsidRPr="009B78DA" w:rsidRDefault="00D34FBC" w:rsidP="009D2847">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zmotoryzowany razem </w:t>
            </w:r>
          </w:p>
        </w:tc>
        <w:tc>
          <w:tcPr>
            <w:tcW w:w="671" w:type="pct"/>
            <w:shd w:val="clear" w:color="auto" w:fill="DEEAF6" w:themeFill="accent1" w:themeFillTint="33"/>
            <w:vAlign w:val="center"/>
          </w:tcPr>
          <w:p w14:paraId="5DBF85F7" w14:textId="77777777" w:rsidR="00D34FBC" w:rsidRPr="009B78DA" w:rsidRDefault="00D34FBC" w:rsidP="009D2847">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samochodowe osobowe</w:t>
            </w:r>
          </w:p>
        </w:tc>
        <w:tc>
          <w:tcPr>
            <w:tcW w:w="649" w:type="pct"/>
            <w:shd w:val="clear" w:color="auto" w:fill="DEEAF6" w:themeFill="accent1" w:themeFillTint="33"/>
            <w:vAlign w:val="center"/>
          </w:tcPr>
          <w:p w14:paraId="17833C95" w14:textId="77777777" w:rsidR="00D34FBC" w:rsidRPr="009B78DA" w:rsidRDefault="00D34FBC" w:rsidP="009D2847">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publiczny transport zbiorowy razem</w:t>
            </w:r>
          </w:p>
        </w:tc>
        <w:tc>
          <w:tcPr>
            <w:tcW w:w="1069" w:type="pct"/>
            <w:shd w:val="clear" w:color="auto" w:fill="DEEAF6" w:themeFill="accent1" w:themeFillTint="33"/>
            <w:vAlign w:val="center"/>
          </w:tcPr>
          <w:p w14:paraId="20B7F087" w14:textId="77777777" w:rsidR="00D34FBC" w:rsidRPr="009B78DA" w:rsidRDefault="00D34FBC" w:rsidP="009D2847">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publiczny transport zbiorowy w tym komunikacja autobusowa zamiejska </w:t>
            </w:r>
          </w:p>
        </w:tc>
      </w:tr>
      <w:tr w:rsidR="006F4FD2" w:rsidRPr="009B78DA" w14:paraId="2CEAEE93" w14:textId="77777777" w:rsidTr="009D2847">
        <w:tc>
          <w:tcPr>
            <w:tcW w:w="696" w:type="pct"/>
            <w:vAlign w:val="center"/>
          </w:tcPr>
          <w:p w14:paraId="6B33CA5E" w14:textId="01534CFE" w:rsidR="00D34FBC" w:rsidRPr="009B78DA" w:rsidRDefault="00D34FBC" w:rsidP="00455CD8">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POLSKA</w:t>
            </w:r>
          </w:p>
        </w:tc>
        <w:tc>
          <w:tcPr>
            <w:tcW w:w="527" w:type="pct"/>
            <w:vAlign w:val="center"/>
          </w:tcPr>
          <w:p w14:paraId="3CE763E5" w14:textId="73BD6E48"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198 704 176</w:t>
            </w:r>
          </w:p>
        </w:tc>
        <w:tc>
          <w:tcPr>
            <w:tcW w:w="717" w:type="pct"/>
            <w:vAlign w:val="center"/>
          </w:tcPr>
          <w:p w14:paraId="13F029D3" w14:textId="453CC155"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9 516 773</w:t>
            </w:r>
          </w:p>
        </w:tc>
        <w:tc>
          <w:tcPr>
            <w:tcW w:w="670" w:type="pct"/>
            <w:vAlign w:val="center"/>
          </w:tcPr>
          <w:p w14:paraId="7F815120" w14:textId="46D1C4F4"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188 913 041</w:t>
            </w:r>
          </w:p>
        </w:tc>
        <w:tc>
          <w:tcPr>
            <w:tcW w:w="671" w:type="pct"/>
            <w:vAlign w:val="center"/>
          </w:tcPr>
          <w:p w14:paraId="1F1231C9" w14:textId="787D8DC4"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136 210 121</w:t>
            </w:r>
          </w:p>
        </w:tc>
        <w:tc>
          <w:tcPr>
            <w:tcW w:w="649" w:type="pct"/>
            <w:vAlign w:val="center"/>
          </w:tcPr>
          <w:p w14:paraId="180CBAEC" w14:textId="03B4A333"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44 412 395</w:t>
            </w:r>
          </w:p>
        </w:tc>
        <w:tc>
          <w:tcPr>
            <w:tcW w:w="1069" w:type="pct"/>
            <w:vAlign w:val="center"/>
          </w:tcPr>
          <w:p w14:paraId="3B6BAD7A" w14:textId="43E58CE8"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15 635 301</w:t>
            </w:r>
          </w:p>
        </w:tc>
      </w:tr>
      <w:tr w:rsidR="006F4FD2" w:rsidRPr="009B78DA" w14:paraId="3D07832D" w14:textId="77777777" w:rsidTr="009D2847">
        <w:tc>
          <w:tcPr>
            <w:tcW w:w="696" w:type="pct"/>
            <w:vAlign w:val="center"/>
          </w:tcPr>
          <w:p w14:paraId="4BCF3B4B" w14:textId="585B6EA8" w:rsidR="00D34FBC" w:rsidRPr="009B78DA" w:rsidRDefault="00D34FBC" w:rsidP="00455CD8">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Podkarpackie</w:t>
            </w:r>
          </w:p>
        </w:tc>
        <w:tc>
          <w:tcPr>
            <w:tcW w:w="527" w:type="pct"/>
            <w:vAlign w:val="center"/>
          </w:tcPr>
          <w:p w14:paraId="6822876F" w14:textId="46B0FCB8"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9 200 545</w:t>
            </w:r>
          </w:p>
        </w:tc>
        <w:tc>
          <w:tcPr>
            <w:tcW w:w="717" w:type="pct"/>
            <w:vAlign w:val="center"/>
          </w:tcPr>
          <w:p w14:paraId="0FB28957" w14:textId="0EDC08F2"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378 848</w:t>
            </w:r>
          </w:p>
        </w:tc>
        <w:tc>
          <w:tcPr>
            <w:tcW w:w="670" w:type="pct"/>
            <w:vAlign w:val="center"/>
          </w:tcPr>
          <w:p w14:paraId="4F4B842E" w14:textId="2A4FE72F"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8 818 099</w:t>
            </w:r>
          </w:p>
        </w:tc>
        <w:tc>
          <w:tcPr>
            <w:tcW w:w="671" w:type="pct"/>
            <w:vAlign w:val="center"/>
          </w:tcPr>
          <w:p w14:paraId="1F1AADAF" w14:textId="5664C38D"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6 801 538</w:t>
            </w:r>
          </w:p>
        </w:tc>
        <w:tc>
          <w:tcPr>
            <w:tcW w:w="649" w:type="pct"/>
            <w:vAlign w:val="center"/>
          </w:tcPr>
          <w:p w14:paraId="5D85C54D" w14:textId="72AECB04"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1 872 270</w:t>
            </w:r>
          </w:p>
        </w:tc>
        <w:tc>
          <w:tcPr>
            <w:tcW w:w="1069" w:type="pct"/>
            <w:vAlign w:val="center"/>
          </w:tcPr>
          <w:p w14:paraId="6FEEF3AF" w14:textId="36AF4DA4" w:rsidR="00D34FBC" w:rsidRPr="009B78DA" w:rsidRDefault="00D34FBC"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1 224 105</w:t>
            </w:r>
          </w:p>
        </w:tc>
      </w:tr>
    </w:tbl>
    <w:p w14:paraId="64401FE6" w14:textId="5BC6D4B8" w:rsidR="00367ABE" w:rsidRPr="009B78DA" w:rsidRDefault="00367ABE" w:rsidP="00CF1943">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Źródło: Badanie pilotażowe zachowań komunikacyjnych ludności w Polsce (GUS, 2015)</w:t>
      </w:r>
      <w:r w:rsidR="00640A11" w:rsidRPr="009B78DA">
        <w:rPr>
          <w:rFonts w:ascii="Arial" w:hAnsi="Arial" w:cs="Arial"/>
          <w:color w:val="000000" w:themeColor="text1"/>
          <w:sz w:val="22"/>
          <w:szCs w:val="22"/>
        </w:rPr>
        <w:t>.</w:t>
      </w:r>
    </w:p>
    <w:p w14:paraId="0B14B07F" w14:textId="6B139063" w:rsidR="00367ABE" w:rsidRPr="009B78DA" w:rsidRDefault="00367ABE" w:rsidP="00CF1943">
      <w:pPr>
        <w:spacing w:before="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Polsce 97,6% podróży jest realizowane wewnątrz województwa. W województwie podkarpackim wskaźnik jest nawet wyższy i wynosi w świetle badania GUS 97,9%. Pozostałe podróże są realizowane z/do innych województw, natomiast przyjazdy z zagranicy i wyjazdy za granicę są w regionie marginalne (0,0%). W ujęciu pracy przewozowej (pasażerokilometry) w ujęciu procentowym w Polsce 17,9% to przejazdy międzywojewódzkie, a 4,0% przez granicę Polski. Na Podkarpaciu – odpowiednio 14,3% i 2,3%. Oznacza to, że w ujęciu pracy przewozowej region jest relatywnie bardziej „hermetyczny” niż reszta kraju i ogromna większość przewozów jest realizowana w ramach województwa.</w:t>
      </w:r>
    </w:p>
    <w:p w14:paraId="33C3A7DE" w14:textId="0C5E56C1" w:rsidR="00D34FBC" w:rsidRPr="009B78DA" w:rsidRDefault="00367ABE" w:rsidP="00CF1943">
      <w:pPr>
        <w:spacing w:before="120" w:after="120" w:line="276" w:lineRule="auto"/>
        <w:ind w:firstLine="709"/>
        <w:rPr>
          <w:rFonts w:ascii="Arial" w:hAnsi="Arial" w:cs="Arial"/>
          <w:color w:val="000000" w:themeColor="text1"/>
          <w:sz w:val="22"/>
          <w:szCs w:val="22"/>
        </w:rPr>
      </w:pPr>
      <w:r w:rsidRPr="009B78DA">
        <w:rPr>
          <w:rFonts w:ascii="Arial" w:hAnsi="Arial" w:cs="Arial"/>
          <w:b/>
          <w:color w:val="000000" w:themeColor="text1"/>
          <w:sz w:val="22"/>
          <w:szCs w:val="22"/>
        </w:rPr>
        <w:t>Długości podróży.</w:t>
      </w:r>
      <w:r w:rsidRPr="009B78DA">
        <w:rPr>
          <w:rFonts w:ascii="Arial" w:hAnsi="Arial" w:cs="Arial"/>
          <w:color w:val="000000" w:themeColor="text1"/>
          <w:sz w:val="22"/>
          <w:szCs w:val="22"/>
        </w:rPr>
        <w:t xml:space="preserve"> Średnie odległości przewozu osób w województwie podkarpackim są znacznie krótsze niż w pozostałych regionach kraju. Szczególnie wyraźna różnica jest w transporcie indywidualnym, gdzie średnia odległość przewozu w województwie podkarpackim jest krótsza niż </w:t>
      </w:r>
      <w:r w:rsidR="00CF1943">
        <w:rPr>
          <w:rFonts w:ascii="Arial" w:hAnsi="Arial" w:cs="Arial"/>
          <w:color w:val="000000" w:themeColor="text1"/>
          <w:sz w:val="22"/>
          <w:szCs w:val="22"/>
        </w:rPr>
        <w:br/>
      </w:r>
      <w:r w:rsidRPr="009B78DA">
        <w:rPr>
          <w:rFonts w:ascii="Arial" w:hAnsi="Arial" w:cs="Arial"/>
          <w:color w:val="000000" w:themeColor="text1"/>
          <w:sz w:val="22"/>
          <w:szCs w:val="22"/>
        </w:rPr>
        <w:t>w transporcie publicznym co jest sytuacją odwrotną niż na dla całego kraju, gdzie przewozy samochodami osobowymi są znacznie dłuższe niż przewozy transportem publicznym.</w:t>
      </w:r>
    </w:p>
    <w:p w14:paraId="24073631" w14:textId="55742EC4" w:rsidR="002A0FCB" w:rsidRPr="009B78DA" w:rsidRDefault="002A0FCB" w:rsidP="00CF1943">
      <w:pPr>
        <w:pStyle w:val="Legenda"/>
        <w:keepNext/>
        <w:rPr>
          <w:rFonts w:ascii="Arial" w:hAnsi="Arial" w:cs="Arial"/>
          <w:i w:val="0"/>
          <w:color w:val="000000" w:themeColor="text1"/>
          <w:sz w:val="22"/>
          <w:szCs w:val="22"/>
        </w:rPr>
      </w:pPr>
      <w:bookmarkStart w:id="211" w:name="_Toc146785743"/>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Przewozy osób według sposobów odbywania podróży w województwach</w:t>
      </w:r>
      <w:bookmarkEnd w:id="211"/>
    </w:p>
    <w:tbl>
      <w:tblPr>
        <w:tblStyle w:val="Tabela-Siatka"/>
        <w:tblW w:w="15588" w:type="dxa"/>
        <w:tblLayout w:type="fixed"/>
        <w:tblLook w:val="04A0" w:firstRow="1" w:lastRow="0" w:firstColumn="1" w:lastColumn="0" w:noHBand="0" w:noVBand="1"/>
        <w:tblCaption w:val="Tabela 10. Przewozy osób według sposobów odbywania podróży w województwach"/>
        <w:tblDescription w:val="Tabela zawiera WOJEWÓDZTWA, Ogółem tys. osób, Ogółem średnia odległość przewozu 1 osoby w km, Transport niezmotoryzowany tys. osób, Transport niezmotoryzowany średnia odległość przewozu 1 osoby w km, Zmotoryzowany razem tys. osób, Zmotoryzowany razem średnia odległość przewozu 1 osoby w km, Samochodowe osobowe tys. osób, Samochodowe osobowe średnia odległość przewozu 1 osoby w km, Publiczny transport zbiorowy tys. osób, Publiczny transport zbiorowy średnia odległość przewozu 1 osoby w km"/>
      </w:tblPr>
      <w:tblGrid>
        <w:gridCol w:w="1271"/>
        <w:gridCol w:w="1276"/>
        <w:gridCol w:w="1269"/>
        <w:gridCol w:w="1566"/>
        <w:gridCol w:w="1701"/>
        <w:gridCol w:w="1417"/>
        <w:gridCol w:w="1843"/>
        <w:gridCol w:w="1134"/>
        <w:gridCol w:w="1559"/>
        <w:gridCol w:w="1276"/>
        <w:gridCol w:w="1276"/>
      </w:tblGrid>
      <w:tr w:rsidR="006F4FD2" w:rsidRPr="009B78DA" w14:paraId="33B9C04D" w14:textId="77777777" w:rsidTr="00CF1943">
        <w:trPr>
          <w:cantSplit/>
          <w:trHeight w:val="1134"/>
          <w:tblHeader/>
        </w:trPr>
        <w:tc>
          <w:tcPr>
            <w:tcW w:w="1271" w:type="dxa"/>
            <w:shd w:val="clear" w:color="auto" w:fill="DEEAF6" w:themeFill="accent1" w:themeFillTint="33"/>
            <w:vAlign w:val="center"/>
          </w:tcPr>
          <w:p w14:paraId="018B859D" w14:textId="77777777" w:rsidR="00367ABE" w:rsidRPr="009B78DA" w:rsidRDefault="00367ABE" w:rsidP="00CF1943">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WOJEWÓDZTWA</w:t>
            </w:r>
          </w:p>
        </w:tc>
        <w:tc>
          <w:tcPr>
            <w:tcW w:w="1276" w:type="dxa"/>
            <w:shd w:val="clear" w:color="auto" w:fill="DEEAF6" w:themeFill="accent1" w:themeFillTint="33"/>
            <w:vAlign w:val="center"/>
          </w:tcPr>
          <w:p w14:paraId="6091939A" w14:textId="77777777" w:rsidR="00367ABE" w:rsidRPr="009B78DA" w:rsidRDefault="003D180C" w:rsidP="00CF1943">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O</w:t>
            </w:r>
            <w:r w:rsidR="00367ABE" w:rsidRPr="009B78DA">
              <w:rPr>
                <w:rFonts w:ascii="Arial" w:hAnsi="Arial" w:cs="Arial"/>
                <w:b/>
                <w:bCs/>
                <w:color w:val="000000" w:themeColor="text1"/>
                <w:sz w:val="22"/>
                <w:szCs w:val="22"/>
              </w:rPr>
              <w:t>gółem</w:t>
            </w:r>
            <w:r w:rsidRPr="009B78DA">
              <w:rPr>
                <w:rFonts w:ascii="Arial" w:hAnsi="Arial" w:cs="Arial"/>
                <w:b/>
                <w:bCs/>
                <w:color w:val="000000" w:themeColor="text1"/>
                <w:sz w:val="22"/>
                <w:szCs w:val="22"/>
              </w:rPr>
              <w:t xml:space="preserve"> tys. osób</w:t>
            </w:r>
          </w:p>
        </w:tc>
        <w:tc>
          <w:tcPr>
            <w:tcW w:w="1269" w:type="dxa"/>
            <w:shd w:val="clear" w:color="auto" w:fill="DEEAF6" w:themeFill="accent1" w:themeFillTint="33"/>
            <w:vAlign w:val="center"/>
          </w:tcPr>
          <w:p w14:paraId="4BD8644C" w14:textId="77777777" w:rsidR="00367ABE" w:rsidRPr="009B78DA" w:rsidRDefault="003D180C" w:rsidP="00CF1943">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O</w:t>
            </w:r>
            <w:r w:rsidR="00367ABE" w:rsidRPr="009B78DA">
              <w:rPr>
                <w:rFonts w:ascii="Arial" w:hAnsi="Arial" w:cs="Arial"/>
                <w:b/>
                <w:bCs/>
                <w:color w:val="000000" w:themeColor="text1"/>
                <w:sz w:val="22"/>
                <w:szCs w:val="22"/>
              </w:rPr>
              <w:t>gółem</w:t>
            </w:r>
            <w:r w:rsidRPr="009B78DA">
              <w:rPr>
                <w:rFonts w:ascii="Arial" w:hAnsi="Arial" w:cs="Arial"/>
                <w:b/>
                <w:bCs/>
                <w:color w:val="000000" w:themeColor="text1"/>
                <w:sz w:val="22"/>
                <w:szCs w:val="22"/>
              </w:rPr>
              <w:t xml:space="preserve"> średnia odległość przewozu 1 osoby </w:t>
            </w:r>
            <w:r w:rsidR="00725FD6" w:rsidRPr="009B78DA">
              <w:rPr>
                <w:rFonts w:ascii="Arial" w:hAnsi="Arial" w:cs="Arial"/>
                <w:b/>
                <w:bCs/>
                <w:color w:val="000000" w:themeColor="text1"/>
                <w:sz w:val="22"/>
                <w:szCs w:val="22"/>
              </w:rPr>
              <w:br/>
            </w:r>
            <w:r w:rsidRPr="009B78DA">
              <w:rPr>
                <w:rFonts w:ascii="Arial" w:hAnsi="Arial" w:cs="Arial"/>
                <w:b/>
                <w:bCs/>
                <w:color w:val="000000" w:themeColor="text1"/>
                <w:sz w:val="22"/>
                <w:szCs w:val="22"/>
              </w:rPr>
              <w:t>w km</w:t>
            </w:r>
          </w:p>
        </w:tc>
        <w:tc>
          <w:tcPr>
            <w:tcW w:w="1566" w:type="dxa"/>
            <w:shd w:val="clear" w:color="auto" w:fill="DEEAF6" w:themeFill="accent1" w:themeFillTint="33"/>
            <w:vAlign w:val="center"/>
          </w:tcPr>
          <w:p w14:paraId="478C8563" w14:textId="77777777" w:rsidR="00367ABE" w:rsidRPr="009B78DA" w:rsidRDefault="00367ABE" w:rsidP="00CF1943">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Transport niezmotoryzowany</w:t>
            </w:r>
            <w:r w:rsidR="003D180C" w:rsidRPr="009B78DA">
              <w:rPr>
                <w:rFonts w:ascii="Arial" w:hAnsi="Arial" w:cs="Arial"/>
                <w:b/>
                <w:bCs/>
                <w:color w:val="000000" w:themeColor="text1"/>
                <w:sz w:val="22"/>
                <w:szCs w:val="22"/>
              </w:rPr>
              <w:t xml:space="preserve"> tys. osób</w:t>
            </w:r>
          </w:p>
        </w:tc>
        <w:tc>
          <w:tcPr>
            <w:tcW w:w="1701" w:type="dxa"/>
            <w:shd w:val="clear" w:color="auto" w:fill="DEEAF6" w:themeFill="accent1" w:themeFillTint="33"/>
            <w:vAlign w:val="center"/>
          </w:tcPr>
          <w:p w14:paraId="74E5EF45" w14:textId="77777777" w:rsidR="00367ABE" w:rsidRPr="009B78DA" w:rsidRDefault="00367ABE" w:rsidP="00CF1943">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Transport niezmotoryzowany </w:t>
            </w:r>
            <w:r w:rsidR="003D180C" w:rsidRPr="009B78DA">
              <w:rPr>
                <w:rFonts w:ascii="Arial" w:hAnsi="Arial" w:cs="Arial"/>
                <w:b/>
                <w:bCs/>
                <w:color w:val="000000" w:themeColor="text1"/>
                <w:sz w:val="22"/>
                <w:szCs w:val="22"/>
              </w:rPr>
              <w:t>średnia odległość przewozu 1 osoby w km</w:t>
            </w:r>
          </w:p>
        </w:tc>
        <w:tc>
          <w:tcPr>
            <w:tcW w:w="1417" w:type="dxa"/>
            <w:shd w:val="clear" w:color="auto" w:fill="DEEAF6" w:themeFill="accent1" w:themeFillTint="33"/>
            <w:vAlign w:val="center"/>
          </w:tcPr>
          <w:p w14:paraId="34190EC5" w14:textId="77777777" w:rsidR="00367ABE" w:rsidRPr="009B78DA" w:rsidRDefault="00367ABE" w:rsidP="00CF1943">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Zmotoryzowany razem</w:t>
            </w:r>
            <w:r w:rsidR="003D180C" w:rsidRPr="009B78DA">
              <w:rPr>
                <w:rFonts w:ascii="Arial" w:hAnsi="Arial" w:cs="Arial"/>
                <w:b/>
                <w:bCs/>
                <w:color w:val="000000" w:themeColor="text1"/>
                <w:sz w:val="22"/>
                <w:szCs w:val="22"/>
              </w:rPr>
              <w:t xml:space="preserve"> tys. osób</w:t>
            </w:r>
          </w:p>
        </w:tc>
        <w:tc>
          <w:tcPr>
            <w:tcW w:w="1843" w:type="dxa"/>
            <w:shd w:val="clear" w:color="auto" w:fill="DEEAF6" w:themeFill="accent1" w:themeFillTint="33"/>
            <w:vAlign w:val="center"/>
          </w:tcPr>
          <w:p w14:paraId="40587A33" w14:textId="77777777" w:rsidR="00367ABE" w:rsidRPr="009B78DA" w:rsidRDefault="00367ABE" w:rsidP="00CF1943">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Zmotoryzowany razem</w:t>
            </w:r>
            <w:r w:rsidR="003D180C" w:rsidRPr="009B78DA">
              <w:rPr>
                <w:rFonts w:ascii="Arial" w:hAnsi="Arial" w:cs="Arial"/>
                <w:b/>
                <w:bCs/>
                <w:color w:val="000000" w:themeColor="text1"/>
                <w:sz w:val="22"/>
                <w:szCs w:val="22"/>
              </w:rPr>
              <w:t xml:space="preserve"> średnia odległość przewozu 1 osoby w km</w:t>
            </w:r>
          </w:p>
        </w:tc>
        <w:tc>
          <w:tcPr>
            <w:tcW w:w="1134" w:type="dxa"/>
            <w:shd w:val="clear" w:color="auto" w:fill="DEEAF6" w:themeFill="accent1" w:themeFillTint="33"/>
            <w:vAlign w:val="center"/>
          </w:tcPr>
          <w:p w14:paraId="1D54E02E" w14:textId="2FF380A1" w:rsidR="00367ABE" w:rsidRPr="009B78DA" w:rsidRDefault="00367ABE" w:rsidP="00CF1943">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Samochodowe osobowe</w:t>
            </w:r>
            <w:r w:rsidR="003D180C" w:rsidRPr="009B78DA">
              <w:rPr>
                <w:rFonts w:ascii="Arial" w:hAnsi="Arial" w:cs="Arial"/>
                <w:b/>
                <w:bCs/>
                <w:color w:val="000000" w:themeColor="text1"/>
                <w:sz w:val="22"/>
                <w:szCs w:val="22"/>
              </w:rPr>
              <w:t xml:space="preserve"> tys. osób</w:t>
            </w:r>
          </w:p>
        </w:tc>
        <w:tc>
          <w:tcPr>
            <w:tcW w:w="1559" w:type="dxa"/>
            <w:shd w:val="clear" w:color="auto" w:fill="DEEAF6" w:themeFill="accent1" w:themeFillTint="33"/>
            <w:vAlign w:val="center"/>
          </w:tcPr>
          <w:p w14:paraId="5C28FC88" w14:textId="77777777" w:rsidR="00367ABE" w:rsidRPr="009B78DA" w:rsidRDefault="00367ABE" w:rsidP="00CF1943">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Samochodowe osobowe</w:t>
            </w:r>
            <w:r w:rsidR="003D180C" w:rsidRPr="009B78DA">
              <w:rPr>
                <w:rFonts w:ascii="Arial" w:hAnsi="Arial" w:cs="Arial"/>
                <w:b/>
                <w:bCs/>
                <w:color w:val="000000" w:themeColor="text1"/>
                <w:sz w:val="22"/>
                <w:szCs w:val="22"/>
              </w:rPr>
              <w:t xml:space="preserve"> średnia odległość przewozu 1 osoby w km</w:t>
            </w:r>
          </w:p>
        </w:tc>
        <w:tc>
          <w:tcPr>
            <w:tcW w:w="1276" w:type="dxa"/>
            <w:shd w:val="clear" w:color="auto" w:fill="DEEAF6" w:themeFill="accent1" w:themeFillTint="33"/>
            <w:vAlign w:val="center"/>
          </w:tcPr>
          <w:p w14:paraId="2B6CD39C" w14:textId="77777777" w:rsidR="00367ABE" w:rsidRPr="009B78DA" w:rsidRDefault="00367ABE" w:rsidP="00CF1943">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Publiczny transport zbiorowy</w:t>
            </w:r>
            <w:r w:rsidR="003D180C" w:rsidRPr="009B78DA">
              <w:rPr>
                <w:rFonts w:ascii="Arial" w:hAnsi="Arial" w:cs="Arial"/>
                <w:b/>
                <w:bCs/>
                <w:color w:val="000000" w:themeColor="text1"/>
                <w:sz w:val="22"/>
                <w:szCs w:val="22"/>
              </w:rPr>
              <w:t xml:space="preserve"> tys. osób</w:t>
            </w:r>
          </w:p>
        </w:tc>
        <w:tc>
          <w:tcPr>
            <w:tcW w:w="1276" w:type="dxa"/>
            <w:shd w:val="clear" w:color="auto" w:fill="DEEAF6" w:themeFill="accent1" w:themeFillTint="33"/>
            <w:vAlign w:val="center"/>
          </w:tcPr>
          <w:p w14:paraId="08FED839" w14:textId="77777777" w:rsidR="00367ABE" w:rsidRPr="009B78DA" w:rsidRDefault="00367ABE" w:rsidP="00CF1943">
            <w:pPr>
              <w:spacing w:before="120"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Publiczny transport zbiorowy</w:t>
            </w:r>
            <w:r w:rsidR="003D180C" w:rsidRPr="009B78DA">
              <w:rPr>
                <w:rFonts w:ascii="Arial" w:hAnsi="Arial" w:cs="Arial"/>
                <w:b/>
                <w:bCs/>
                <w:color w:val="000000" w:themeColor="text1"/>
                <w:sz w:val="22"/>
                <w:szCs w:val="22"/>
              </w:rPr>
              <w:t xml:space="preserve"> średnia odległość przewozu 1 osoby </w:t>
            </w:r>
            <w:r w:rsidR="00725FD6" w:rsidRPr="009B78DA">
              <w:rPr>
                <w:rFonts w:ascii="Arial" w:hAnsi="Arial" w:cs="Arial"/>
                <w:b/>
                <w:bCs/>
                <w:color w:val="000000" w:themeColor="text1"/>
                <w:sz w:val="22"/>
                <w:szCs w:val="22"/>
              </w:rPr>
              <w:br/>
            </w:r>
            <w:r w:rsidR="003D180C" w:rsidRPr="009B78DA">
              <w:rPr>
                <w:rFonts w:ascii="Arial" w:hAnsi="Arial" w:cs="Arial"/>
                <w:b/>
                <w:bCs/>
                <w:color w:val="000000" w:themeColor="text1"/>
                <w:sz w:val="22"/>
                <w:szCs w:val="22"/>
              </w:rPr>
              <w:t>w km</w:t>
            </w:r>
          </w:p>
        </w:tc>
      </w:tr>
      <w:tr w:rsidR="006F4FD2" w:rsidRPr="009B78DA" w14:paraId="6FE77E19" w14:textId="77777777" w:rsidTr="00582989">
        <w:tc>
          <w:tcPr>
            <w:tcW w:w="1271" w:type="dxa"/>
            <w:vAlign w:val="center"/>
          </w:tcPr>
          <w:p w14:paraId="78130949" w14:textId="77777777" w:rsidR="00367ABE" w:rsidRPr="009B78DA" w:rsidRDefault="00367ABE" w:rsidP="00455CD8">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POLSKA</w:t>
            </w:r>
          </w:p>
        </w:tc>
        <w:tc>
          <w:tcPr>
            <w:tcW w:w="1276" w:type="dxa"/>
            <w:vAlign w:val="center"/>
          </w:tcPr>
          <w:p w14:paraId="0D582205"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13986853</w:t>
            </w:r>
          </w:p>
        </w:tc>
        <w:tc>
          <w:tcPr>
            <w:tcW w:w="1269" w:type="dxa"/>
            <w:vAlign w:val="center"/>
          </w:tcPr>
          <w:p w14:paraId="091DCDE5"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14,2</w:t>
            </w:r>
          </w:p>
        </w:tc>
        <w:tc>
          <w:tcPr>
            <w:tcW w:w="1566" w:type="dxa"/>
            <w:vAlign w:val="center"/>
          </w:tcPr>
          <w:p w14:paraId="577086E2"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3371368</w:t>
            </w:r>
          </w:p>
        </w:tc>
        <w:tc>
          <w:tcPr>
            <w:tcW w:w="1701" w:type="dxa"/>
            <w:vAlign w:val="center"/>
          </w:tcPr>
          <w:p w14:paraId="12F36AE4"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2,8</w:t>
            </w:r>
          </w:p>
        </w:tc>
        <w:tc>
          <w:tcPr>
            <w:tcW w:w="1417" w:type="dxa"/>
            <w:vAlign w:val="center"/>
          </w:tcPr>
          <w:p w14:paraId="1F5857B0"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10541946</w:t>
            </w:r>
          </w:p>
        </w:tc>
        <w:tc>
          <w:tcPr>
            <w:tcW w:w="1843" w:type="dxa"/>
            <w:vAlign w:val="center"/>
          </w:tcPr>
          <w:p w14:paraId="1B28D0E2"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17,9</w:t>
            </w:r>
          </w:p>
        </w:tc>
        <w:tc>
          <w:tcPr>
            <w:tcW w:w="1134" w:type="dxa"/>
            <w:vAlign w:val="center"/>
          </w:tcPr>
          <w:p w14:paraId="07E22EB2"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7624585</w:t>
            </w:r>
          </w:p>
        </w:tc>
        <w:tc>
          <w:tcPr>
            <w:tcW w:w="1559" w:type="dxa"/>
            <w:vAlign w:val="center"/>
          </w:tcPr>
          <w:p w14:paraId="0B2605CF"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17,9</w:t>
            </w:r>
          </w:p>
        </w:tc>
        <w:tc>
          <w:tcPr>
            <w:tcW w:w="1276" w:type="dxa"/>
            <w:vAlign w:val="center"/>
          </w:tcPr>
          <w:p w14:paraId="4CB990F1"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2793896</w:t>
            </w:r>
          </w:p>
        </w:tc>
        <w:tc>
          <w:tcPr>
            <w:tcW w:w="1276" w:type="dxa"/>
            <w:vAlign w:val="center"/>
          </w:tcPr>
          <w:p w14:paraId="05FA56FB"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15,9</w:t>
            </w:r>
          </w:p>
        </w:tc>
      </w:tr>
      <w:tr w:rsidR="006F4FD2" w:rsidRPr="009B78DA" w14:paraId="727EFB29" w14:textId="77777777" w:rsidTr="00582989">
        <w:tc>
          <w:tcPr>
            <w:tcW w:w="1271" w:type="dxa"/>
            <w:vAlign w:val="center"/>
          </w:tcPr>
          <w:p w14:paraId="1EDD77A6" w14:textId="77777777" w:rsidR="00367ABE" w:rsidRPr="009B78DA" w:rsidRDefault="00367ABE" w:rsidP="002A1DE9">
            <w:pPr>
              <w:spacing w:before="120" w:line="276" w:lineRule="auto"/>
              <w:ind w:left="-110" w:right="-106"/>
              <w:rPr>
                <w:rFonts w:ascii="Arial" w:hAnsi="Arial" w:cs="Arial"/>
                <w:color w:val="000000" w:themeColor="text1"/>
                <w:sz w:val="20"/>
                <w:szCs w:val="20"/>
              </w:rPr>
            </w:pPr>
            <w:r w:rsidRPr="009B78DA">
              <w:rPr>
                <w:rFonts w:ascii="Arial" w:hAnsi="Arial" w:cs="Arial"/>
                <w:color w:val="000000" w:themeColor="text1"/>
                <w:sz w:val="20"/>
                <w:szCs w:val="20"/>
              </w:rPr>
              <w:t>Podkarpackie</w:t>
            </w:r>
          </w:p>
        </w:tc>
        <w:tc>
          <w:tcPr>
            <w:tcW w:w="1276" w:type="dxa"/>
            <w:vAlign w:val="center"/>
          </w:tcPr>
          <w:p w14:paraId="3143EACE"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783434</w:t>
            </w:r>
          </w:p>
        </w:tc>
        <w:tc>
          <w:tcPr>
            <w:tcW w:w="1269" w:type="dxa"/>
            <w:vAlign w:val="center"/>
          </w:tcPr>
          <w:p w14:paraId="1593AFF7"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11,7</w:t>
            </w:r>
          </w:p>
        </w:tc>
        <w:tc>
          <w:tcPr>
            <w:tcW w:w="1566" w:type="dxa"/>
            <w:vAlign w:val="center"/>
          </w:tcPr>
          <w:p w14:paraId="5DD24303"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190176</w:t>
            </w:r>
          </w:p>
        </w:tc>
        <w:tc>
          <w:tcPr>
            <w:tcW w:w="1701" w:type="dxa"/>
            <w:vAlign w:val="center"/>
          </w:tcPr>
          <w:p w14:paraId="6661B157"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w:t>
            </w:r>
          </w:p>
        </w:tc>
        <w:tc>
          <w:tcPr>
            <w:tcW w:w="1417" w:type="dxa"/>
            <w:vAlign w:val="center"/>
          </w:tcPr>
          <w:p w14:paraId="4CDD3BFC"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592436</w:t>
            </w:r>
          </w:p>
        </w:tc>
        <w:tc>
          <w:tcPr>
            <w:tcW w:w="1843" w:type="dxa"/>
            <w:vAlign w:val="center"/>
          </w:tcPr>
          <w:p w14:paraId="5E53032B"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14,9</w:t>
            </w:r>
          </w:p>
        </w:tc>
        <w:tc>
          <w:tcPr>
            <w:tcW w:w="1134" w:type="dxa"/>
            <w:vAlign w:val="center"/>
          </w:tcPr>
          <w:p w14:paraId="31AD738C"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465798</w:t>
            </w:r>
          </w:p>
        </w:tc>
        <w:tc>
          <w:tcPr>
            <w:tcW w:w="1559" w:type="dxa"/>
            <w:vAlign w:val="center"/>
          </w:tcPr>
          <w:p w14:paraId="66367D0D"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14,6</w:t>
            </w:r>
          </w:p>
        </w:tc>
        <w:tc>
          <w:tcPr>
            <w:tcW w:w="1276" w:type="dxa"/>
            <w:vAlign w:val="center"/>
          </w:tcPr>
          <w:p w14:paraId="53684898"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121358</w:t>
            </w:r>
          </w:p>
        </w:tc>
        <w:tc>
          <w:tcPr>
            <w:tcW w:w="1276" w:type="dxa"/>
            <w:vAlign w:val="center"/>
          </w:tcPr>
          <w:p w14:paraId="62B5C622" w14:textId="77777777" w:rsidR="00367ABE" w:rsidRPr="009B78DA" w:rsidRDefault="00367ABE"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15,4</w:t>
            </w:r>
          </w:p>
        </w:tc>
      </w:tr>
    </w:tbl>
    <w:p w14:paraId="0C765AEB" w14:textId="74083005" w:rsidR="003D180C" w:rsidRPr="009B78DA" w:rsidRDefault="003D180C" w:rsidP="00CF1943">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Źródło: Badanie pilotażowe zachowań komunikacyjnych ludności w Polsce (GUS, 2015)</w:t>
      </w:r>
      <w:r w:rsidR="00640A11" w:rsidRPr="009B78DA">
        <w:rPr>
          <w:rFonts w:ascii="Arial" w:hAnsi="Arial" w:cs="Arial"/>
          <w:color w:val="000000" w:themeColor="text1"/>
          <w:sz w:val="22"/>
          <w:szCs w:val="22"/>
        </w:rPr>
        <w:t>.</w:t>
      </w:r>
    </w:p>
    <w:p w14:paraId="338AA923" w14:textId="2044B0B6" w:rsidR="00367ABE" w:rsidRPr="009B78DA" w:rsidRDefault="003D180C" w:rsidP="00CF1943">
      <w:pPr>
        <w:spacing w:before="120"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porównaniu do reszty kraju w regionie dominują krótkie podróże (do 10 min) oraz, co interesujące, również podróże w przedziale 21-30 minut </w:t>
      </w:r>
      <w:r w:rsidR="00CF1943">
        <w:rPr>
          <w:rFonts w:ascii="Arial" w:hAnsi="Arial" w:cs="Arial"/>
          <w:color w:val="000000" w:themeColor="text1"/>
          <w:sz w:val="22"/>
          <w:szCs w:val="22"/>
        </w:rPr>
        <w:br/>
      </w:r>
      <w:r w:rsidRPr="009B78DA">
        <w:rPr>
          <w:rFonts w:ascii="Arial" w:hAnsi="Arial" w:cs="Arial"/>
          <w:color w:val="000000" w:themeColor="text1"/>
          <w:sz w:val="22"/>
          <w:szCs w:val="22"/>
        </w:rPr>
        <w:t xml:space="preserve">(tab. </w:t>
      </w:r>
      <w:r w:rsidR="009C00D5" w:rsidRPr="009B78DA">
        <w:rPr>
          <w:rFonts w:ascii="Arial" w:hAnsi="Arial" w:cs="Arial"/>
          <w:color w:val="000000" w:themeColor="text1"/>
          <w:sz w:val="22"/>
          <w:szCs w:val="22"/>
        </w:rPr>
        <w:t>14</w:t>
      </w:r>
      <w:r w:rsidRPr="009B78DA">
        <w:rPr>
          <w:rFonts w:ascii="Arial" w:hAnsi="Arial" w:cs="Arial"/>
          <w:color w:val="000000" w:themeColor="text1"/>
          <w:sz w:val="22"/>
          <w:szCs w:val="22"/>
        </w:rPr>
        <w:t xml:space="preserve">). Może to być efektem tego, iż środki transportu, przede wszystkim samochód prywatny, są z jednej strony wykorzystywane do osiągania celów </w:t>
      </w:r>
      <w:r w:rsidR="00CF1943">
        <w:rPr>
          <w:rFonts w:ascii="Arial" w:hAnsi="Arial" w:cs="Arial"/>
          <w:color w:val="000000" w:themeColor="text1"/>
          <w:sz w:val="22"/>
          <w:szCs w:val="22"/>
        </w:rPr>
        <w:br/>
      </w:r>
      <w:r w:rsidRPr="009B78DA">
        <w:rPr>
          <w:rFonts w:ascii="Arial" w:hAnsi="Arial" w:cs="Arial"/>
          <w:color w:val="000000" w:themeColor="text1"/>
          <w:sz w:val="22"/>
          <w:szCs w:val="22"/>
        </w:rPr>
        <w:t xml:space="preserve">w ramach miejscowości, a miejscowości górskie najczęściej przyjmują kształt tzw. „ulicówek”. Z drugiej strony środki transportu są wykorzystywane </w:t>
      </w:r>
      <w:r w:rsidR="00CF1943">
        <w:rPr>
          <w:rFonts w:ascii="Arial" w:hAnsi="Arial" w:cs="Arial"/>
          <w:color w:val="000000" w:themeColor="text1"/>
          <w:sz w:val="22"/>
          <w:szCs w:val="22"/>
        </w:rPr>
        <w:br/>
      </w:r>
      <w:r w:rsidRPr="009B78DA">
        <w:rPr>
          <w:rFonts w:ascii="Arial" w:hAnsi="Arial" w:cs="Arial"/>
          <w:color w:val="000000" w:themeColor="text1"/>
          <w:sz w:val="22"/>
          <w:szCs w:val="22"/>
        </w:rPr>
        <w:t>w codziennych dojazdach do pracy do licznych ośrodków subregionalnych, właśnie często w przedziale czasowym 21-30 minut.</w:t>
      </w:r>
    </w:p>
    <w:p w14:paraId="48B8BEAE" w14:textId="2B6CD310" w:rsidR="002A0FCB" w:rsidRPr="009B78DA" w:rsidRDefault="002A0FCB" w:rsidP="00CF1943">
      <w:pPr>
        <w:pStyle w:val="Legenda"/>
        <w:keepNext/>
        <w:rPr>
          <w:rFonts w:ascii="Arial" w:hAnsi="Arial" w:cs="Arial"/>
          <w:i w:val="0"/>
          <w:color w:val="000000" w:themeColor="text1"/>
          <w:sz w:val="22"/>
          <w:szCs w:val="22"/>
        </w:rPr>
      </w:pPr>
      <w:bookmarkStart w:id="212" w:name="_Toc146785744"/>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Udział % pracy przewozowej przy przewozie osób według przedziałów czasowych</w:t>
      </w:r>
      <w:bookmarkEnd w:id="212"/>
    </w:p>
    <w:tbl>
      <w:tblPr>
        <w:tblStyle w:val="Tabela-Siatka"/>
        <w:tblW w:w="5000" w:type="pct"/>
        <w:tblLook w:val="04A0" w:firstRow="1" w:lastRow="0" w:firstColumn="1" w:lastColumn="0" w:noHBand="0" w:noVBand="1"/>
        <w:tblCaption w:val="Tabela 14 Udział % pracy przewozowej przy przewozie osób według przedziałów czasowych"/>
        <w:tblDescription w:val="Tabela zawiera WOJEWÓDZTWO SPOSÓB ODBYWANIA PODRÓŻY, Ogółem w%, do 10 min. w%, 11-20 w%, 21-30 w%, 31 min. i więcej w%"/>
      </w:tblPr>
      <w:tblGrid>
        <w:gridCol w:w="7415"/>
        <w:gridCol w:w="1395"/>
        <w:gridCol w:w="1792"/>
        <w:gridCol w:w="1142"/>
        <w:gridCol w:w="1142"/>
        <w:gridCol w:w="2502"/>
      </w:tblGrid>
      <w:tr w:rsidR="006F4FD2" w:rsidRPr="009B78DA" w14:paraId="3685979D" w14:textId="77777777" w:rsidTr="00781A96">
        <w:trPr>
          <w:tblHeader/>
        </w:trPr>
        <w:tc>
          <w:tcPr>
            <w:tcW w:w="2409" w:type="pct"/>
            <w:shd w:val="clear" w:color="auto" w:fill="DEEAF6" w:themeFill="accent1" w:themeFillTint="33"/>
            <w:vAlign w:val="center"/>
          </w:tcPr>
          <w:p w14:paraId="0B78BE53" w14:textId="77777777" w:rsidR="00907336" w:rsidRPr="009B78DA" w:rsidRDefault="00907336" w:rsidP="007008B1">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WOJEWÓDZTWO SPOSÓB ODBYWANIA PODRÓŻY</w:t>
            </w:r>
          </w:p>
        </w:tc>
        <w:tc>
          <w:tcPr>
            <w:tcW w:w="453" w:type="pct"/>
            <w:shd w:val="clear" w:color="auto" w:fill="DEEAF6" w:themeFill="accent1" w:themeFillTint="33"/>
            <w:vAlign w:val="center"/>
          </w:tcPr>
          <w:p w14:paraId="322A3518" w14:textId="77777777" w:rsidR="00907336" w:rsidRPr="009B78DA" w:rsidRDefault="00907336" w:rsidP="007008B1">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Ogółem w%</w:t>
            </w:r>
          </w:p>
        </w:tc>
        <w:tc>
          <w:tcPr>
            <w:tcW w:w="582" w:type="pct"/>
            <w:shd w:val="clear" w:color="auto" w:fill="DEEAF6" w:themeFill="accent1" w:themeFillTint="33"/>
            <w:vAlign w:val="center"/>
          </w:tcPr>
          <w:p w14:paraId="1843A360" w14:textId="77777777" w:rsidR="00907336" w:rsidRPr="009B78DA" w:rsidRDefault="00907336" w:rsidP="007008B1">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do 10 min. w%</w:t>
            </w:r>
          </w:p>
        </w:tc>
        <w:tc>
          <w:tcPr>
            <w:tcW w:w="371" w:type="pct"/>
            <w:shd w:val="clear" w:color="auto" w:fill="DEEAF6" w:themeFill="accent1" w:themeFillTint="33"/>
            <w:vAlign w:val="center"/>
          </w:tcPr>
          <w:p w14:paraId="75DF628D" w14:textId="77777777" w:rsidR="00907336" w:rsidRPr="009B78DA" w:rsidRDefault="00907336" w:rsidP="007008B1">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11-20 w%</w:t>
            </w:r>
          </w:p>
        </w:tc>
        <w:tc>
          <w:tcPr>
            <w:tcW w:w="371" w:type="pct"/>
            <w:shd w:val="clear" w:color="auto" w:fill="DEEAF6" w:themeFill="accent1" w:themeFillTint="33"/>
            <w:vAlign w:val="center"/>
          </w:tcPr>
          <w:p w14:paraId="15D4C2C5" w14:textId="77777777" w:rsidR="00907336" w:rsidRPr="009B78DA" w:rsidRDefault="00907336" w:rsidP="007008B1">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21-30 w%</w:t>
            </w:r>
          </w:p>
        </w:tc>
        <w:tc>
          <w:tcPr>
            <w:tcW w:w="813" w:type="pct"/>
            <w:shd w:val="clear" w:color="auto" w:fill="DEEAF6" w:themeFill="accent1" w:themeFillTint="33"/>
            <w:vAlign w:val="center"/>
          </w:tcPr>
          <w:p w14:paraId="1E40C9AC" w14:textId="77777777" w:rsidR="00907336" w:rsidRPr="009B78DA" w:rsidRDefault="00907336" w:rsidP="007008B1">
            <w:pPr>
              <w:spacing w:before="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31 min. i więcej w%</w:t>
            </w:r>
          </w:p>
        </w:tc>
      </w:tr>
      <w:tr w:rsidR="006F4FD2" w:rsidRPr="009B78DA" w14:paraId="60830D7D" w14:textId="77777777" w:rsidTr="001F12F3">
        <w:tc>
          <w:tcPr>
            <w:tcW w:w="2409" w:type="pct"/>
            <w:vAlign w:val="center"/>
          </w:tcPr>
          <w:p w14:paraId="3E162A7E" w14:textId="77777777" w:rsidR="00907336" w:rsidRPr="009B78DA" w:rsidRDefault="00907336" w:rsidP="00F45E35">
            <w:pPr>
              <w:spacing w:before="120" w:line="276" w:lineRule="auto"/>
              <w:jc w:val="both"/>
              <w:rPr>
                <w:rFonts w:ascii="Arial" w:hAnsi="Arial" w:cs="Arial"/>
                <w:b/>
                <w:color w:val="000000" w:themeColor="text1"/>
                <w:sz w:val="22"/>
                <w:szCs w:val="22"/>
              </w:rPr>
            </w:pPr>
            <w:r w:rsidRPr="009B78DA">
              <w:rPr>
                <w:rFonts w:ascii="Arial" w:hAnsi="Arial" w:cs="Arial"/>
                <w:b/>
                <w:color w:val="000000" w:themeColor="text1"/>
                <w:sz w:val="22"/>
                <w:szCs w:val="22"/>
              </w:rPr>
              <w:t>POLSKA w tym:</w:t>
            </w:r>
          </w:p>
        </w:tc>
        <w:tc>
          <w:tcPr>
            <w:tcW w:w="453" w:type="pct"/>
            <w:vAlign w:val="center"/>
          </w:tcPr>
          <w:p w14:paraId="7368F00C"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1BCDF91E"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7,6</w:t>
            </w:r>
          </w:p>
        </w:tc>
        <w:tc>
          <w:tcPr>
            <w:tcW w:w="371" w:type="pct"/>
            <w:vAlign w:val="center"/>
          </w:tcPr>
          <w:p w14:paraId="47DAB802"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19,1</w:t>
            </w:r>
          </w:p>
        </w:tc>
        <w:tc>
          <w:tcPr>
            <w:tcW w:w="371" w:type="pct"/>
            <w:vAlign w:val="center"/>
          </w:tcPr>
          <w:p w14:paraId="2CD202D7"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17,1</w:t>
            </w:r>
          </w:p>
        </w:tc>
        <w:tc>
          <w:tcPr>
            <w:tcW w:w="813" w:type="pct"/>
            <w:vAlign w:val="center"/>
          </w:tcPr>
          <w:p w14:paraId="0FC3AAFB"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56,2</w:t>
            </w:r>
          </w:p>
        </w:tc>
      </w:tr>
      <w:tr w:rsidR="006F4FD2" w:rsidRPr="009B78DA" w14:paraId="61B94093" w14:textId="77777777" w:rsidTr="001F12F3">
        <w:tc>
          <w:tcPr>
            <w:tcW w:w="2409" w:type="pct"/>
            <w:vAlign w:val="center"/>
          </w:tcPr>
          <w:p w14:paraId="1EA957FE" w14:textId="77777777" w:rsidR="00907336" w:rsidRPr="009B78DA" w:rsidRDefault="00907336"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 xml:space="preserve">Transport niezmotoryzowany </w:t>
            </w:r>
          </w:p>
        </w:tc>
        <w:tc>
          <w:tcPr>
            <w:tcW w:w="453" w:type="pct"/>
            <w:vAlign w:val="center"/>
          </w:tcPr>
          <w:p w14:paraId="61A16E1C"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090A02EA"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20,2</w:t>
            </w:r>
          </w:p>
        </w:tc>
        <w:tc>
          <w:tcPr>
            <w:tcW w:w="371" w:type="pct"/>
            <w:vAlign w:val="center"/>
          </w:tcPr>
          <w:p w14:paraId="601E7D35"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23,0</w:t>
            </w:r>
          </w:p>
        </w:tc>
        <w:tc>
          <w:tcPr>
            <w:tcW w:w="371" w:type="pct"/>
            <w:vAlign w:val="center"/>
          </w:tcPr>
          <w:p w14:paraId="0CB64EEC"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17,7</w:t>
            </w:r>
          </w:p>
        </w:tc>
        <w:tc>
          <w:tcPr>
            <w:tcW w:w="813" w:type="pct"/>
            <w:vAlign w:val="center"/>
          </w:tcPr>
          <w:p w14:paraId="48FE6017"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39,1</w:t>
            </w:r>
          </w:p>
        </w:tc>
      </w:tr>
      <w:tr w:rsidR="006F4FD2" w:rsidRPr="009B78DA" w14:paraId="5E6BF6AA" w14:textId="77777777" w:rsidTr="001F12F3">
        <w:tc>
          <w:tcPr>
            <w:tcW w:w="2409" w:type="pct"/>
            <w:vAlign w:val="center"/>
          </w:tcPr>
          <w:p w14:paraId="1AEF28A9" w14:textId="77777777" w:rsidR="00907336" w:rsidRPr="009B78DA" w:rsidRDefault="00907336"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Transport zmotoryzowany w tym</w:t>
            </w:r>
          </w:p>
        </w:tc>
        <w:tc>
          <w:tcPr>
            <w:tcW w:w="453" w:type="pct"/>
            <w:vAlign w:val="center"/>
          </w:tcPr>
          <w:p w14:paraId="63F7AC64"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2F9D5FBB"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6,9</w:t>
            </w:r>
          </w:p>
        </w:tc>
        <w:tc>
          <w:tcPr>
            <w:tcW w:w="371" w:type="pct"/>
            <w:vAlign w:val="center"/>
          </w:tcPr>
          <w:p w14:paraId="436E55E3"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18,9</w:t>
            </w:r>
          </w:p>
        </w:tc>
        <w:tc>
          <w:tcPr>
            <w:tcW w:w="371" w:type="pct"/>
            <w:vAlign w:val="center"/>
          </w:tcPr>
          <w:p w14:paraId="7AE1ADD8"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17,1</w:t>
            </w:r>
          </w:p>
        </w:tc>
        <w:tc>
          <w:tcPr>
            <w:tcW w:w="813" w:type="pct"/>
            <w:vAlign w:val="center"/>
          </w:tcPr>
          <w:p w14:paraId="3ED72324"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57,1</w:t>
            </w:r>
          </w:p>
        </w:tc>
      </w:tr>
      <w:tr w:rsidR="006F4FD2" w:rsidRPr="009B78DA" w14:paraId="776C7748" w14:textId="77777777" w:rsidTr="001F12F3">
        <w:tc>
          <w:tcPr>
            <w:tcW w:w="2409" w:type="pct"/>
            <w:vAlign w:val="center"/>
          </w:tcPr>
          <w:p w14:paraId="6EE2C8BF" w14:textId="77777777" w:rsidR="00907336" w:rsidRPr="009B78DA" w:rsidRDefault="00907336"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samochody osobowe</w:t>
            </w:r>
          </w:p>
        </w:tc>
        <w:tc>
          <w:tcPr>
            <w:tcW w:w="453" w:type="pct"/>
            <w:vAlign w:val="center"/>
          </w:tcPr>
          <w:p w14:paraId="0D3C444C"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5C14C34B"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8,0</w:t>
            </w:r>
          </w:p>
        </w:tc>
        <w:tc>
          <w:tcPr>
            <w:tcW w:w="371" w:type="pct"/>
            <w:vAlign w:val="center"/>
          </w:tcPr>
          <w:p w14:paraId="2394EA1E"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20,8</w:t>
            </w:r>
          </w:p>
        </w:tc>
        <w:tc>
          <w:tcPr>
            <w:tcW w:w="371" w:type="pct"/>
            <w:vAlign w:val="center"/>
          </w:tcPr>
          <w:p w14:paraId="22E63A85"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17,6</w:t>
            </w:r>
          </w:p>
        </w:tc>
        <w:tc>
          <w:tcPr>
            <w:tcW w:w="813" w:type="pct"/>
            <w:vAlign w:val="center"/>
          </w:tcPr>
          <w:p w14:paraId="755FCDF0"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53,6</w:t>
            </w:r>
          </w:p>
        </w:tc>
      </w:tr>
      <w:tr w:rsidR="006F4FD2" w:rsidRPr="009B78DA" w14:paraId="0FA16999" w14:textId="77777777" w:rsidTr="001F12F3">
        <w:tc>
          <w:tcPr>
            <w:tcW w:w="2409" w:type="pct"/>
            <w:vAlign w:val="center"/>
          </w:tcPr>
          <w:p w14:paraId="1728F22E" w14:textId="77777777" w:rsidR="00907336" w:rsidRPr="009B78DA" w:rsidRDefault="00907336"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komunikacja autobusowa zamiejska</w:t>
            </w:r>
          </w:p>
        </w:tc>
        <w:tc>
          <w:tcPr>
            <w:tcW w:w="453" w:type="pct"/>
            <w:vAlign w:val="center"/>
          </w:tcPr>
          <w:p w14:paraId="18DF8D47"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533BA9F8"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w:t>
            </w:r>
          </w:p>
        </w:tc>
        <w:tc>
          <w:tcPr>
            <w:tcW w:w="371" w:type="pct"/>
            <w:vAlign w:val="center"/>
          </w:tcPr>
          <w:p w14:paraId="32F46C61"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12,0</w:t>
            </w:r>
          </w:p>
        </w:tc>
        <w:tc>
          <w:tcPr>
            <w:tcW w:w="371" w:type="pct"/>
            <w:vAlign w:val="center"/>
          </w:tcPr>
          <w:p w14:paraId="65EEA48C"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16,5</w:t>
            </w:r>
          </w:p>
        </w:tc>
        <w:tc>
          <w:tcPr>
            <w:tcW w:w="813" w:type="pct"/>
            <w:vAlign w:val="center"/>
          </w:tcPr>
          <w:p w14:paraId="0F2B6A80"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69,5</w:t>
            </w:r>
          </w:p>
        </w:tc>
      </w:tr>
      <w:tr w:rsidR="006F4FD2" w:rsidRPr="009B78DA" w14:paraId="749F3025" w14:textId="77777777" w:rsidTr="001F12F3">
        <w:tc>
          <w:tcPr>
            <w:tcW w:w="2409" w:type="pct"/>
            <w:vAlign w:val="center"/>
          </w:tcPr>
          <w:p w14:paraId="3E5CD5CB" w14:textId="77777777" w:rsidR="00907336" w:rsidRPr="009B78DA" w:rsidRDefault="00907336"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komunikacja miejska</w:t>
            </w:r>
          </w:p>
        </w:tc>
        <w:tc>
          <w:tcPr>
            <w:tcW w:w="453" w:type="pct"/>
            <w:vAlign w:val="center"/>
          </w:tcPr>
          <w:p w14:paraId="0A82A3F7"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50D8FEB1"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8,4</w:t>
            </w:r>
          </w:p>
        </w:tc>
        <w:tc>
          <w:tcPr>
            <w:tcW w:w="371" w:type="pct"/>
            <w:vAlign w:val="center"/>
          </w:tcPr>
          <w:p w14:paraId="2FAF9C7A"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24,7</w:t>
            </w:r>
          </w:p>
        </w:tc>
        <w:tc>
          <w:tcPr>
            <w:tcW w:w="371" w:type="pct"/>
            <w:vAlign w:val="center"/>
          </w:tcPr>
          <w:p w14:paraId="7F12B56E"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24,3</w:t>
            </w:r>
          </w:p>
        </w:tc>
        <w:tc>
          <w:tcPr>
            <w:tcW w:w="813" w:type="pct"/>
            <w:vAlign w:val="center"/>
          </w:tcPr>
          <w:p w14:paraId="0BC7373F"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42,6</w:t>
            </w:r>
          </w:p>
        </w:tc>
      </w:tr>
      <w:tr w:rsidR="006F4FD2" w:rsidRPr="009B78DA" w14:paraId="57AF47B2" w14:textId="77777777" w:rsidTr="001F12F3">
        <w:tc>
          <w:tcPr>
            <w:tcW w:w="2409" w:type="pct"/>
            <w:vAlign w:val="center"/>
          </w:tcPr>
          <w:p w14:paraId="1A06E77E" w14:textId="77777777" w:rsidR="00907336" w:rsidRPr="009B78DA" w:rsidRDefault="00907336" w:rsidP="00F45E35">
            <w:pPr>
              <w:spacing w:before="120" w:line="276" w:lineRule="auto"/>
              <w:jc w:val="both"/>
              <w:rPr>
                <w:rFonts w:ascii="Arial" w:hAnsi="Arial" w:cs="Arial"/>
                <w:b/>
                <w:color w:val="000000" w:themeColor="text1"/>
                <w:sz w:val="22"/>
                <w:szCs w:val="22"/>
              </w:rPr>
            </w:pPr>
            <w:r w:rsidRPr="009B78DA">
              <w:rPr>
                <w:rFonts w:ascii="Arial" w:hAnsi="Arial" w:cs="Arial"/>
                <w:b/>
                <w:color w:val="000000" w:themeColor="text1"/>
                <w:sz w:val="22"/>
                <w:szCs w:val="22"/>
              </w:rPr>
              <w:t>Podkarpackie w tym:</w:t>
            </w:r>
          </w:p>
        </w:tc>
        <w:tc>
          <w:tcPr>
            <w:tcW w:w="453" w:type="pct"/>
            <w:vAlign w:val="center"/>
          </w:tcPr>
          <w:p w14:paraId="15EB7D8E"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063C6D95"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9,9</w:t>
            </w:r>
          </w:p>
        </w:tc>
        <w:tc>
          <w:tcPr>
            <w:tcW w:w="371" w:type="pct"/>
            <w:vAlign w:val="center"/>
          </w:tcPr>
          <w:p w14:paraId="57449B0F"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18,8</w:t>
            </w:r>
          </w:p>
        </w:tc>
        <w:tc>
          <w:tcPr>
            <w:tcW w:w="371" w:type="pct"/>
            <w:vAlign w:val="center"/>
          </w:tcPr>
          <w:p w14:paraId="7DFD758C"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24,7</w:t>
            </w:r>
          </w:p>
        </w:tc>
        <w:tc>
          <w:tcPr>
            <w:tcW w:w="813" w:type="pct"/>
            <w:vAlign w:val="center"/>
          </w:tcPr>
          <w:p w14:paraId="7F9379A9"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46,6</w:t>
            </w:r>
          </w:p>
        </w:tc>
      </w:tr>
      <w:tr w:rsidR="006F4FD2" w:rsidRPr="009B78DA" w14:paraId="73D2ACC5" w14:textId="77777777" w:rsidTr="001F12F3">
        <w:tc>
          <w:tcPr>
            <w:tcW w:w="2409" w:type="pct"/>
            <w:vAlign w:val="center"/>
          </w:tcPr>
          <w:p w14:paraId="7A5E68E1" w14:textId="77777777" w:rsidR="00907336" w:rsidRPr="009B78DA" w:rsidRDefault="00907336"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 xml:space="preserve">Transport niezmotoryzowany </w:t>
            </w:r>
          </w:p>
        </w:tc>
        <w:tc>
          <w:tcPr>
            <w:tcW w:w="453" w:type="pct"/>
            <w:vAlign w:val="center"/>
          </w:tcPr>
          <w:p w14:paraId="12EA6B30"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461ED632"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35,0</w:t>
            </w:r>
          </w:p>
        </w:tc>
        <w:tc>
          <w:tcPr>
            <w:tcW w:w="371" w:type="pct"/>
            <w:vAlign w:val="center"/>
          </w:tcPr>
          <w:p w14:paraId="280C1A20"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18,3</w:t>
            </w:r>
          </w:p>
        </w:tc>
        <w:tc>
          <w:tcPr>
            <w:tcW w:w="371" w:type="pct"/>
            <w:vAlign w:val="center"/>
          </w:tcPr>
          <w:p w14:paraId="73530EEB"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28,1</w:t>
            </w:r>
          </w:p>
        </w:tc>
        <w:tc>
          <w:tcPr>
            <w:tcW w:w="813" w:type="pct"/>
            <w:vAlign w:val="center"/>
          </w:tcPr>
          <w:p w14:paraId="547050A5"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18,6</w:t>
            </w:r>
          </w:p>
        </w:tc>
      </w:tr>
      <w:tr w:rsidR="006F4FD2" w:rsidRPr="009B78DA" w14:paraId="0D88C0C5" w14:textId="77777777" w:rsidTr="001F12F3">
        <w:tc>
          <w:tcPr>
            <w:tcW w:w="2409" w:type="pct"/>
            <w:vAlign w:val="center"/>
          </w:tcPr>
          <w:p w14:paraId="743AF1CE" w14:textId="77777777" w:rsidR="00907336" w:rsidRPr="009B78DA" w:rsidRDefault="00907336"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Transport zmotoryzowany w tym</w:t>
            </w:r>
          </w:p>
        </w:tc>
        <w:tc>
          <w:tcPr>
            <w:tcW w:w="453" w:type="pct"/>
            <w:vAlign w:val="center"/>
          </w:tcPr>
          <w:p w14:paraId="145B6FF0"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12E206A8"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8,8</w:t>
            </w:r>
          </w:p>
        </w:tc>
        <w:tc>
          <w:tcPr>
            <w:tcW w:w="371" w:type="pct"/>
            <w:vAlign w:val="center"/>
          </w:tcPr>
          <w:p w14:paraId="042624EA"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18,8</w:t>
            </w:r>
          </w:p>
        </w:tc>
        <w:tc>
          <w:tcPr>
            <w:tcW w:w="371" w:type="pct"/>
            <w:vAlign w:val="center"/>
          </w:tcPr>
          <w:p w14:paraId="4662DC3B"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24,6</w:t>
            </w:r>
          </w:p>
        </w:tc>
        <w:tc>
          <w:tcPr>
            <w:tcW w:w="813" w:type="pct"/>
            <w:vAlign w:val="center"/>
          </w:tcPr>
          <w:p w14:paraId="59A79840"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47,8</w:t>
            </w:r>
          </w:p>
        </w:tc>
      </w:tr>
      <w:tr w:rsidR="006F4FD2" w:rsidRPr="009B78DA" w14:paraId="042D98FF" w14:textId="77777777" w:rsidTr="001F12F3">
        <w:tc>
          <w:tcPr>
            <w:tcW w:w="2409" w:type="pct"/>
            <w:vAlign w:val="center"/>
          </w:tcPr>
          <w:p w14:paraId="52580029" w14:textId="77777777" w:rsidR="00907336" w:rsidRPr="009B78DA" w:rsidRDefault="00907336"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samochody osobowe</w:t>
            </w:r>
          </w:p>
        </w:tc>
        <w:tc>
          <w:tcPr>
            <w:tcW w:w="453" w:type="pct"/>
            <w:vAlign w:val="center"/>
          </w:tcPr>
          <w:p w14:paraId="150B0063"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621A811F"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10,2</w:t>
            </w:r>
          </w:p>
        </w:tc>
        <w:tc>
          <w:tcPr>
            <w:tcW w:w="371" w:type="pct"/>
            <w:vAlign w:val="center"/>
          </w:tcPr>
          <w:p w14:paraId="2DD87414"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20,6</w:t>
            </w:r>
          </w:p>
        </w:tc>
        <w:tc>
          <w:tcPr>
            <w:tcW w:w="371" w:type="pct"/>
            <w:vAlign w:val="center"/>
          </w:tcPr>
          <w:p w14:paraId="63E9F9BB"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22,0</w:t>
            </w:r>
          </w:p>
        </w:tc>
        <w:tc>
          <w:tcPr>
            <w:tcW w:w="813" w:type="pct"/>
            <w:vAlign w:val="center"/>
          </w:tcPr>
          <w:p w14:paraId="221E6C4D"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47,2</w:t>
            </w:r>
          </w:p>
        </w:tc>
      </w:tr>
      <w:tr w:rsidR="006F4FD2" w:rsidRPr="009B78DA" w14:paraId="4F6FE169" w14:textId="77777777" w:rsidTr="001F12F3">
        <w:tc>
          <w:tcPr>
            <w:tcW w:w="2409" w:type="pct"/>
            <w:vAlign w:val="center"/>
          </w:tcPr>
          <w:p w14:paraId="64532C00" w14:textId="77777777" w:rsidR="00907336" w:rsidRPr="009B78DA" w:rsidRDefault="00907336"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komunikacja autobusowa zamiejska</w:t>
            </w:r>
          </w:p>
        </w:tc>
        <w:tc>
          <w:tcPr>
            <w:tcW w:w="453" w:type="pct"/>
            <w:vAlign w:val="center"/>
          </w:tcPr>
          <w:p w14:paraId="65CBF322"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5C3B5836"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1,6</w:t>
            </w:r>
          </w:p>
        </w:tc>
        <w:tc>
          <w:tcPr>
            <w:tcW w:w="371" w:type="pct"/>
            <w:vAlign w:val="center"/>
          </w:tcPr>
          <w:p w14:paraId="6BB3E8EE"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7,4</w:t>
            </w:r>
          </w:p>
        </w:tc>
        <w:tc>
          <w:tcPr>
            <w:tcW w:w="371" w:type="pct"/>
            <w:vAlign w:val="center"/>
          </w:tcPr>
          <w:p w14:paraId="6FFBE014"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35,5</w:t>
            </w:r>
          </w:p>
        </w:tc>
        <w:tc>
          <w:tcPr>
            <w:tcW w:w="813" w:type="pct"/>
            <w:vAlign w:val="center"/>
          </w:tcPr>
          <w:p w14:paraId="2CD05594"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55,5</w:t>
            </w:r>
          </w:p>
        </w:tc>
      </w:tr>
      <w:tr w:rsidR="006F4FD2" w:rsidRPr="009B78DA" w14:paraId="618AFE3E" w14:textId="77777777" w:rsidTr="001F12F3">
        <w:tc>
          <w:tcPr>
            <w:tcW w:w="2409" w:type="pct"/>
            <w:vAlign w:val="center"/>
          </w:tcPr>
          <w:p w14:paraId="12276066" w14:textId="77777777" w:rsidR="00907336" w:rsidRPr="009B78DA" w:rsidRDefault="00907336"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komunikacja miejska</w:t>
            </w:r>
          </w:p>
        </w:tc>
        <w:tc>
          <w:tcPr>
            <w:tcW w:w="453" w:type="pct"/>
            <w:vAlign w:val="center"/>
          </w:tcPr>
          <w:p w14:paraId="0BA9E813"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100,0</w:t>
            </w:r>
          </w:p>
        </w:tc>
        <w:tc>
          <w:tcPr>
            <w:tcW w:w="582" w:type="pct"/>
            <w:vAlign w:val="center"/>
          </w:tcPr>
          <w:p w14:paraId="1038CB2A"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10,5</w:t>
            </w:r>
          </w:p>
        </w:tc>
        <w:tc>
          <w:tcPr>
            <w:tcW w:w="371" w:type="pct"/>
            <w:vAlign w:val="center"/>
          </w:tcPr>
          <w:p w14:paraId="6DD6CED1"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31,1</w:t>
            </w:r>
          </w:p>
        </w:tc>
        <w:tc>
          <w:tcPr>
            <w:tcW w:w="371" w:type="pct"/>
            <w:vAlign w:val="center"/>
          </w:tcPr>
          <w:p w14:paraId="64C9097B"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28,3</w:t>
            </w:r>
          </w:p>
        </w:tc>
        <w:tc>
          <w:tcPr>
            <w:tcW w:w="813" w:type="pct"/>
            <w:vAlign w:val="center"/>
          </w:tcPr>
          <w:p w14:paraId="0F7DA0B5" w14:textId="77777777" w:rsidR="00907336" w:rsidRPr="009B78DA" w:rsidRDefault="00907336" w:rsidP="00455CD8">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30,1</w:t>
            </w:r>
          </w:p>
        </w:tc>
      </w:tr>
    </w:tbl>
    <w:p w14:paraId="2C487D19" w14:textId="063BFBCE" w:rsidR="00907336" w:rsidRPr="009B78DA" w:rsidRDefault="00907336" w:rsidP="00CF1943">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Źródło: Badanie pilotażowe zachowań komunikacyjnych ludności w Polsce (GUS, 2015)</w:t>
      </w:r>
      <w:r w:rsidR="00640A11" w:rsidRPr="009B78DA">
        <w:rPr>
          <w:rFonts w:ascii="Arial" w:hAnsi="Arial" w:cs="Arial"/>
          <w:color w:val="000000" w:themeColor="text1"/>
          <w:sz w:val="22"/>
          <w:szCs w:val="22"/>
        </w:rPr>
        <w:t>.</w:t>
      </w:r>
    </w:p>
    <w:p w14:paraId="73F3E31F" w14:textId="3171397F" w:rsidR="003D180C" w:rsidRPr="009B78DA" w:rsidRDefault="00907336" w:rsidP="00CF1943">
      <w:pPr>
        <w:spacing w:before="120" w:line="276" w:lineRule="auto"/>
        <w:ind w:firstLine="709"/>
        <w:rPr>
          <w:rFonts w:ascii="Arial" w:hAnsi="Arial" w:cs="Arial"/>
          <w:color w:val="000000" w:themeColor="text1"/>
          <w:sz w:val="22"/>
          <w:szCs w:val="22"/>
        </w:rPr>
      </w:pPr>
      <w:r w:rsidRPr="009B78DA">
        <w:rPr>
          <w:rFonts w:ascii="Arial" w:hAnsi="Arial" w:cs="Arial"/>
          <w:b/>
          <w:color w:val="000000" w:themeColor="text1"/>
          <w:sz w:val="22"/>
          <w:szCs w:val="22"/>
        </w:rPr>
        <w:t>Średnia odległość przewozu</w:t>
      </w:r>
      <w:r w:rsidRPr="009B78DA">
        <w:rPr>
          <w:rFonts w:ascii="Arial" w:hAnsi="Arial" w:cs="Arial"/>
          <w:color w:val="000000" w:themeColor="text1"/>
          <w:sz w:val="22"/>
          <w:szCs w:val="22"/>
        </w:rPr>
        <w:t>. W województwie podkarpackim w świetle badań GUS przewozy są realizowane na dość krótkie odległości (średnio jedynie 11,7 km w porównaniu do 14,2 km w Polsce; tab. 1</w:t>
      </w:r>
      <w:r w:rsidR="009C00D5" w:rsidRPr="009B78DA">
        <w:rPr>
          <w:rFonts w:ascii="Arial" w:hAnsi="Arial" w:cs="Arial"/>
          <w:color w:val="000000" w:themeColor="text1"/>
          <w:sz w:val="22"/>
          <w:szCs w:val="22"/>
        </w:rPr>
        <w:t>5</w:t>
      </w:r>
      <w:r w:rsidRPr="009B78DA">
        <w:rPr>
          <w:rFonts w:ascii="Arial" w:hAnsi="Arial" w:cs="Arial"/>
          <w:color w:val="000000" w:themeColor="text1"/>
          <w:sz w:val="22"/>
          <w:szCs w:val="22"/>
        </w:rPr>
        <w:t>). Krótsze odległości są domeną w zasadz</w:t>
      </w:r>
      <w:r w:rsidR="00AD7484" w:rsidRPr="009B78DA">
        <w:rPr>
          <w:rFonts w:ascii="Arial" w:hAnsi="Arial" w:cs="Arial"/>
          <w:color w:val="000000" w:themeColor="text1"/>
          <w:sz w:val="22"/>
          <w:szCs w:val="22"/>
        </w:rPr>
        <w:t xml:space="preserve">ie każdego rodzaju transportu, </w:t>
      </w:r>
      <w:r w:rsidRPr="009B78DA">
        <w:rPr>
          <w:rFonts w:ascii="Arial" w:hAnsi="Arial" w:cs="Arial"/>
          <w:color w:val="000000" w:themeColor="text1"/>
          <w:sz w:val="22"/>
          <w:szCs w:val="22"/>
        </w:rPr>
        <w:t>a w przypadku komunikacji autobusowej zamiejskiej są to różnice prawie 6 km, co może być związane z policentryczną strukturą osadniczą województwa, wieloma lokalnymi rynkami pracy w miastach subregionalnych i tradycyjnie bardzo rozwiniętą siecią autobusowych połączeń międzygminnych realizowanych na krótkie odległości, najczęściej w celu dojazdu do pracy/szkoły między gminami otaczającymi ośrodek subregionalny a samym ośrodkiem.</w:t>
      </w:r>
    </w:p>
    <w:p w14:paraId="0516C142" w14:textId="6DA2468E" w:rsidR="002A0FCB" w:rsidRPr="009B78DA" w:rsidRDefault="002A0FCB" w:rsidP="00CF1943">
      <w:pPr>
        <w:pStyle w:val="Legenda"/>
        <w:keepNext/>
        <w:rPr>
          <w:rFonts w:ascii="Arial" w:hAnsi="Arial" w:cs="Arial"/>
          <w:i w:val="0"/>
          <w:color w:val="000000" w:themeColor="text1"/>
          <w:sz w:val="22"/>
          <w:szCs w:val="22"/>
        </w:rPr>
      </w:pPr>
      <w:bookmarkStart w:id="213" w:name="_Toc146785745"/>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Średnia odległość przewozu 1 osoby według sposobów odbywania podróży w województwach</w:t>
      </w:r>
      <w:bookmarkEnd w:id="213"/>
    </w:p>
    <w:tbl>
      <w:tblPr>
        <w:tblStyle w:val="Tabela-Siatka"/>
        <w:tblW w:w="5000" w:type="pct"/>
        <w:tblLook w:val="04A0" w:firstRow="1" w:lastRow="0" w:firstColumn="1" w:lastColumn="0" w:noHBand="0" w:noVBand="1"/>
        <w:tblCaption w:val="Tabela 9. Praca przewozowa przy przewozie osób według sposobów odbywania podróży według województw"/>
        <w:tblDescription w:val="Tabela zawiera WOJEWÓDZTWA, ogółem transport niezmotoryzowany, zmotoryzowany razem, Samochodowe osobowe, Publiczny transport zbiorowy razem, Publiczny transport zbiorowy w tym komunikacja autobusowa zamiejska "/>
      </w:tblPr>
      <w:tblGrid>
        <w:gridCol w:w="2176"/>
        <w:gridCol w:w="1160"/>
        <w:gridCol w:w="2493"/>
        <w:gridCol w:w="2093"/>
        <w:gridCol w:w="2096"/>
        <w:gridCol w:w="2028"/>
        <w:gridCol w:w="3342"/>
      </w:tblGrid>
      <w:tr w:rsidR="006F4FD2" w:rsidRPr="009B78DA" w14:paraId="73CE8A97" w14:textId="77777777" w:rsidTr="00CF1943">
        <w:trPr>
          <w:tblHeader/>
        </w:trPr>
        <w:tc>
          <w:tcPr>
            <w:tcW w:w="707" w:type="pct"/>
            <w:shd w:val="clear" w:color="auto" w:fill="DEEAF6" w:themeFill="accent1" w:themeFillTint="33"/>
            <w:vAlign w:val="center"/>
          </w:tcPr>
          <w:p w14:paraId="05DD4A30" w14:textId="77777777" w:rsidR="00BD7E48" w:rsidRPr="00CF1943" w:rsidRDefault="00BD7E48" w:rsidP="00CF1943">
            <w:pPr>
              <w:spacing w:before="120" w:line="276" w:lineRule="auto"/>
              <w:rPr>
                <w:rFonts w:ascii="Arial" w:hAnsi="Arial" w:cs="Arial"/>
                <w:b/>
                <w:color w:val="000000" w:themeColor="text1"/>
                <w:sz w:val="22"/>
                <w:szCs w:val="22"/>
              </w:rPr>
            </w:pPr>
            <w:r w:rsidRPr="00CF1943">
              <w:rPr>
                <w:rFonts w:ascii="Arial" w:hAnsi="Arial" w:cs="Arial"/>
                <w:b/>
                <w:color w:val="000000" w:themeColor="text1"/>
                <w:sz w:val="22"/>
                <w:szCs w:val="22"/>
              </w:rPr>
              <w:t xml:space="preserve">WOJEWÓDZTWA </w:t>
            </w:r>
          </w:p>
        </w:tc>
        <w:tc>
          <w:tcPr>
            <w:tcW w:w="377" w:type="pct"/>
            <w:shd w:val="clear" w:color="auto" w:fill="DEEAF6" w:themeFill="accent1" w:themeFillTint="33"/>
            <w:vAlign w:val="center"/>
          </w:tcPr>
          <w:p w14:paraId="1573C1D2" w14:textId="77777777" w:rsidR="00BD7E48" w:rsidRPr="00CF1943" w:rsidRDefault="00BD7E48" w:rsidP="00CF1943">
            <w:pPr>
              <w:spacing w:before="120" w:line="276" w:lineRule="auto"/>
              <w:rPr>
                <w:rFonts w:ascii="Arial" w:hAnsi="Arial" w:cs="Arial"/>
                <w:b/>
                <w:color w:val="000000" w:themeColor="text1"/>
                <w:sz w:val="22"/>
                <w:szCs w:val="22"/>
              </w:rPr>
            </w:pPr>
            <w:r w:rsidRPr="00CF1943">
              <w:rPr>
                <w:rFonts w:ascii="Arial" w:hAnsi="Arial" w:cs="Arial"/>
                <w:b/>
                <w:color w:val="000000" w:themeColor="text1"/>
                <w:sz w:val="22"/>
                <w:szCs w:val="22"/>
              </w:rPr>
              <w:t xml:space="preserve">ogółem </w:t>
            </w:r>
          </w:p>
        </w:tc>
        <w:tc>
          <w:tcPr>
            <w:tcW w:w="810" w:type="pct"/>
            <w:shd w:val="clear" w:color="auto" w:fill="DEEAF6" w:themeFill="accent1" w:themeFillTint="33"/>
            <w:vAlign w:val="center"/>
          </w:tcPr>
          <w:p w14:paraId="14DF597A" w14:textId="77777777" w:rsidR="00BD7E48" w:rsidRPr="00CF1943" w:rsidRDefault="00BD7E48" w:rsidP="00CF1943">
            <w:pPr>
              <w:spacing w:before="120" w:line="276" w:lineRule="auto"/>
              <w:rPr>
                <w:rFonts w:ascii="Arial" w:hAnsi="Arial" w:cs="Arial"/>
                <w:b/>
                <w:color w:val="000000" w:themeColor="text1"/>
                <w:sz w:val="22"/>
                <w:szCs w:val="22"/>
              </w:rPr>
            </w:pPr>
            <w:r w:rsidRPr="00CF1943">
              <w:rPr>
                <w:rFonts w:ascii="Arial" w:hAnsi="Arial" w:cs="Arial"/>
                <w:b/>
                <w:color w:val="000000" w:themeColor="text1"/>
                <w:sz w:val="22"/>
                <w:szCs w:val="22"/>
              </w:rPr>
              <w:t>transport niezmotoryzowany</w:t>
            </w:r>
          </w:p>
        </w:tc>
        <w:tc>
          <w:tcPr>
            <w:tcW w:w="680" w:type="pct"/>
            <w:shd w:val="clear" w:color="auto" w:fill="DEEAF6" w:themeFill="accent1" w:themeFillTint="33"/>
            <w:vAlign w:val="center"/>
          </w:tcPr>
          <w:p w14:paraId="57785C09" w14:textId="77777777" w:rsidR="00BD7E48" w:rsidRPr="00CF1943" w:rsidRDefault="00BD7E48" w:rsidP="00CF1943">
            <w:pPr>
              <w:spacing w:before="120" w:line="276" w:lineRule="auto"/>
              <w:rPr>
                <w:rFonts w:ascii="Arial" w:hAnsi="Arial" w:cs="Arial"/>
                <w:b/>
                <w:color w:val="000000" w:themeColor="text1"/>
                <w:sz w:val="22"/>
                <w:szCs w:val="22"/>
              </w:rPr>
            </w:pPr>
            <w:r w:rsidRPr="00CF1943">
              <w:rPr>
                <w:rFonts w:ascii="Arial" w:hAnsi="Arial" w:cs="Arial"/>
                <w:b/>
                <w:color w:val="000000" w:themeColor="text1"/>
                <w:sz w:val="22"/>
                <w:szCs w:val="22"/>
              </w:rPr>
              <w:t xml:space="preserve">zmotoryzowany razem </w:t>
            </w:r>
          </w:p>
        </w:tc>
        <w:tc>
          <w:tcPr>
            <w:tcW w:w="681" w:type="pct"/>
            <w:shd w:val="clear" w:color="auto" w:fill="DEEAF6" w:themeFill="accent1" w:themeFillTint="33"/>
            <w:vAlign w:val="center"/>
          </w:tcPr>
          <w:p w14:paraId="3F6FA062" w14:textId="77777777" w:rsidR="00BD7E48" w:rsidRPr="00CF1943" w:rsidRDefault="00BD7E48" w:rsidP="00CF1943">
            <w:pPr>
              <w:spacing w:before="120" w:line="276" w:lineRule="auto"/>
              <w:rPr>
                <w:rFonts w:ascii="Arial" w:hAnsi="Arial" w:cs="Arial"/>
                <w:b/>
                <w:color w:val="000000" w:themeColor="text1"/>
                <w:sz w:val="22"/>
                <w:szCs w:val="22"/>
              </w:rPr>
            </w:pPr>
            <w:r w:rsidRPr="00CF1943">
              <w:rPr>
                <w:rFonts w:ascii="Arial" w:hAnsi="Arial" w:cs="Arial"/>
                <w:b/>
                <w:color w:val="000000" w:themeColor="text1"/>
                <w:sz w:val="22"/>
                <w:szCs w:val="22"/>
              </w:rPr>
              <w:t>samochodowe osobowe</w:t>
            </w:r>
          </w:p>
        </w:tc>
        <w:tc>
          <w:tcPr>
            <w:tcW w:w="659" w:type="pct"/>
            <w:shd w:val="clear" w:color="auto" w:fill="DEEAF6" w:themeFill="accent1" w:themeFillTint="33"/>
            <w:vAlign w:val="center"/>
          </w:tcPr>
          <w:p w14:paraId="3868A4A5" w14:textId="77777777" w:rsidR="00BD7E48" w:rsidRPr="00CF1943" w:rsidRDefault="00BD7E48" w:rsidP="00CF1943">
            <w:pPr>
              <w:spacing w:before="120" w:line="276" w:lineRule="auto"/>
              <w:rPr>
                <w:rFonts w:ascii="Arial" w:hAnsi="Arial" w:cs="Arial"/>
                <w:b/>
                <w:color w:val="000000" w:themeColor="text1"/>
                <w:sz w:val="22"/>
                <w:szCs w:val="22"/>
              </w:rPr>
            </w:pPr>
            <w:r w:rsidRPr="00CF1943">
              <w:rPr>
                <w:rFonts w:ascii="Arial" w:hAnsi="Arial" w:cs="Arial"/>
                <w:b/>
                <w:color w:val="000000" w:themeColor="text1"/>
                <w:sz w:val="22"/>
                <w:szCs w:val="22"/>
              </w:rPr>
              <w:t>publiczny transport zbiorowy razem</w:t>
            </w:r>
          </w:p>
        </w:tc>
        <w:tc>
          <w:tcPr>
            <w:tcW w:w="1086" w:type="pct"/>
            <w:shd w:val="clear" w:color="auto" w:fill="DEEAF6" w:themeFill="accent1" w:themeFillTint="33"/>
            <w:vAlign w:val="center"/>
          </w:tcPr>
          <w:p w14:paraId="21812E00" w14:textId="4D8A21DB" w:rsidR="00BD7E48" w:rsidRPr="00CF1943" w:rsidRDefault="00BD7E48" w:rsidP="00CF1943">
            <w:pPr>
              <w:spacing w:before="120" w:line="276" w:lineRule="auto"/>
              <w:rPr>
                <w:rFonts w:ascii="Arial" w:hAnsi="Arial" w:cs="Arial"/>
                <w:b/>
                <w:color w:val="000000" w:themeColor="text1"/>
                <w:sz w:val="22"/>
                <w:szCs w:val="22"/>
              </w:rPr>
            </w:pPr>
            <w:r w:rsidRPr="00CF1943">
              <w:rPr>
                <w:rFonts w:ascii="Arial" w:hAnsi="Arial" w:cs="Arial"/>
                <w:b/>
                <w:color w:val="000000" w:themeColor="text1"/>
                <w:sz w:val="22"/>
                <w:szCs w:val="22"/>
              </w:rPr>
              <w:t xml:space="preserve">publiczny transport zbiorowy </w:t>
            </w:r>
            <w:r w:rsidR="00CF1943" w:rsidRPr="00CF1943">
              <w:rPr>
                <w:rFonts w:ascii="Arial" w:hAnsi="Arial" w:cs="Arial"/>
                <w:b/>
                <w:color w:val="000000" w:themeColor="text1"/>
                <w:sz w:val="22"/>
                <w:szCs w:val="22"/>
              </w:rPr>
              <w:br/>
            </w:r>
            <w:r w:rsidRPr="00CF1943">
              <w:rPr>
                <w:rFonts w:ascii="Arial" w:hAnsi="Arial" w:cs="Arial"/>
                <w:b/>
                <w:color w:val="000000" w:themeColor="text1"/>
                <w:sz w:val="22"/>
                <w:szCs w:val="22"/>
              </w:rPr>
              <w:t xml:space="preserve">w tym komunikacja autobusowa zamiejska </w:t>
            </w:r>
          </w:p>
        </w:tc>
      </w:tr>
      <w:tr w:rsidR="006F4FD2" w:rsidRPr="009B78DA" w14:paraId="6DA8CCCA" w14:textId="77777777" w:rsidTr="00BD7E48">
        <w:tc>
          <w:tcPr>
            <w:tcW w:w="707" w:type="pct"/>
            <w:vAlign w:val="center"/>
          </w:tcPr>
          <w:p w14:paraId="55A7C5D4" w14:textId="77777777" w:rsidR="00BD7E48" w:rsidRPr="009B78DA" w:rsidRDefault="00BD7E48"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 xml:space="preserve">POLSKA </w:t>
            </w:r>
          </w:p>
        </w:tc>
        <w:tc>
          <w:tcPr>
            <w:tcW w:w="377" w:type="pct"/>
            <w:vAlign w:val="center"/>
          </w:tcPr>
          <w:p w14:paraId="205D4357"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14,2</w:t>
            </w:r>
          </w:p>
        </w:tc>
        <w:tc>
          <w:tcPr>
            <w:tcW w:w="810" w:type="pct"/>
            <w:vAlign w:val="center"/>
          </w:tcPr>
          <w:p w14:paraId="34ED149B"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2,8</w:t>
            </w:r>
          </w:p>
        </w:tc>
        <w:tc>
          <w:tcPr>
            <w:tcW w:w="680" w:type="pct"/>
            <w:vAlign w:val="center"/>
          </w:tcPr>
          <w:p w14:paraId="063C5A66"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17,9</w:t>
            </w:r>
          </w:p>
        </w:tc>
        <w:tc>
          <w:tcPr>
            <w:tcW w:w="681" w:type="pct"/>
            <w:vAlign w:val="center"/>
          </w:tcPr>
          <w:p w14:paraId="5464B799"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17,9</w:t>
            </w:r>
          </w:p>
        </w:tc>
        <w:tc>
          <w:tcPr>
            <w:tcW w:w="659" w:type="pct"/>
            <w:vAlign w:val="center"/>
          </w:tcPr>
          <w:p w14:paraId="36E4396E"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15,9</w:t>
            </w:r>
          </w:p>
        </w:tc>
        <w:tc>
          <w:tcPr>
            <w:tcW w:w="1086" w:type="pct"/>
            <w:vAlign w:val="center"/>
          </w:tcPr>
          <w:p w14:paraId="6C7C0A6C"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26,6</w:t>
            </w:r>
          </w:p>
        </w:tc>
      </w:tr>
      <w:tr w:rsidR="006F4FD2" w:rsidRPr="009B78DA" w14:paraId="5DE80461" w14:textId="77777777" w:rsidTr="00BD7E48">
        <w:tc>
          <w:tcPr>
            <w:tcW w:w="707" w:type="pct"/>
            <w:vAlign w:val="center"/>
          </w:tcPr>
          <w:p w14:paraId="7FC54F73" w14:textId="77777777" w:rsidR="00BD7E48" w:rsidRPr="009B78DA" w:rsidRDefault="00BD7E48" w:rsidP="00F45E35">
            <w:pPr>
              <w:spacing w:before="12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 xml:space="preserve">Podkarpackie </w:t>
            </w:r>
          </w:p>
        </w:tc>
        <w:tc>
          <w:tcPr>
            <w:tcW w:w="377" w:type="pct"/>
            <w:vAlign w:val="center"/>
          </w:tcPr>
          <w:p w14:paraId="4F85E889"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11,7</w:t>
            </w:r>
          </w:p>
        </w:tc>
        <w:tc>
          <w:tcPr>
            <w:tcW w:w="810" w:type="pct"/>
            <w:vAlign w:val="center"/>
          </w:tcPr>
          <w:p w14:paraId="5F36B00D"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w:t>
            </w:r>
          </w:p>
        </w:tc>
        <w:tc>
          <w:tcPr>
            <w:tcW w:w="680" w:type="pct"/>
            <w:vAlign w:val="center"/>
          </w:tcPr>
          <w:p w14:paraId="500CCC39"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14,9</w:t>
            </w:r>
          </w:p>
        </w:tc>
        <w:tc>
          <w:tcPr>
            <w:tcW w:w="681" w:type="pct"/>
            <w:vAlign w:val="center"/>
          </w:tcPr>
          <w:p w14:paraId="160376F5"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14,6</w:t>
            </w:r>
          </w:p>
        </w:tc>
        <w:tc>
          <w:tcPr>
            <w:tcW w:w="659" w:type="pct"/>
            <w:vAlign w:val="center"/>
          </w:tcPr>
          <w:p w14:paraId="1DF75D16"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15,4</w:t>
            </w:r>
          </w:p>
        </w:tc>
        <w:tc>
          <w:tcPr>
            <w:tcW w:w="1086" w:type="pct"/>
            <w:vAlign w:val="center"/>
          </w:tcPr>
          <w:p w14:paraId="35BAE4CB" w14:textId="77777777" w:rsidR="00BD7E48" w:rsidRPr="009B78DA" w:rsidRDefault="00BD7E48" w:rsidP="008D236D">
            <w:pPr>
              <w:spacing w:before="12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20,8</w:t>
            </w:r>
          </w:p>
        </w:tc>
      </w:tr>
    </w:tbl>
    <w:p w14:paraId="28FCE5C4" w14:textId="707CB26D" w:rsidR="00BD7E48" w:rsidRPr="009B78DA" w:rsidRDefault="00BD7E48" w:rsidP="00F45E35">
      <w:pPr>
        <w:spacing w:before="120" w:line="276" w:lineRule="auto"/>
        <w:jc w:val="both"/>
        <w:rPr>
          <w:rFonts w:ascii="Arial" w:hAnsi="Arial" w:cs="Arial"/>
          <w:color w:val="000000" w:themeColor="text1"/>
          <w:sz w:val="22"/>
          <w:szCs w:val="22"/>
        </w:rPr>
        <w:sectPr w:rsidR="00BD7E48" w:rsidRPr="009B78DA" w:rsidSect="00043850">
          <w:pgSz w:w="16838" w:h="11906" w:orient="landscape"/>
          <w:pgMar w:top="720" w:right="720" w:bottom="720" w:left="720" w:header="708" w:footer="708" w:gutter="0"/>
          <w:cols w:space="708"/>
          <w:docGrid w:linePitch="360"/>
        </w:sectPr>
      </w:pPr>
      <w:r w:rsidRPr="009B78DA">
        <w:rPr>
          <w:rFonts w:ascii="Arial" w:hAnsi="Arial" w:cs="Arial"/>
          <w:color w:val="000000" w:themeColor="text1"/>
          <w:sz w:val="22"/>
          <w:szCs w:val="22"/>
        </w:rPr>
        <w:t>Źródło: Badanie pilotażowe zachowań komunikacyjnych ludności w Polsce (GUS, 2015)</w:t>
      </w:r>
      <w:r w:rsidR="00640A11" w:rsidRPr="009B78DA">
        <w:rPr>
          <w:rFonts w:ascii="Arial" w:hAnsi="Arial" w:cs="Arial"/>
          <w:color w:val="000000" w:themeColor="text1"/>
          <w:sz w:val="22"/>
          <w:szCs w:val="22"/>
        </w:rPr>
        <w:t>.</w:t>
      </w:r>
    </w:p>
    <w:p w14:paraId="09075298" w14:textId="77777777" w:rsidR="00BD7E48" w:rsidRPr="009B78DA" w:rsidRDefault="00BD7E48" w:rsidP="00CF1943">
      <w:pPr>
        <w:pStyle w:val="Nagwek3"/>
        <w:numPr>
          <w:ilvl w:val="1"/>
          <w:numId w:val="261"/>
        </w:numPr>
        <w:rPr>
          <w:rFonts w:cs="Arial"/>
          <w:color w:val="000000" w:themeColor="text1"/>
          <w:sz w:val="24"/>
        </w:rPr>
      </w:pPr>
      <w:bookmarkStart w:id="214" w:name="_Toc100335069"/>
      <w:bookmarkStart w:id="215" w:name="_Toc146785795"/>
      <w:r w:rsidRPr="009B78DA">
        <w:rPr>
          <w:rFonts w:cs="Arial"/>
          <w:color w:val="000000" w:themeColor="text1"/>
          <w:sz w:val="24"/>
        </w:rPr>
        <w:t>Oczekiwany rozkład ruchu</w:t>
      </w:r>
      <w:bookmarkEnd w:id="214"/>
      <w:bookmarkEnd w:id="215"/>
    </w:p>
    <w:p w14:paraId="78F84225" w14:textId="7119F8C9" w:rsidR="00BD7E48" w:rsidRPr="009B78DA" w:rsidRDefault="00BD7E48" w:rsidP="00CF1943">
      <w:pPr>
        <w:spacing w:before="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Oczekiwany rozkład ruchu jest podstawowym elementem wszystkim modeli ruchu na poziomie krajowym (modele różnią się</w:t>
      </w:r>
      <w:r w:rsidR="00AD7484" w:rsidRPr="009B78DA">
        <w:rPr>
          <w:rFonts w:ascii="Arial" w:hAnsi="Arial" w:cs="Arial"/>
          <w:color w:val="000000" w:themeColor="text1"/>
          <w:sz w:val="22"/>
          <w:szCs w:val="22"/>
        </w:rPr>
        <w:t xml:space="preserve"> jedynie horyzontem prognozy). </w:t>
      </w:r>
      <w:r w:rsidRPr="009B78DA">
        <w:rPr>
          <w:rFonts w:ascii="Arial" w:hAnsi="Arial" w:cs="Arial"/>
          <w:color w:val="000000" w:themeColor="text1"/>
          <w:sz w:val="22"/>
          <w:szCs w:val="22"/>
        </w:rPr>
        <w:t xml:space="preserve">W warunkach opóźniania się publikacji danych </w:t>
      </w:r>
      <w:r w:rsidR="0095350A" w:rsidRPr="009B78DA">
        <w:rPr>
          <w:rFonts w:ascii="Arial" w:hAnsi="Arial" w:cs="Arial"/>
          <w:color w:val="000000" w:themeColor="text1"/>
          <w:sz w:val="22"/>
          <w:szCs w:val="22"/>
        </w:rPr>
        <w:t xml:space="preserve">prognostycznych </w:t>
      </w:r>
      <w:r w:rsidRPr="009B78DA">
        <w:rPr>
          <w:rFonts w:ascii="Arial" w:hAnsi="Arial" w:cs="Arial"/>
          <w:color w:val="000000" w:themeColor="text1"/>
          <w:sz w:val="22"/>
          <w:szCs w:val="22"/>
        </w:rPr>
        <w:t>dla modelu powstającego w CUPT oraz braku</w:t>
      </w:r>
      <w:r w:rsidR="00AD7484" w:rsidRPr="009B78DA">
        <w:rPr>
          <w:rFonts w:ascii="Arial" w:hAnsi="Arial" w:cs="Arial"/>
          <w:color w:val="000000" w:themeColor="text1"/>
          <w:sz w:val="22"/>
          <w:szCs w:val="22"/>
        </w:rPr>
        <w:t xml:space="preserve"> możliwości pozyskania wyników </w:t>
      </w:r>
      <w:r w:rsidRPr="009B78DA">
        <w:rPr>
          <w:rFonts w:ascii="Arial" w:hAnsi="Arial" w:cs="Arial"/>
          <w:color w:val="000000" w:themeColor="text1"/>
          <w:sz w:val="22"/>
          <w:szCs w:val="22"/>
        </w:rPr>
        <w:t xml:space="preserve">z modeli PKP PLK </w:t>
      </w:r>
      <w:r w:rsidR="0060230F" w:rsidRPr="009B78DA">
        <w:rPr>
          <w:rFonts w:ascii="Arial" w:hAnsi="Arial" w:cs="Arial"/>
          <w:color w:val="000000" w:themeColor="text1"/>
          <w:sz w:val="22"/>
          <w:szCs w:val="22"/>
        </w:rPr>
        <w:t xml:space="preserve">S.A. </w:t>
      </w:r>
      <w:r w:rsidRPr="009B78DA">
        <w:rPr>
          <w:rFonts w:ascii="Arial" w:hAnsi="Arial" w:cs="Arial"/>
          <w:color w:val="000000" w:themeColor="text1"/>
          <w:sz w:val="22"/>
          <w:szCs w:val="22"/>
        </w:rPr>
        <w:t>i CPK, jedynym źródłem dość szczątkowych informacji dotyczących prognozy rozkładu ruchu na sieci drogowej w Polsce jest model INMOP-3. W maju 2019 r. odbyła się konferencja kończąca prace nad tym projektem realizowanym przez konsorcjum Politechniki Warszawskiej i Politechniki Krakowskiej</w:t>
      </w:r>
      <w:r w:rsidR="00CF1943">
        <w:rPr>
          <w:rFonts w:ascii="Arial" w:hAnsi="Arial" w:cs="Arial"/>
          <w:color w:val="000000" w:themeColor="text1"/>
          <w:sz w:val="22"/>
          <w:szCs w:val="22"/>
        </w:rPr>
        <w:t xml:space="preserve">. </w:t>
      </w:r>
      <w:r w:rsidRPr="009B78DA">
        <w:rPr>
          <w:rFonts w:ascii="Arial" w:hAnsi="Arial" w:cs="Arial"/>
          <w:color w:val="000000" w:themeColor="text1"/>
          <w:sz w:val="22"/>
          <w:szCs w:val="22"/>
        </w:rPr>
        <w:t>W pierwszej prezentacji autorstwa A. Brzezińskiego na jednym ze slajdów zawarta jest mapa prezentująca wynik rozkładu ruchu w modelu drogowym dla wszystkich pojazdów – prognoza ruchu na drogach w 2045 r.</w:t>
      </w:r>
    </w:p>
    <w:p w14:paraId="048B677A" w14:textId="27D66709" w:rsidR="00BD7E48" w:rsidRPr="009B78DA" w:rsidRDefault="00BD7E48" w:rsidP="00CF1943">
      <w:pPr>
        <w:spacing w:before="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Interpretacja wyników modelu INMOP-3 w kontekście przyszłych układów transportowych Podkarpacia jest interesująca szczególnie w kontekście drogi ekspresowej S19 (która w założeniu będzie w 2045 r. dostępna dla użytkowników na całym jej przebiegu przez region). Rysunek wskazuje natężenie ruchu ogółem niższe niż 20 tys. pojazdów na dobę na całym przebiegu S19 (z wyjątkiem </w:t>
      </w:r>
      <w:r w:rsidR="00FC5C50" w:rsidRPr="009B78DA">
        <w:rPr>
          <w:rFonts w:ascii="Arial" w:hAnsi="Arial" w:cs="Arial"/>
          <w:color w:val="000000" w:themeColor="text1"/>
          <w:sz w:val="22"/>
          <w:szCs w:val="22"/>
        </w:rPr>
        <w:t>ROF</w:t>
      </w:r>
      <w:r w:rsidRPr="009B78DA">
        <w:rPr>
          <w:rFonts w:ascii="Arial" w:hAnsi="Arial" w:cs="Arial"/>
          <w:color w:val="000000" w:themeColor="text1"/>
          <w:sz w:val="22"/>
          <w:szCs w:val="22"/>
        </w:rPr>
        <w:t xml:space="preserve">). </w:t>
      </w:r>
      <w:bookmarkStart w:id="216" w:name="_Hlk120257921"/>
      <w:bookmarkStart w:id="217" w:name="_Hlk92605225"/>
      <w:r w:rsidR="00420B3C" w:rsidRPr="009B78DA">
        <w:rPr>
          <w:rFonts w:ascii="Arial" w:hAnsi="Arial" w:cs="Arial"/>
          <w:color w:val="000000" w:themeColor="text1"/>
          <w:sz w:val="22"/>
          <w:szCs w:val="22"/>
        </w:rPr>
        <w:t xml:space="preserve">Z drugiej strony prognozuje się natężenie ruchu w graniach 10-20 tys. pojazdów na dobę na większości jednojezdniowych odcinków dróg krajowych przecinających województwo (pomimo założenia oddania do użytkowania nie tylko S19, ale również drogi ekspresowej S74). Co może być wskazówką do dalszych działań inwestycyjnych, w tym rozbudowy ww. odcinków sieci drogowych do parametrów 2+1 (S74) </w:t>
      </w:r>
      <w:bookmarkEnd w:id="216"/>
      <w:r w:rsidR="00420B3C" w:rsidRPr="009B78DA">
        <w:rPr>
          <w:rFonts w:ascii="Arial" w:hAnsi="Arial" w:cs="Arial"/>
          <w:color w:val="000000" w:themeColor="text1"/>
          <w:sz w:val="22"/>
          <w:szCs w:val="22"/>
        </w:rPr>
        <w:t>lub 2+2 (S19).</w:t>
      </w:r>
      <w:r w:rsidRPr="009B78DA">
        <w:rPr>
          <w:rFonts w:ascii="Arial" w:hAnsi="Arial" w:cs="Arial"/>
          <w:color w:val="000000" w:themeColor="text1"/>
          <w:sz w:val="22"/>
          <w:szCs w:val="22"/>
        </w:rPr>
        <w:t xml:space="preserve"> </w:t>
      </w:r>
      <w:bookmarkEnd w:id="217"/>
      <w:r w:rsidRPr="009B78DA">
        <w:rPr>
          <w:rFonts w:ascii="Arial" w:hAnsi="Arial" w:cs="Arial"/>
          <w:color w:val="000000" w:themeColor="text1"/>
          <w:sz w:val="22"/>
          <w:szCs w:val="22"/>
        </w:rPr>
        <w:t>Do najbardziej obłożonych odcinków siec</w:t>
      </w:r>
      <w:r w:rsidR="00AD7484" w:rsidRPr="009B78DA">
        <w:rPr>
          <w:rFonts w:ascii="Arial" w:hAnsi="Arial" w:cs="Arial"/>
          <w:color w:val="000000" w:themeColor="text1"/>
          <w:sz w:val="22"/>
          <w:szCs w:val="22"/>
        </w:rPr>
        <w:t xml:space="preserve">i dróg krajowych prognozowanej </w:t>
      </w:r>
      <w:r w:rsidRPr="009B78DA">
        <w:rPr>
          <w:rFonts w:ascii="Arial" w:hAnsi="Arial" w:cs="Arial"/>
          <w:color w:val="000000" w:themeColor="text1"/>
          <w:sz w:val="22"/>
          <w:szCs w:val="22"/>
        </w:rPr>
        <w:t xml:space="preserve">w 2045 r. w województwie podkarpackim (poza </w:t>
      </w:r>
      <w:r w:rsidR="00DE73AF" w:rsidRPr="009B78DA">
        <w:rPr>
          <w:rFonts w:ascii="Arial" w:hAnsi="Arial" w:cs="Arial"/>
          <w:color w:val="000000" w:themeColor="text1"/>
          <w:sz w:val="22"/>
          <w:szCs w:val="22"/>
        </w:rPr>
        <w:t xml:space="preserve">istniejącą </w:t>
      </w:r>
      <w:r w:rsidRPr="009B78DA">
        <w:rPr>
          <w:rFonts w:ascii="Arial" w:hAnsi="Arial" w:cs="Arial"/>
          <w:color w:val="000000" w:themeColor="text1"/>
          <w:sz w:val="22"/>
          <w:szCs w:val="22"/>
        </w:rPr>
        <w:t xml:space="preserve">siecią autostrad (A4) </w:t>
      </w:r>
      <w:r w:rsidR="00DE73AF" w:rsidRPr="009B78DA">
        <w:rPr>
          <w:rFonts w:ascii="Arial" w:hAnsi="Arial" w:cs="Arial"/>
          <w:color w:val="000000" w:themeColor="text1"/>
          <w:sz w:val="22"/>
          <w:szCs w:val="22"/>
        </w:rPr>
        <w:t>oraz istniejącą i planowaną siecią</w:t>
      </w:r>
      <w:r w:rsidRPr="009B78DA">
        <w:rPr>
          <w:rFonts w:ascii="Arial" w:hAnsi="Arial" w:cs="Arial"/>
          <w:color w:val="000000" w:themeColor="text1"/>
          <w:sz w:val="22"/>
          <w:szCs w:val="22"/>
        </w:rPr>
        <w:t xml:space="preserve"> dróg ekspresowych (S19/S74)) należą drogi krajowe:</w:t>
      </w:r>
      <w:r w:rsidR="006A4F99"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DK9</w:t>
      </w:r>
      <w:r w:rsidR="0012223F"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DK77</w:t>
      </w:r>
      <w:r w:rsidR="0012223F" w:rsidRPr="009B78DA">
        <w:rPr>
          <w:rFonts w:ascii="Arial" w:hAnsi="Arial" w:cs="Arial"/>
          <w:color w:val="000000" w:themeColor="text1"/>
          <w:sz w:val="22"/>
          <w:szCs w:val="22"/>
        </w:rPr>
        <w:t>,</w:t>
      </w:r>
      <w:r w:rsidR="006A4F99"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ciąg dróg krajowych DK28/DK73/DK94</w:t>
      </w:r>
      <w:r w:rsidR="006A4F99" w:rsidRPr="009B78DA">
        <w:rPr>
          <w:rFonts w:ascii="Arial" w:hAnsi="Arial" w:cs="Arial"/>
          <w:color w:val="000000" w:themeColor="text1"/>
          <w:sz w:val="22"/>
          <w:szCs w:val="22"/>
        </w:rPr>
        <w:t>.</w:t>
      </w:r>
    </w:p>
    <w:p w14:paraId="79D6EBD6" w14:textId="0C6A368D" w:rsidR="00BD7E48" w:rsidRPr="009B78DA" w:rsidRDefault="00BD7E48" w:rsidP="00CF1943">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Dopełnieniem szczególnych „wąskich gardeł” systemu transportu drogowego </w:t>
      </w:r>
      <w:r w:rsidR="00CF1943">
        <w:rPr>
          <w:rFonts w:ascii="Arial" w:hAnsi="Arial" w:cs="Arial"/>
          <w:color w:val="000000" w:themeColor="text1"/>
          <w:sz w:val="22"/>
          <w:szCs w:val="22"/>
        </w:rPr>
        <w:br/>
      </w:r>
      <w:r w:rsidRPr="009B78DA">
        <w:rPr>
          <w:rFonts w:ascii="Arial" w:hAnsi="Arial" w:cs="Arial"/>
          <w:color w:val="000000" w:themeColor="text1"/>
          <w:sz w:val="22"/>
          <w:szCs w:val="22"/>
        </w:rPr>
        <w:t xml:space="preserve">w województwie podkarpackim w świetle prognozy w modelu INMOP-3 są odcinki sieci dróg wojewódzkich, na których również prognozowane natężenie ruchu przekracza 10 tys. pojazdów. Z punktu widzenia oczekiwanego rozkładu ruchu na sieci, a z drugiej strony biorąc pod uwagę odpowiedzialność Urzędu Marszałkowskiego za rozwój systemu drogowego na szczeblu dróg wojewódzkich, szczególną uwagą należy objąć te odcinki dróg wojewódzkich, dla których prognozowane natężenie ruchu w 2045 r. przekracza 10 tys. pojazdów. W świetle jedynej możliwej do uzyskania mapy prognostycznej z wszystkich dostępnych na przełom lat 2020/2021 modeli na poziomie krajowym uwzględniających sieć drogową w województwie podkarpackim (model INMOP-3) do szczególnie obciążonych odcinków sieci dróg wojewódzkich będą należeć DW877/DW835 (Dylągówka-Dynów), DW993 (Dukla-Nowy Żmigród), DW875 (Mielec-Kolbuszowa) i DW886 (Domaradz-Brzozów-Sanok). Należy mieć jednak na uwadze, że model INMOP-3 zbudowany został dla </w:t>
      </w:r>
      <w:r w:rsidR="00863D6E" w:rsidRPr="009B78DA">
        <w:rPr>
          <w:rFonts w:ascii="Arial" w:hAnsi="Arial" w:cs="Arial"/>
          <w:color w:val="000000" w:themeColor="text1"/>
          <w:sz w:val="22"/>
          <w:szCs w:val="22"/>
        </w:rPr>
        <w:t>obszarów</w:t>
      </w:r>
      <w:r w:rsidRPr="009B78DA">
        <w:rPr>
          <w:rFonts w:ascii="Arial" w:hAnsi="Arial" w:cs="Arial"/>
          <w:color w:val="000000" w:themeColor="text1"/>
          <w:sz w:val="22"/>
          <w:szCs w:val="22"/>
        </w:rPr>
        <w:t xml:space="preserve"> transportowych na poziomie powiatowym (a nie jak modele CUPT i PKP PLK </w:t>
      </w:r>
      <w:r w:rsidR="0060230F" w:rsidRPr="009B78DA">
        <w:rPr>
          <w:rFonts w:ascii="Arial" w:hAnsi="Arial" w:cs="Arial"/>
          <w:color w:val="000000" w:themeColor="text1"/>
          <w:sz w:val="22"/>
          <w:szCs w:val="22"/>
        </w:rPr>
        <w:t>S.A.</w:t>
      </w:r>
      <w:r w:rsidR="0012223F"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na poziomie gminnym) co może w konsekwencji prowadzić do przewartościowania potoków ruchu między miastami powiatowymi i niedowartościowania</w:t>
      </w:r>
      <w:r w:rsidR="00AD7484" w:rsidRPr="009B78DA">
        <w:rPr>
          <w:rFonts w:ascii="Arial" w:hAnsi="Arial" w:cs="Arial"/>
          <w:color w:val="000000" w:themeColor="text1"/>
          <w:sz w:val="22"/>
          <w:szCs w:val="22"/>
        </w:rPr>
        <w:t xml:space="preserve"> międzygminnych potoków ruchu. </w:t>
      </w:r>
      <w:r w:rsidRPr="009B78DA">
        <w:rPr>
          <w:rFonts w:ascii="Arial" w:hAnsi="Arial" w:cs="Arial"/>
          <w:color w:val="000000" w:themeColor="text1"/>
          <w:sz w:val="22"/>
          <w:szCs w:val="22"/>
        </w:rPr>
        <w:t>Z drugiej strony model INMOP-3 wykorzystuje interesujące alternatywne bazy danych (karty SIM) co jest szczególnie interesujące z punktu widzenia sezonowości ruchu (w tym sezonowości ruchu turystycznego). Niestety w dostępnych materiałach zawartych w prezentacjach kończących projekt INMOP-3 zawarte są jedynie rozkłady ruchu turystycznego do Zakopanego i nad Morze Bał</w:t>
      </w:r>
      <w:r w:rsidR="00AD7484" w:rsidRPr="009B78DA">
        <w:rPr>
          <w:rFonts w:ascii="Arial" w:hAnsi="Arial" w:cs="Arial"/>
          <w:color w:val="000000" w:themeColor="text1"/>
          <w:sz w:val="22"/>
          <w:szCs w:val="22"/>
        </w:rPr>
        <w:t xml:space="preserve">tyckie (brak obszaru Bieszczad </w:t>
      </w:r>
      <w:r w:rsidRPr="009B78DA">
        <w:rPr>
          <w:rFonts w:ascii="Arial" w:hAnsi="Arial" w:cs="Arial"/>
          <w:color w:val="000000" w:themeColor="text1"/>
          <w:sz w:val="22"/>
          <w:szCs w:val="22"/>
        </w:rPr>
        <w:t>i województwa podkarpackiego).</w:t>
      </w:r>
    </w:p>
    <w:p w14:paraId="5DBB5F6A" w14:textId="26374526" w:rsidR="0007194B" w:rsidRPr="009B78DA" w:rsidRDefault="0007194B" w:rsidP="00CF1943">
      <w:pPr>
        <w:pStyle w:val="Legenda"/>
        <w:keepNext/>
        <w:rPr>
          <w:rFonts w:ascii="Arial" w:hAnsi="Arial" w:cs="Arial"/>
          <w:i w:val="0"/>
          <w:color w:val="000000" w:themeColor="text1"/>
          <w:sz w:val="22"/>
          <w:szCs w:val="22"/>
        </w:rPr>
      </w:pPr>
      <w:bookmarkStart w:id="218" w:name="_Toc146785684"/>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Wynik rozkładu ruchu w modelu drogowym dla wszystkich pojazdów – prognoza ruchu na drogach w 2045 r.</w:t>
      </w:r>
      <w:bookmarkEnd w:id="218"/>
    </w:p>
    <w:p w14:paraId="5309600B" w14:textId="77777777" w:rsidR="00907336" w:rsidRPr="009B78DA" w:rsidRDefault="00BD7E48" w:rsidP="00F45E35">
      <w:pPr>
        <w:spacing w:before="120" w:line="276" w:lineRule="auto"/>
        <w:jc w:val="both"/>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6127E261" wp14:editId="5FA9254C">
            <wp:extent cx="5053965" cy="3743325"/>
            <wp:effectExtent l="0" t="0" r="0" b="9525"/>
            <wp:docPr id="8" name="Obraz 8" descr="Krajowy Model Ruchu – prognoza ruchu na drogach 2045. Legenda zawiera typy dróg: szarą linia drogi miejskie, pogrubioną szara linia drogi wojewódzkie, podwójną pogrubiona szara linia drogi wojewódzkie 2x2, zieloną linia drogi krajowe, podwójną zieloną linia drogi krajowe 2x2, pogrubiona zielona linia drogi ekspresowe 1 jezdniowe, podwójną zielona linia drogi ekspresowe, pogrubioną podwójna zieloną linia autostrada płatna i bezpłatna. Zaznaczono również wszystkie pojazdy SDR m.in.: jasno szarym powyżej 100000, ciemno szarym od 100000 do 200000, żółtym od 200000 do 30000, jasno pomarańczowym od 300000 do 400000, ciemno pomarańczowym od 400000 do 500000, brązowym od 500000 do 600000. Autor A. Brzeziński – INMOP 3/ Intermodalny Krajowy Model Ruchu. " title="Rysunek 55 Wynik rozkładu ruchu w modelu drogowym dla wszystkich pojazdów – prognoza ruchu na drogach w 2045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53965" cy="3743325"/>
                    </a:xfrm>
                    <a:prstGeom prst="rect">
                      <a:avLst/>
                    </a:prstGeom>
                    <a:noFill/>
                  </pic:spPr>
                </pic:pic>
              </a:graphicData>
            </a:graphic>
          </wp:inline>
        </w:drawing>
      </w:r>
    </w:p>
    <w:p w14:paraId="6425862C" w14:textId="03616CC6" w:rsidR="00A837BE" w:rsidRPr="00CF1943" w:rsidRDefault="00BD7E48" w:rsidP="00F0624C">
      <w:pPr>
        <w:spacing w:before="120" w:line="276" w:lineRule="auto"/>
        <w:rPr>
          <w:color w:val="000000" w:themeColor="text1"/>
          <w:sz w:val="16"/>
          <w:szCs w:val="16"/>
        </w:rPr>
      </w:pPr>
      <w:r w:rsidRPr="009B78DA">
        <w:rPr>
          <w:rFonts w:ascii="Arial" w:hAnsi="Arial" w:cs="Arial"/>
          <w:color w:val="000000" w:themeColor="text1"/>
          <w:sz w:val="22"/>
          <w:szCs w:val="22"/>
        </w:rPr>
        <w:t>Źródło: Intermodalny Krajowy Model Ruchu (INMOP-3) (2019); Prez</w:t>
      </w:r>
      <w:r w:rsidR="00F0624C">
        <w:rPr>
          <w:rFonts w:ascii="Arial" w:hAnsi="Arial" w:cs="Arial"/>
          <w:color w:val="000000" w:themeColor="text1"/>
          <w:sz w:val="22"/>
          <w:szCs w:val="22"/>
        </w:rPr>
        <w:t xml:space="preserve">entacja: 01-PROJEKT-INMOP-3.pdf </w:t>
      </w:r>
      <w:hyperlink r:id="rId71" w:history="1">
        <w:r w:rsidRPr="009B78DA">
          <w:rPr>
            <w:rStyle w:val="Hipercze"/>
            <w:rFonts w:ascii="Arial" w:hAnsi="Arial" w:cs="Arial"/>
            <w:color w:val="000000" w:themeColor="text1"/>
            <w:sz w:val="22"/>
            <w:szCs w:val="22"/>
          </w:rPr>
          <w:t>www.gddkia.gov.pl/pl/a/33741/Poznalismy-wyniki-prac-nad-intermodalnym-krajowym-modelem-ruchu</w:t>
        </w:r>
      </w:hyperlink>
    </w:p>
    <w:p w14:paraId="23A5F07B" w14:textId="77777777" w:rsidR="00876A74" w:rsidRPr="009B78DA" w:rsidRDefault="00876A74">
      <w:pPr>
        <w:rPr>
          <w:color w:val="000000" w:themeColor="text1"/>
        </w:rPr>
      </w:pPr>
    </w:p>
    <w:p w14:paraId="7D5DDDA3" w14:textId="0E99217A" w:rsidR="00876A74" w:rsidRPr="009B78DA" w:rsidRDefault="00876A74">
      <w:pPr>
        <w:rPr>
          <w:color w:val="000000" w:themeColor="text1"/>
        </w:rPr>
        <w:sectPr w:rsidR="00876A74" w:rsidRPr="009B78DA" w:rsidSect="00876A74">
          <w:pgSz w:w="11906" w:h="16838"/>
          <w:pgMar w:top="1418" w:right="1418" w:bottom="1418" w:left="1418" w:header="709" w:footer="709" w:gutter="0"/>
          <w:cols w:space="708"/>
          <w:docGrid w:linePitch="360"/>
        </w:sectPr>
      </w:pPr>
    </w:p>
    <w:p w14:paraId="06FB9B5F" w14:textId="308EAF30" w:rsidR="00723A07" w:rsidRPr="009B78DA" w:rsidRDefault="009D22A0" w:rsidP="00F0624C">
      <w:pPr>
        <w:pStyle w:val="Nagwek2"/>
        <w:numPr>
          <w:ilvl w:val="0"/>
          <w:numId w:val="243"/>
        </w:numPr>
      </w:pPr>
      <w:bookmarkStart w:id="219" w:name="_Toc100335070"/>
      <w:bookmarkStart w:id="220" w:name="_Toc146785796"/>
      <w:r w:rsidRPr="009B78DA">
        <w:t>Analiza SWOT</w:t>
      </w:r>
      <w:r w:rsidR="0047601D" w:rsidRPr="009B78DA">
        <w:rPr>
          <w:rStyle w:val="Odwoanieprzypisudolnego"/>
          <w:rFonts w:cs="Arial"/>
          <w:bCs/>
          <w:sz w:val="26"/>
        </w:rPr>
        <w:footnoteReference w:id="22"/>
      </w:r>
      <w:bookmarkEnd w:id="219"/>
      <w:bookmarkEnd w:id="220"/>
    </w:p>
    <w:p w14:paraId="7D844F65" w14:textId="77777777" w:rsidR="0002769A" w:rsidRPr="009B78DA" w:rsidRDefault="00723A07" w:rsidP="00F0624C">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 uwzględnieniu wszystkich opisanych w Diagnozie uwarunkowań i analiz dotyczących problematyki rozwoju transportu jak również innych zagadnień okołotransportowych, poniżej przedstawiono klasyczną analizę SWOT.</w:t>
      </w:r>
    </w:p>
    <w:p w14:paraId="3A85EB59" w14:textId="5AA3CDF9" w:rsidR="0007194B" w:rsidRPr="009B78DA" w:rsidRDefault="0007194B" w:rsidP="00F0624C">
      <w:pPr>
        <w:pStyle w:val="Legenda"/>
        <w:keepNext/>
        <w:rPr>
          <w:rFonts w:ascii="Arial" w:hAnsi="Arial" w:cs="Arial"/>
          <w:i w:val="0"/>
          <w:color w:val="000000" w:themeColor="text1"/>
          <w:sz w:val="22"/>
          <w:szCs w:val="22"/>
        </w:rPr>
      </w:pPr>
      <w:bookmarkStart w:id="221" w:name="_Toc146785746"/>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lang w:eastAsia="en-US"/>
        </w:rPr>
        <w:t>Analiza SWOT</w:t>
      </w:r>
      <w:bookmarkEnd w:id="221"/>
    </w:p>
    <w:tbl>
      <w:tblPr>
        <w:tblStyle w:val="Tabela-Siatka"/>
        <w:tblW w:w="5000" w:type="pct"/>
        <w:tblLook w:val="04A0" w:firstRow="1" w:lastRow="0" w:firstColumn="1" w:lastColumn="0" w:noHBand="0" w:noVBand="1"/>
        <w:tblCaption w:val="Tabela 16 Analiza SWOT"/>
        <w:tblDescription w:val="Tabela zaiwera MOCNE STRONY, SŁABE STRONY"/>
      </w:tblPr>
      <w:tblGrid>
        <w:gridCol w:w="7651"/>
        <w:gridCol w:w="7737"/>
      </w:tblGrid>
      <w:tr w:rsidR="006F4FD2" w:rsidRPr="009B78DA" w14:paraId="7EA22DF2" w14:textId="77777777" w:rsidTr="00F0624C">
        <w:trPr>
          <w:tblHeader/>
        </w:trPr>
        <w:tc>
          <w:tcPr>
            <w:tcW w:w="2486" w:type="pct"/>
            <w:shd w:val="clear" w:color="auto" w:fill="DEEAF6" w:themeFill="accent1" w:themeFillTint="33"/>
            <w:vAlign w:val="center"/>
          </w:tcPr>
          <w:p w14:paraId="4B2A60A6" w14:textId="77777777" w:rsidR="009D22A0" w:rsidRPr="009B78DA" w:rsidRDefault="009D22A0" w:rsidP="00F0624C">
            <w:p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MOCNE STRONY</w:t>
            </w:r>
          </w:p>
        </w:tc>
        <w:tc>
          <w:tcPr>
            <w:tcW w:w="2514" w:type="pct"/>
            <w:shd w:val="clear" w:color="auto" w:fill="DEEAF6" w:themeFill="accent1" w:themeFillTint="33"/>
            <w:vAlign w:val="center"/>
          </w:tcPr>
          <w:p w14:paraId="33CA9AD2" w14:textId="77777777" w:rsidR="009D22A0" w:rsidRPr="009B78DA" w:rsidRDefault="009D22A0" w:rsidP="00F0624C">
            <w:p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SŁABE STRONY</w:t>
            </w:r>
          </w:p>
        </w:tc>
      </w:tr>
      <w:tr w:rsidR="009D22A0" w:rsidRPr="009B78DA" w14:paraId="41A338B4" w14:textId="77777777" w:rsidTr="00F0624C">
        <w:tc>
          <w:tcPr>
            <w:tcW w:w="2486" w:type="pct"/>
            <w:vAlign w:val="center"/>
          </w:tcPr>
          <w:p w14:paraId="2EC99DF1" w14:textId="77777777" w:rsidR="009D22A0" w:rsidRPr="009B78DA" w:rsidRDefault="009D22A0" w:rsidP="00F0624C">
            <w:pPr>
              <w:pStyle w:val="Akapitzlist"/>
              <w:numPr>
                <w:ilvl w:val="0"/>
                <w:numId w:val="67"/>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Policentryczny układ sieci osadniczej województwa podkarpackiego;</w:t>
            </w:r>
          </w:p>
          <w:p w14:paraId="07BCF84D" w14:textId="77777777" w:rsidR="009D22A0" w:rsidRPr="009B78DA" w:rsidRDefault="009D22A0" w:rsidP="00F0624C">
            <w:pPr>
              <w:pStyle w:val="Akapitzlist"/>
              <w:numPr>
                <w:ilvl w:val="0"/>
                <w:numId w:val="67"/>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Rozwój demograficzny i gospodarczy ośrodka wojewódzkiego </w:t>
            </w:r>
            <w:r w:rsidR="00725FD6" w:rsidRPr="009B78DA">
              <w:rPr>
                <w:rFonts w:ascii="Arial" w:hAnsi="Arial" w:cs="Arial"/>
                <w:color w:val="000000" w:themeColor="text1"/>
                <w:sz w:val="22"/>
                <w:szCs w:val="22"/>
              </w:rPr>
              <w:br/>
            </w:r>
            <w:r w:rsidRPr="009B78DA">
              <w:rPr>
                <w:rFonts w:ascii="Arial" w:hAnsi="Arial" w:cs="Arial"/>
                <w:color w:val="000000" w:themeColor="text1"/>
                <w:sz w:val="22"/>
                <w:szCs w:val="22"/>
              </w:rPr>
              <w:t>z obszarem powiązanym funkcjonalnie (ROF);</w:t>
            </w:r>
          </w:p>
          <w:p w14:paraId="778E5BF7" w14:textId="58BEC82D" w:rsidR="009D22A0" w:rsidRPr="009B78DA" w:rsidRDefault="009D22A0" w:rsidP="00F0624C">
            <w:pPr>
              <w:pStyle w:val="Akapitzlist"/>
              <w:numPr>
                <w:ilvl w:val="0"/>
                <w:numId w:val="67"/>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Powiązanie układu komunikacyjnego województwa podkarpackiego </w:t>
            </w:r>
            <w:r w:rsidR="008840E5"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z krajową i międzynarodową siecią TEN-T; </w:t>
            </w:r>
          </w:p>
          <w:p w14:paraId="2B6B0333" w14:textId="16B9F780" w:rsidR="009D22A0" w:rsidRPr="009B78DA" w:rsidRDefault="009D22A0" w:rsidP="00F0624C">
            <w:pPr>
              <w:pStyle w:val="Akapitzlist"/>
              <w:numPr>
                <w:ilvl w:val="0"/>
                <w:numId w:val="67"/>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Autostrada A4</w:t>
            </w:r>
            <w:r w:rsidR="00330F20"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oraz magistrala kolejowa E30, stanowiące główną oś komunikacyjną na kierunku wschód-zachód;</w:t>
            </w:r>
          </w:p>
          <w:p w14:paraId="436687BB" w14:textId="77777777" w:rsidR="009D22A0" w:rsidRPr="009B78DA" w:rsidRDefault="009D22A0" w:rsidP="00F0624C">
            <w:pPr>
              <w:pStyle w:val="Akapitzlist"/>
              <w:numPr>
                <w:ilvl w:val="0"/>
                <w:numId w:val="67"/>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Potencjał portu lotniczego Rzeszów – Jasionka;</w:t>
            </w:r>
          </w:p>
          <w:p w14:paraId="4F71E05B" w14:textId="77777777" w:rsidR="009D22A0" w:rsidRPr="009B78DA" w:rsidRDefault="009D22A0" w:rsidP="00F0624C">
            <w:pPr>
              <w:pStyle w:val="Akapitzlist"/>
              <w:numPr>
                <w:ilvl w:val="0"/>
                <w:numId w:val="67"/>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Dostępność transportowa biegunów wzrostu położonych wzdłuż autostrady A4 (Dębica, Rzeszów, Przeworsk-Jarosław, Przemyśl);</w:t>
            </w:r>
          </w:p>
          <w:p w14:paraId="5EB8F194" w14:textId="77777777" w:rsidR="009D22A0" w:rsidRPr="009B78DA" w:rsidRDefault="009D22A0" w:rsidP="00F0624C">
            <w:pPr>
              <w:pStyle w:val="Akapitzlist"/>
              <w:numPr>
                <w:ilvl w:val="0"/>
                <w:numId w:val="67"/>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Rozbudowana sieć międzypowiatowych połączeń autobusowych;</w:t>
            </w:r>
          </w:p>
          <w:p w14:paraId="78189188" w14:textId="77777777" w:rsidR="009D22A0" w:rsidRPr="009B78DA" w:rsidRDefault="009D22A0" w:rsidP="00F0624C">
            <w:pPr>
              <w:pStyle w:val="Akapitzlist"/>
              <w:numPr>
                <w:ilvl w:val="0"/>
                <w:numId w:val="67"/>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Wysoka atrakcyjność turystyczna województwa;</w:t>
            </w:r>
          </w:p>
          <w:p w14:paraId="6193F548" w14:textId="73AF20CE" w:rsidR="00B464EE" w:rsidRPr="009B78DA" w:rsidRDefault="009D22A0" w:rsidP="00F0624C">
            <w:pPr>
              <w:pStyle w:val="Akapitzlist"/>
              <w:numPr>
                <w:ilvl w:val="0"/>
                <w:numId w:val="67"/>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Opracowane map akustycznych identyfikujących obszary najbardziej zagrożone hałasem i programów ochrony środowiska przed hałasem;</w:t>
            </w:r>
          </w:p>
          <w:p w14:paraId="3AE23C1F" w14:textId="22DE7640" w:rsidR="00FC2FC3" w:rsidRPr="009B78DA" w:rsidRDefault="0084246F" w:rsidP="00F0624C">
            <w:pPr>
              <w:pStyle w:val="Akapitzlist"/>
              <w:numPr>
                <w:ilvl w:val="0"/>
                <w:numId w:val="67"/>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Wybudowane</w:t>
            </w:r>
            <w:r w:rsidR="009D22A0" w:rsidRPr="009B78DA">
              <w:rPr>
                <w:rFonts w:ascii="Arial" w:hAnsi="Arial" w:cs="Arial"/>
                <w:color w:val="000000" w:themeColor="text1"/>
                <w:sz w:val="22"/>
                <w:szCs w:val="22"/>
              </w:rPr>
              <w:t xml:space="preserve"> dr</w:t>
            </w:r>
            <w:r w:rsidRPr="009B78DA">
              <w:rPr>
                <w:rFonts w:ascii="Arial" w:hAnsi="Arial" w:cs="Arial"/>
                <w:color w:val="000000" w:themeColor="text1"/>
                <w:sz w:val="22"/>
                <w:szCs w:val="22"/>
              </w:rPr>
              <w:t>ogi</w:t>
            </w:r>
            <w:r w:rsidR="009D22A0" w:rsidRPr="009B78DA">
              <w:rPr>
                <w:rFonts w:ascii="Arial" w:hAnsi="Arial" w:cs="Arial"/>
                <w:color w:val="000000" w:themeColor="text1"/>
                <w:sz w:val="22"/>
                <w:szCs w:val="22"/>
              </w:rPr>
              <w:t xml:space="preserve"> obwodow</w:t>
            </w:r>
            <w:r w:rsidRPr="009B78DA">
              <w:rPr>
                <w:rFonts w:ascii="Arial" w:hAnsi="Arial" w:cs="Arial"/>
                <w:color w:val="000000" w:themeColor="text1"/>
                <w:sz w:val="22"/>
                <w:szCs w:val="22"/>
              </w:rPr>
              <w:t>e</w:t>
            </w:r>
            <w:r w:rsidR="009D22A0" w:rsidRPr="009B78DA">
              <w:rPr>
                <w:rFonts w:ascii="Arial" w:hAnsi="Arial" w:cs="Arial"/>
                <w:color w:val="000000" w:themeColor="text1"/>
                <w:sz w:val="22"/>
                <w:szCs w:val="22"/>
              </w:rPr>
              <w:t xml:space="preserve"> eliminując</w:t>
            </w:r>
            <w:r w:rsidRPr="009B78DA">
              <w:rPr>
                <w:rFonts w:ascii="Arial" w:hAnsi="Arial" w:cs="Arial"/>
                <w:color w:val="000000" w:themeColor="text1"/>
                <w:sz w:val="22"/>
                <w:szCs w:val="22"/>
              </w:rPr>
              <w:t>e</w:t>
            </w:r>
            <w:r w:rsidR="009D22A0" w:rsidRPr="009B78DA">
              <w:rPr>
                <w:rFonts w:ascii="Arial" w:hAnsi="Arial" w:cs="Arial"/>
                <w:color w:val="000000" w:themeColor="text1"/>
                <w:sz w:val="22"/>
                <w:szCs w:val="22"/>
              </w:rPr>
              <w:t xml:space="preserve"> hałas z centrów miast</w:t>
            </w:r>
            <w:r w:rsidRPr="009B78DA">
              <w:rPr>
                <w:rFonts w:ascii="Arial" w:hAnsi="Arial" w:cs="Arial"/>
                <w:color w:val="000000" w:themeColor="text1"/>
                <w:sz w:val="22"/>
                <w:szCs w:val="22"/>
              </w:rPr>
              <w:t>;</w:t>
            </w:r>
          </w:p>
          <w:p w14:paraId="0435B422" w14:textId="5969910C" w:rsidR="0084246F" w:rsidRPr="009B78DA" w:rsidRDefault="0084246F" w:rsidP="00F0624C">
            <w:pPr>
              <w:pStyle w:val="Akapitzlist"/>
              <w:numPr>
                <w:ilvl w:val="0"/>
                <w:numId w:val="67"/>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Posiadanie międzynarodowego portu lotniczego Rzeszów-Jasionka.</w:t>
            </w:r>
          </w:p>
        </w:tc>
        <w:tc>
          <w:tcPr>
            <w:tcW w:w="2514" w:type="pct"/>
            <w:vAlign w:val="center"/>
          </w:tcPr>
          <w:p w14:paraId="61228827" w14:textId="1721C684" w:rsidR="001A49D2" w:rsidRPr="009B78DA" w:rsidRDefault="001A49D2"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Ograniczenie kompetencyjne Samorządu Województwa wobec elementów rozbudowanego systemu transportu regionu;</w:t>
            </w:r>
          </w:p>
          <w:p w14:paraId="1B4C4230" w14:textId="3058FE5A"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Peryferyjne położenie województwa względem centralnej Polski;</w:t>
            </w:r>
          </w:p>
          <w:p w14:paraId="5793EA00" w14:textId="77777777"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Rozproszenie zabudowy, głównie na terenach wiejskich;</w:t>
            </w:r>
          </w:p>
          <w:p w14:paraId="6084F58A" w14:textId="77777777"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Starzenie się społeczeństwa i rosnąca liczba osób w wieku poprodukcyjnym;</w:t>
            </w:r>
          </w:p>
          <w:p w14:paraId="67CC8C6B" w14:textId="0603419D" w:rsidR="009D22A0" w:rsidRPr="009B78DA" w:rsidRDefault="00863D6E"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Obszary peryferyjne wewnątrz</w:t>
            </w:r>
            <w:r w:rsidR="009D22A0" w:rsidRPr="009B78DA">
              <w:rPr>
                <w:rFonts w:ascii="Arial" w:hAnsi="Arial" w:cs="Arial"/>
                <w:color w:val="000000" w:themeColor="text1"/>
                <w:sz w:val="22"/>
                <w:szCs w:val="22"/>
              </w:rPr>
              <w:t xml:space="preserve"> województwa (w szczególności południowe i północno-wschodnie części województwa);</w:t>
            </w:r>
          </w:p>
          <w:p w14:paraId="2D33C42E" w14:textId="5241E436"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Niedostateczne powiązanie południowej i północno-wschodniej części regionu, infrastrukturą drogową o wysokich parametrach technicznych </w:t>
            </w:r>
            <w:r w:rsidR="008840E5" w:rsidRPr="009B78DA">
              <w:rPr>
                <w:rFonts w:ascii="Arial" w:hAnsi="Arial" w:cs="Arial"/>
                <w:color w:val="000000" w:themeColor="text1"/>
                <w:sz w:val="22"/>
                <w:szCs w:val="22"/>
              </w:rPr>
              <w:br/>
            </w:r>
            <w:r w:rsidRPr="009B78DA">
              <w:rPr>
                <w:rFonts w:ascii="Arial" w:hAnsi="Arial" w:cs="Arial"/>
                <w:color w:val="000000" w:themeColor="text1"/>
                <w:sz w:val="22"/>
                <w:szCs w:val="22"/>
              </w:rPr>
              <w:t>z Rzeszowem;</w:t>
            </w:r>
          </w:p>
          <w:p w14:paraId="35F9F459" w14:textId="44DCC9F4"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Niedostateczne powiązanie południowo-zachodniej części regionu infrastrukturą drogową wyższego rzędu z autostradą A4, a tym samym </w:t>
            </w:r>
            <w:r w:rsidR="008840E5" w:rsidRPr="009B78DA">
              <w:rPr>
                <w:rFonts w:ascii="Arial" w:hAnsi="Arial" w:cs="Arial"/>
                <w:color w:val="000000" w:themeColor="text1"/>
                <w:sz w:val="22"/>
                <w:szCs w:val="22"/>
              </w:rPr>
              <w:br/>
            </w:r>
            <w:r w:rsidRPr="009B78DA">
              <w:rPr>
                <w:rFonts w:ascii="Arial" w:hAnsi="Arial" w:cs="Arial"/>
                <w:color w:val="000000" w:themeColor="text1"/>
                <w:sz w:val="22"/>
                <w:szCs w:val="22"/>
              </w:rPr>
              <w:t>z resztą kraju (węzeł Pilzno na A4);</w:t>
            </w:r>
          </w:p>
          <w:p w14:paraId="511FD9CA" w14:textId="76F98D84"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Niedostateczne powiązanie południowej części regionu </w:t>
            </w:r>
            <w:r w:rsidR="00725FD6" w:rsidRPr="009B78DA">
              <w:rPr>
                <w:rFonts w:ascii="Arial" w:hAnsi="Arial" w:cs="Arial"/>
                <w:color w:val="000000" w:themeColor="text1"/>
                <w:sz w:val="22"/>
                <w:szCs w:val="22"/>
              </w:rPr>
              <w:br/>
            </w:r>
            <w:r w:rsidRPr="009B78DA">
              <w:rPr>
                <w:rFonts w:ascii="Arial" w:hAnsi="Arial" w:cs="Arial"/>
                <w:color w:val="000000" w:themeColor="text1"/>
                <w:sz w:val="22"/>
                <w:szCs w:val="22"/>
              </w:rPr>
              <w:t>z infrastrukturą kolejową z Rzeszowem i z resztą kraju;</w:t>
            </w:r>
          </w:p>
          <w:p w14:paraId="4DF303F5" w14:textId="126CE958"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Niewystarczająca obsługa transportowa (kolejowa i drogowa) północnej </w:t>
            </w:r>
            <w:r w:rsidR="008840E5" w:rsidRPr="009B78DA">
              <w:rPr>
                <w:rFonts w:ascii="Arial" w:hAnsi="Arial" w:cs="Arial"/>
                <w:color w:val="000000" w:themeColor="text1"/>
                <w:sz w:val="22"/>
                <w:szCs w:val="22"/>
              </w:rPr>
              <w:br/>
            </w:r>
            <w:r w:rsidRPr="009B78DA">
              <w:rPr>
                <w:rFonts w:ascii="Arial" w:hAnsi="Arial" w:cs="Arial"/>
                <w:color w:val="000000" w:themeColor="text1"/>
                <w:sz w:val="22"/>
                <w:szCs w:val="22"/>
              </w:rPr>
              <w:t>i północno-zachodniej części województwa, skupiających największą produkcję przemysłową, w tym eksportową;</w:t>
            </w:r>
          </w:p>
          <w:p w14:paraId="77408632" w14:textId="5A0EB2EE" w:rsidR="00AF40CC" w:rsidRPr="009B78DA" w:rsidRDefault="00AF40CC"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Jedna linia kolejowa o znaczeniu międzynarodowym;</w:t>
            </w:r>
          </w:p>
          <w:p w14:paraId="7EEBA538" w14:textId="77777777"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Duży odsetek dróg krajowych, wojewódzkich i powiatowych nie spełniających normatywu nośności; </w:t>
            </w:r>
          </w:p>
          <w:p w14:paraId="312E3FAB" w14:textId="681E218F"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Asymetria popytu na transport </w:t>
            </w:r>
            <w:r w:rsidR="00330F20" w:rsidRPr="009B78DA">
              <w:rPr>
                <w:rFonts w:ascii="Arial" w:hAnsi="Arial" w:cs="Arial"/>
                <w:color w:val="000000" w:themeColor="text1"/>
                <w:sz w:val="22"/>
                <w:szCs w:val="22"/>
              </w:rPr>
              <w:t>(</w:t>
            </w:r>
            <w:r w:rsidRPr="009B78DA">
              <w:rPr>
                <w:rFonts w:ascii="Arial" w:hAnsi="Arial" w:cs="Arial"/>
                <w:color w:val="000000" w:themeColor="text1"/>
                <w:sz w:val="22"/>
                <w:szCs w:val="22"/>
              </w:rPr>
              <w:t>głównie transport samochodowy</w:t>
            </w:r>
            <w:r w:rsidR="00330F20" w:rsidRPr="009B78DA">
              <w:rPr>
                <w:rFonts w:ascii="Arial" w:hAnsi="Arial" w:cs="Arial"/>
                <w:color w:val="000000" w:themeColor="text1"/>
                <w:sz w:val="22"/>
                <w:szCs w:val="22"/>
              </w:rPr>
              <w:t>)</w:t>
            </w:r>
            <w:r w:rsidRPr="009B78DA">
              <w:rPr>
                <w:rFonts w:ascii="Arial" w:hAnsi="Arial" w:cs="Arial"/>
                <w:color w:val="000000" w:themeColor="text1"/>
                <w:sz w:val="22"/>
                <w:szCs w:val="22"/>
              </w:rPr>
              <w:t>;</w:t>
            </w:r>
          </w:p>
          <w:p w14:paraId="564D535E" w14:textId="77777777"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Niekorzystna i utrzymująca się struktura gałęziowa przewozów </w:t>
            </w:r>
            <w:r w:rsidR="00725FD6" w:rsidRPr="009B78DA">
              <w:rPr>
                <w:rFonts w:ascii="Arial" w:hAnsi="Arial" w:cs="Arial"/>
                <w:color w:val="000000" w:themeColor="text1"/>
                <w:sz w:val="22"/>
                <w:szCs w:val="22"/>
              </w:rPr>
              <w:br/>
            </w:r>
            <w:r w:rsidRPr="009B78DA">
              <w:rPr>
                <w:rFonts w:ascii="Arial" w:hAnsi="Arial" w:cs="Arial"/>
                <w:color w:val="000000" w:themeColor="text1"/>
                <w:sz w:val="22"/>
                <w:szCs w:val="22"/>
              </w:rPr>
              <w:t>z dominującym i wciąż rosnącym udziałem transportu drogowego;</w:t>
            </w:r>
          </w:p>
          <w:p w14:paraId="6F842B97" w14:textId="77777777"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Ruch tranzytowy przebiegający przez obszary zurbanizowane; </w:t>
            </w:r>
          </w:p>
          <w:p w14:paraId="3C893605" w14:textId="77777777"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Niski poziom innowacyjności sieci i zastosowania inteligentnych systemów transportowych;</w:t>
            </w:r>
          </w:p>
          <w:p w14:paraId="76EA2286" w14:textId="77777777"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Brak spójnej sieci połączonych ze sobą tras rowerowych województwa o jednolitych parametrach;</w:t>
            </w:r>
          </w:p>
          <w:p w14:paraId="6AB67186" w14:textId="77777777" w:rsidR="009E66E6"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Uwarunkowania przyrodnicze województwa podkarpackiego znacząco podnoszące koszty budowy nowej sieci transportowej</w:t>
            </w:r>
            <w:r w:rsidR="009E66E6" w:rsidRPr="009B78DA">
              <w:rPr>
                <w:rFonts w:ascii="Arial" w:hAnsi="Arial" w:cs="Arial"/>
                <w:color w:val="000000" w:themeColor="text1"/>
                <w:sz w:val="22"/>
                <w:szCs w:val="22"/>
              </w:rPr>
              <w:t>.</w:t>
            </w:r>
          </w:p>
          <w:p w14:paraId="6BD56BFF" w14:textId="009C84F2" w:rsidR="00854162" w:rsidRPr="009B78DA" w:rsidRDefault="009E66E6"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Konieczność adaptacji już istniejącej infrastruktury</w:t>
            </w:r>
            <w:r w:rsidR="00854162" w:rsidRPr="009B78DA">
              <w:rPr>
                <w:rFonts w:ascii="Arial" w:hAnsi="Arial" w:cs="Arial"/>
                <w:color w:val="000000" w:themeColor="text1"/>
                <w:sz w:val="22"/>
                <w:szCs w:val="22"/>
              </w:rPr>
              <w:t xml:space="preserve"> transportowej</w:t>
            </w:r>
            <w:r w:rsidRPr="009B78DA">
              <w:rPr>
                <w:rFonts w:ascii="Arial" w:hAnsi="Arial" w:cs="Arial"/>
                <w:color w:val="000000" w:themeColor="text1"/>
                <w:sz w:val="22"/>
                <w:szCs w:val="22"/>
              </w:rPr>
              <w:t xml:space="preserve"> do potrzeb wynikających z pojawiający</w:t>
            </w:r>
            <w:r w:rsidR="00854162" w:rsidRPr="009B78DA">
              <w:rPr>
                <w:rFonts w:ascii="Arial" w:hAnsi="Arial" w:cs="Arial"/>
                <w:color w:val="000000" w:themeColor="text1"/>
                <w:sz w:val="22"/>
                <w:szCs w:val="22"/>
              </w:rPr>
              <w:t xml:space="preserve">ch się lub stwierdzonych uwarunkowań </w:t>
            </w:r>
            <w:r w:rsidRPr="009B78DA">
              <w:rPr>
                <w:rFonts w:ascii="Arial" w:hAnsi="Arial" w:cs="Arial"/>
                <w:color w:val="000000" w:themeColor="text1"/>
                <w:sz w:val="22"/>
                <w:szCs w:val="22"/>
              </w:rPr>
              <w:t>(wody powierzchniowe, występowanie osuwisk, zagrożenie powodziowe, obszary chronione</w:t>
            </w:r>
            <w:r w:rsidR="00854162" w:rsidRPr="009B78DA">
              <w:rPr>
                <w:rFonts w:ascii="Arial" w:hAnsi="Arial" w:cs="Arial"/>
                <w:color w:val="000000" w:themeColor="text1"/>
                <w:sz w:val="22"/>
                <w:szCs w:val="22"/>
              </w:rPr>
              <w:t>, etc.</w:t>
            </w:r>
            <w:r w:rsidRPr="009B78DA">
              <w:rPr>
                <w:rFonts w:ascii="Arial" w:hAnsi="Arial" w:cs="Arial"/>
                <w:color w:val="000000" w:themeColor="text1"/>
                <w:sz w:val="22"/>
                <w:szCs w:val="22"/>
              </w:rPr>
              <w:t>)</w:t>
            </w:r>
            <w:r w:rsidR="00854162" w:rsidRPr="009B78DA">
              <w:rPr>
                <w:rFonts w:ascii="Arial" w:hAnsi="Arial" w:cs="Arial"/>
                <w:color w:val="000000" w:themeColor="text1"/>
                <w:sz w:val="22"/>
                <w:szCs w:val="22"/>
              </w:rPr>
              <w:t>;</w:t>
            </w:r>
          </w:p>
          <w:p w14:paraId="7398A29C" w14:textId="484321C9" w:rsidR="009D22A0" w:rsidRPr="009B78DA" w:rsidRDefault="009D22A0" w:rsidP="00F0624C">
            <w:pPr>
              <w:pStyle w:val="Akapitzlist"/>
              <w:numPr>
                <w:ilvl w:val="0"/>
                <w:numId w:val="68"/>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Wysokie obciążenie dla środowiska naturalnego</w:t>
            </w:r>
            <w:r w:rsidR="00330F20" w:rsidRPr="009B78DA">
              <w:rPr>
                <w:rFonts w:ascii="Arial" w:hAnsi="Arial" w:cs="Arial"/>
                <w:color w:val="000000" w:themeColor="text1"/>
                <w:sz w:val="22"/>
                <w:szCs w:val="22"/>
              </w:rPr>
              <w:t>.</w:t>
            </w:r>
          </w:p>
        </w:tc>
      </w:tr>
    </w:tbl>
    <w:p w14:paraId="2DC318F3" w14:textId="77777777" w:rsidR="002475D1" w:rsidRPr="00F0624C" w:rsidRDefault="002475D1" w:rsidP="00F45E35">
      <w:pPr>
        <w:spacing w:after="0" w:line="276" w:lineRule="auto"/>
        <w:jc w:val="both"/>
        <w:rPr>
          <w:rFonts w:ascii="Arial" w:hAnsi="Arial" w:cs="Arial"/>
          <w:color w:val="000000" w:themeColor="text1"/>
          <w:sz w:val="2"/>
          <w:szCs w:val="2"/>
        </w:rPr>
      </w:pPr>
    </w:p>
    <w:tbl>
      <w:tblPr>
        <w:tblStyle w:val="Tabela-Siatka"/>
        <w:tblW w:w="5000" w:type="pct"/>
        <w:tblLook w:val="04A0" w:firstRow="1" w:lastRow="0" w:firstColumn="1" w:lastColumn="0" w:noHBand="0" w:noVBand="1"/>
        <w:tblCaption w:val="Tabela 16 Analiza SWOT"/>
        <w:tblDescription w:val="Tabela zawiera SZANSE, ZAGROŻENIA"/>
      </w:tblPr>
      <w:tblGrid>
        <w:gridCol w:w="7651"/>
        <w:gridCol w:w="7737"/>
      </w:tblGrid>
      <w:tr w:rsidR="006F4FD2" w:rsidRPr="009B78DA" w14:paraId="75A7BA46" w14:textId="77777777" w:rsidTr="00F0624C">
        <w:trPr>
          <w:tblHeader/>
        </w:trPr>
        <w:tc>
          <w:tcPr>
            <w:tcW w:w="2486" w:type="pct"/>
            <w:shd w:val="clear" w:color="auto" w:fill="DEEAF6" w:themeFill="accent1" w:themeFillTint="33"/>
            <w:vAlign w:val="center"/>
          </w:tcPr>
          <w:p w14:paraId="30A0E7AA" w14:textId="77777777" w:rsidR="002475D1" w:rsidRPr="009B78DA" w:rsidRDefault="002475D1" w:rsidP="00F0624C">
            <w:p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SZANSE</w:t>
            </w:r>
          </w:p>
        </w:tc>
        <w:tc>
          <w:tcPr>
            <w:tcW w:w="2514" w:type="pct"/>
            <w:shd w:val="clear" w:color="auto" w:fill="DEEAF6" w:themeFill="accent1" w:themeFillTint="33"/>
            <w:vAlign w:val="center"/>
          </w:tcPr>
          <w:p w14:paraId="27E41FE1" w14:textId="77777777" w:rsidR="002475D1" w:rsidRPr="009B78DA" w:rsidRDefault="002475D1" w:rsidP="00F0624C">
            <w:pPr>
              <w:spacing w:before="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ZAGROŻENIA</w:t>
            </w:r>
          </w:p>
        </w:tc>
      </w:tr>
      <w:tr w:rsidR="006F4FD2" w:rsidRPr="009B78DA" w14:paraId="12242379" w14:textId="77777777" w:rsidTr="00F0624C">
        <w:tc>
          <w:tcPr>
            <w:tcW w:w="2486" w:type="pct"/>
            <w:vAlign w:val="center"/>
          </w:tcPr>
          <w:p w14:paraId="6A6C8987" w14:textId="17AB2F74" w:rsidR="002475D1" w:rsidRPr="009B78DA" w:rsidRDefault="002475D1" w:rsidP="00F0624C">
            <w:pPr>
              <w:pStyle w:val="Akapitzlist"/>
              <w:numPr>
                <w:ilvl w:val="0"/>
                <w:numId w:val="6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Zapewnienie ciągłości europejskiej sieci transportowej, w tym realizacja </w:t>
            </w:r>
            <w:r w:rsidR="008840E5" w:rsidRPr="009B78DA">
              <w:rPr>
                <w:rFonts w:ascii="Arial" w:hAnsi="Arial" w:cs="Arial"/>
                <w:color w:val="000000" w:themeColor="text1"/>
                <w:sz w:val="22"/>
                <w:szCs w:val="22"/>
              </w:rPr>
              <w:br/>
            </w:r>
            <w:r w:rsidRPr="009B78DA">
              <w:rPr>
                <w:rFonts w:ascii="Arial" w:hAnsi="Arial" w:cs="Arial"/>
                <w:color w:val="000000" w:themeColor="text1"/>
                <w:sz w:val="22"/>
                <w:szCs w:val="22"/>
              </w:rPr>
              <w:t>i utrzymanie elementów sieci TEN-T, zapewniających poprawę dostępności zewnętrznej i wewnętrznej województwa podkarpackiego – eliminacja luk transportowych;</w:t>
            </w:r>
          </w:p>
          <w:p w14:paraId="1D483821" w14:textId="44647774" w:rsidR="004B21CF" w:rsidRPr="009B78DA" w:rsidRDefault="00AD17E1" w:rsidP="00F0624C">
            <w:pPr>
              <w:pStyle w:val="Akapitzlist"/>
              <w:numPr>
                <w:ilvl w:val="0"/>
                <w:numId w:val="6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Droga ekspresowa S19 stanowiąca główną oś komunikacyjną na kierunku północ-południe;</w:t>
            </w:r>
          </w:p>
          <w:p w14:paraId="60E4EB30" w14:textId="77777777" w:rsidR="002475D1" w:rsidRPr="009B78DA" w:rsidRDefault="002475D1" w:rsidP="00F0624C">
            <w:pPr>
              <w:pStyle w:val="Akapitzlist"/>
              <w:numPr>
                <w:ilvl w:val="0"/>
                <w:numId w:val="6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Wzmocnienie roli transportu kolejowego i poprawa jakości usług przewozów pasażerskich. Integracja różnych form publicznego transportu zbiorowego; </w:t>
            </w:r>
          </w:p>
          <w:p w14:paraId="491F86E6" w14:textId="77777777" w:rsidR="002475D1" w:rsidRPr="009B78DA" w:rsidRDefault="002475D1" w:rsidP="00F0624C">
            <w:pPr>
              <w:pStyle w:val="Akapitzlist"/>
              <w:numPr>
                <w:ilvl w:val="0"/>
                <w:numId w:val="6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Polityka UE dążąca do wysokiego standardu dróg, zapewniających właściwą przepustowość i bezpieczeństwo w ruchu;</w:t>
            </w:r>
          </w:p>
          <w:p w14:paraId="59870610" w14:textId="77777777" w:rsidR="002475D1" w:rsidRPr="009B78DA" w:rsidRDefault="002475D1" w:rsidP="00F0624C">
            <w:pPr>
              <w:pStyle w:val="Akapitzlist"/>
              <w:numPr>
                <w:ilvl w:val="0"/>
                <w:numId w:val="6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Wsparcie transportowe drogowo-kolejowe dla ośrodków aktywnych gospodarczo;</w:t>
            </w:r>
          </w:p>
          <w:p w14:paraId="2C006BDB" w14:textId="77777777" w:rsidR="002475D1" w:rsidRPr="009B78DA" w:rsidRDefault="002475D1" w:rsidP="00F0624C">
            <w:pPr>
              <w:pStyle w:val="Akapitzlist"/>
              <w:numPr>
                <w:ilvl w:val="0"/>
                <w:numId w:val="6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Polityka dążąca do utworzenia spójnego, zrównoważonego systemu transportu na poziomie krajowym i europejskim;</w:t>
            </w:r>
          </w:p>
          <w:p w14:paraId="27367472" w14:textId="77777777" w:rsidR="002475D1" w:rsidRPr="009B78DA" w:rsidRDefault="002475D1" w:rsidP="00F0624C">
            <w:pPr>
              <w:pStyle w:val="Akapitzlist"/>
              <w:numPr>
                <w:ilvl w:val="0"/>
                <w:numId w:val="6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Rozbudowa infrastruktury drogowej oraz likwidacja wąskich gardeł sieci drogowej na wlotach do miast;</w:t>
            </w:r>
          </w:p>
          <w:p w14:paraId="6F1E029E" w14:textId="77777777" w:rsidR="002475D1" w:rsidRPr="009B78DA" w:rsidRDefault="002475D1" w:rsidP="00F0624C">
            <w:pPr>
              <w:pStyle w:val="Akapitzlist"/>
              <w:numPr>
                <w:ilvl w:val="0"/>
                <w:numId w:val="6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Rozwój nowoczesnych technologii cyfrowych (ITS), usprawniających funkcjonowanie transportu i poprawiających bezpieczeństwo ruchu;</w:t>
            </w:r>
          </w:p>
          <w:p w14:paraId="6D5752FE" w14:textId="77777777" w:rsidR="002475D1" w:rsidRPr="009B78DA" w:rsidRDefault="002475D1" w:rsidP="00F0624C">
            <w:pPr>
              <w:pStyle w:val="Akapitzlist"/>
              <w:numPr>
                <w:ilvl w:val="0"/>
                <w:numId w:val="6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Polityka wpierająca rozwój proekologicznych rozwiązań, w tym przyjaznych środowisku środków transportu; </w:t>
            </w:r>
          </w:p>
          <w:p w14:paraId="4A17D42E" w14:textId="77777777" w:rsidR="002475D1" w:rsidRPr="009B78DA" w:rsidRDefault="002475D1" w:rsidP="00F0624C">
            <w:pPr>
              <w:pStyle w:val="Akapitzlist"/>
              <w:numPr>
                <w:ilvl w:val="0"/>
                <w:numId w:val="6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Wzrastająca mobilność społeczeństwa wskazująca na osiągnięcie wyższego poziomu rozwoju gospodarczego;</w:t>
            </w:r>
          </w:p>
          <w:p w14:paraId="0F33D6EF" w14:textId="77777777" w:rsidR="002475D1" w:rsidRPr="009B78DA" w:rsidRDefault="002475D1" w:rsidP="00F0624C">
            <w:pPr>
              <w:pStyle w:val="Akapitzlist"/>
              <w:numPr>
                <w:ilvl w:val="0"/>
                <w:numId w:val="69"/>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Wzrost gospodarczy powodujący zwiększony popyt na transport;</w:t>
            </w:r>
          </w:p>
          <w:p w14:paraId="799BB634" w14:textId="0F1EA233" w:rsidR="00B12267"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Duże projekty infrastrukturalne</w:t>
            </w:r>
            <w:r w:rsidR="00F5374B"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np. CPK, poprawiające </w:t>
            </w:r>
            <w:r w:rsidR="00725FD6" w:rsidRPr="009B78DA">
              <w:rPr>
                <w:rFonts w:ascii="Arial" w:hAnsi="Arial" w:cs="Arial"/>
                <w:color w:val="000000" w:themeColor="text1"/>
                <w:sz w:val="22"/>
                <w:szCs w:val="22"/>
              </w:rPr>
              <w:br/>
            </w:r>
            <w:r w:rsidRPr="009B78DA">
              <w:rPr>
                <w:rFonts w:ascii="Arial" w:hAnsi="Arial" w:cs="Arial"/>
                <w:color w:val="000000" w:themeColor="text1"/>
                <w:sz w:val="22"/>
                <w:szCs w:val="22"/>
              </w:rPr>
              <w:t>w sposób spektakularny dostępność województwa do centralnej Polski</w:t>
            </w:r>
            <w:r w:rsidR="00380F2B">
              <w:rPr>
                <w:rFonts w:ascii="Arial" w:hAnsi="Arial" w:cs="Arial"/>
                <w:color w:val="000000" w:themeColor="text1"/>
                <w:sz w:val="22"/>
                <w:szCs w:val="22"/>
              </w:rPr>
              <w:t xml:space="preserve"> </w:t>
            </w:r>
            <w:r w:rsidR="00380F2B">
              <w:rPr>
                <w:rFonts w:ascii="Arial" w:hAnsi="Arial" w:cs="Arial"/>
                <w:color w:val="000000" w:themeColor="text1"/>
                <w:sz w:val="22"/>
                <w:szCs w:val="22"/>
              </w:rPr>
              <w:br/>
            </w:r>
            <w:r w:rsidRPr="009B78DA">
              <w:rPr>
                <w:rFonts w:ascii="Arial" w:hAnsi="Arial" w:cs="Arial"/>
                <w:color w:val="000000" w:themeColor="text1"/>
                <w:sz w:val="22"/>
                <w:szCs w:val="22"/>
              </w:rPr>
              <w:t>i Warszawy</w:t>
            </w:r>
            <w:r w:rsidR="00B12267" w:rsidRPr="009B78DA">
              <w:rPr>
                <w:rFonts w:ascii="Arial" w:hAnsi="Arial" w:cs="Arial"/>
                <w:color w:val="000000" w:themeColor="text1"/>
                <w:sz w:val="22"/>
                <w:szCs w:val="22"/>
              </w:rPr>
              <w:t>;</w:t>
            </w:r>
          </w:p>
          <w:p w14:paraId="1FC7640C" w14:textId="0A7CF3E6" w:rsidR="002475D1" w:rsidRPr="009B78DA" w:rsidRDefault="00B12267"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Wzrost znaczenia e-administracji i spadek mobilności dla tej motywacji podróży</w:t>
            </w:r>
            <w:r w:rsidR="001111C8" w:rsidRPr="009B78DA">
              <w:rPr>
                <w:rFonts w:ascii="Arial" w:hAnsi="Arial" w:cs="Arial"/>
                <w:color w:val="000000" w:themeColor="text1"/>
                <w:sz w:val="22"/>
                <w:szCs w:val="22"/>
              </w:rPr>
              <w:t>;</w:t>
            </w:r>
          </w:p>
          <w:p w14:paraId="154647C6" w14:textId="337BC4E2" w:rsidR="001111C8" w:rsidRPr="009B78DA" w:rsidRDefault="00FE7D17"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Bliskość zewnętrznej granicy </w:t>
            </w:r>
            <w:r w:rsidR="001111C8" w:rsidRPr="009B78DA">
              <w:rPr>
                <w:rFonts w:ascii="Arial" w:hAnsi="Arial" w:cs="Arial"/>
                <w:color w:val="000000" w:themeColor="text1"/>
                <w:sz w:val="22"/>
                <w:szCs w:val="22"/>
              </w:rPr>
              <w:t xml:space="preserve">Polski i </w:t>
            </w:r>
            <w:r w:rsidRPr="009B78DA">
              <w:rPr>
                <w:rFonts w:ascii="Arial" w:hAnsi="Arial" w:cs="Arial"/>
                <w:color w:val="000000" w:themeColor="text1"/>
                <w:sz w:val="22"/>
                <w:szCs w:val="22"/>
              </w:rPr>
              <w:t xml:space="preserve">UE </w:t>
            </w:r>
            <w:r w:rsidR="00147B0A" w:rsidRPr="009B78DA">
              <w:rPr>
                <w:rFonts w:ascii="Arial" w:hAnsi="Arial" w:cs="Arial"/>
                <w:color w:val="000000" w:themeColor="text1"/>
                <w:sz w:val="22"/>
                <w:szCs w:val="22"/>
              </w:rPr>
              <w:t xml:space="preserve">(z Ukrainą) </w:t>
            </w:r>
            <w:r w:rsidR="001111C8" w:rsidRPr="009B78DA">
              <w:rPr>
                <w:rFonts w:ascii="Arial" w:hAnsi="Arial" w:cs="Arial"/>
                <w:color w:val="000000" w:themeColor="text1"/>
                <w:sz w:val="22"/>
                <w:szCs w:val="22"/>
              </w:rPr>
              <w:t>umożliwiająca ożywioną wymianę towarową;</w:t>
            </w:r>
          </w:p>
          <w:p w14:paraId="329B6162" w14:textId="62C71C36" w:rsidR="00E1031C" w:rsidRPr="009B78DA" w:rsidRDefault="0084246F" w:rsidP="00F0624C">
            <w:pPr>
              <w:pStyle w:val="Akapitzlist"/>
              <w:numPr>
                <w:ilvl w:val="0"/>
                <w:numId w:val="70"/>
              </w:numPr>
              <w:rPr>
                <w:rFonts w:ascii="Arial" w:hAnsi="Arial" w:cs="Arial"/>
                <w:color w:val="000000" w:themeColor="text1"/>
                <w:sz w:val="22"/>
                <w:szCs w:val="22"/>
              </w:rPr>
            </w:pPr>
            <w:r w:rsidRPr="009B78DA">
              <w:rPr>
                <w:rFonts w:ascii="Arial" w:hAnsi="Arial" w:cs="Arial"/>
                <w:color w:val="000000" w:themeColor="text1"/>
                <w:sz w:val="22"/>
                <w:szCs w:val="22"/>
              </w:rPr>
              <w:t>Dostępność środków unijnych na rozbudowę infrastruktury transportowej</w:t>
            </w:r>
            <w:r w:rsidR="00E1031C" w:rsidRPr="009B78DA">
              <w:rPr>
                <w:rFonts w:ascii="Arial" w:hAnsi="Arial" w:cs="Arial"/>
                <w:color w:val="000000" w:themeColor="text1"/>
                <w:sz w:val="22"/>
                <w:szCs w:val="22"/>
              </w:rPr>
              <w:t>;</w:t>
            </w:r>
          </w:p>
          <w:p w14:paraId="0B9222B4" w14:textId="6D46ADD4" w:rsidR="00DF27B2" w:rsidRPr="009B78DA" w:rsidRDefault="00DF27B2" w:rsidP="00F0624C">
            <w:pPr>
              <w:pStyle w:val="Akapitzlist"/>
              <w:numPr>
                <w:ilvl w:val="0"/>
                <w:numId w:val="70"/>
              </w:numPr>
              <w:rPr>
                <w:rFonts w:ascii="Arial" w:hAnsi="Arial" w:cs="Arial"/>
                <w:color w:val="000000" w:themeColor="text1"/>
                <w:sz w:val="22"/>
                <w:szCs w:val="22"/>
              </w:rPr>
            </w:pPr>
            <w:r w:rsidRPr="009B78DA">
              <w:rPr>
                <w:rFonts w:ascii="Arial" w:hAnsi="Arial" w:cs="Arial"/>
                <w:color w:val="000000" w:themeColor="text1"/>
                <w:sz w:val="22"/>
                <w:szCs w:val="22"/>
              </w:rPr>
              <w:t>Budowa linii Rzeszów-Łętownia jako wysoko efektywnego połączenia kolejowego;</w:t>
            </w:r>
          </w:p>
          <w:p w14:paraId="087F5FDB" w14:textId="77777777" w:rsidR="00DF27B2" w:rsidRPr="009B78DA" w:rsidRDefault="00E1031C" w:rsidP="00F0624C">
            <w:pPr>
              <w:pStyle w:val="Akapitzlist"/>
              <w:numPr>
                <w:ilvl w:val="0"/>
                <w:numId w:val="70"/>
              </w:numPr>
              <w:rPr>
                <w:rFonts w:ascii="Arial" w:hAnsi="Arial" w:cs="Arial"/>
                <w:color w:val="000000" w:themeColor="text1"/>
                <w:sz w:val="22"/>
                <w:szCs w:val="22"/>
              </w:rPr>
            </w:pPr>
            <w:r w:rsidRPr="009B78DA">
              <w:rPr>
                <w:rFonts w:ascii="Arial" w:hAnsi="Arial" w:cs="Arial"/>
                <w:color w:val="000000" w:themeColor="text1"/>
                <w:sz w:val="22"/>
                <w:szCs w:val="22"/>
              </w:rPr>
              <w:t>Szybka reaktywacja ruchu turystycznego po okresie pandemii COVID-19;</w:t>
            </w:r>
          </w:p>
          <w:p w14:paraId="0721C645" w14:textId="5226B6B1" w:rsidR="00E1031C" w:rsidRPr="009B78DA" w:rsidRDefault="00DF27B2" w:rsidP="00F0624C">
            <w:pPr>
              <w:pStyle w:val="Akapitzlist"/>
              <w:numPr>
                <w:ilvl w:val="0"/>
                <w:numId w:val="70"/>
              </w:numPr>
              <w:rPr>
                <w:rFonts w:ascii="Arial" w:hAnsi="Arial" w:cs="Arial"/>
                <w:color w:val="000000" w:themeColor="text1"/>
                <w:sz w:val="22"/>
                <w:szCs w:val="22"/>
              </w:rPr>
            </w:pPr>
            <w:r w:rsidRPr="009B78DA">
              <w:rPr>
                <w:rFonts w:ascii="Arial" w:hAnsi="Arial" w:cs="Arial"/>
                <w:color w:val="000000" w:themeColor="text1"/>
                <w:sz w:val="22"/>
                <w:szCs w:val="22"/>
              </w:rPr>
              <w:t>S</w:t>
            </w:r>
            <w:r w:rsidR="00E1031C" w:rsidRPr="009B78DA">
              <w:rPr>
                <w:rFonts w:ascii="Arial" w:hAnsi="Arial" w:cs="Arial"/>
                <w:color w:val="000000" w:themeColor="text1"/>
                <w:sz w:val="22"/>
                <w:szCs w:val="22"/>
              </w:rPr>
              <w:t>topniowa integracja rynków pracy w obrębie: a) pasa południowego</w:t>
            </w:r>
          </w:p>
          <w:p w14:paraId="52C949B8" w14:textId="5BF4E5B9" w:rsidR="00DF27B2" w:rsidRPr="00F0624C" w:rsidRDefault="00E1031C" w:rsidP="00F0624C">
            <w:pPr>
              <w:pStyle w:val="Akapitzlist"/>
              <w:ind w:left="360"/>
              <w:rPr>
                <w:rFonts w:ascii="Arial" w:hAnsi="Arial" w:cs="Arial"/>
                <w:color w:val="000000" w:themeColor="text1"/>
                <w:sz w:val="22"/>
                <w:szCs w:val="22"/>
              </w:rPr>
            </w:pPr>
            <w:r w:rsidRPr="009B78DA">
              <w:rPr>
                <w:rFonts w:ascii="Arial" w:hAnsi="Arial" w:cs="Arial"/>
                <w:color w:val="000000" w:themeColor="text1"/>
                <w:sz w:val="22"/>
                <w:szCs w:val="22"/>
              </w:rPr>
              <w:t>(Jasło-Krosno-Sanok) oraz tzw. Czwórmiasta (Nisko – Stalowa Wola – Tarnobrzeg  – Sandomierz).</w:t>
            </w:r>
          </w:p>
        </w:tc>
        <w:tc>
          <w:tcPr>
            <w:tcW w:w="2514" w:type="pct"/>
            <w:vAlign w:val="center"/>
          </w:tcPr>
          <w:p w14:paraId="0F1DE8D8" w14:textId="77777777"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Niekorzystna prognoza demograficzna i możliwy spadek liczby ludności w regionie do 2030 roku;</w:t>
            </w:r>
          </w:p>
          <w:p w14:paraId="097A6783" w14:textId="77777777"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Dalszy rozwój motoryzacji i wzrost tendencji do użytkowania samochodów, szczególnie na obszarach nie obsługiwanych przez transport zbiorowy;</w:t>
            </w:r>
          </w:p>
          <w:p w14:paraId="37E1B32E" w14:textId="271AD23C" w:rsidR="002475D1" w:rsidRPr="009B78DA" w:rsidRDefault="003817E3"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Wpływ pandemii na spadek liczby pasażerów </w:t>
            </w:r>
            <w:r w:rsidR="002475D1" w:rsidRPr="009B78DA">
              <w:rPr>
                <w:rFonts w:ascii="Arial" w:hAnsi="Arial" w:cs="Arial"/>
                <w:color w:val="000000" w:themeColor="text1"/>
                <w:sz w:val="22"/>
                <w:szCs w:val="22"/>
              </w:rPr>
              <w:t>w transporcie autobusowym</w:t>
            </w:r>
            <w:r w:rsidRPr="009B78DA">
              <w:rPr>
                <w:rFonts w:ascii="Arial" w:hAnsi="Arial" w:cs="Arial"/>
                <w:color w:val="000000" w:themeColor="text1"/>
                <w:sz w:val="22"/>
                <w:szCs w:val="22"/>
              </w:rPr>
              <w:t xml:space="preserve"> i kolejowym</w:t>
            </w:r>
            <w:r w:rsidR="002475D1" w:rsidRPr="009B78DA">
              <w:rPr>
                <w:rFonts w:ascii="Arial" w:hAnsi="Arial" w:cs="Arial"/>
                <w:color w:val="000000" w:themeColor="text1"/>
                <w:sz w:val="22"/>
                <w:szCs w:val="22"/>
              </w:rPr>
              <w:t xml:space="preserve">; </w:t>
            </w:r>
          </w:p>
          <w:p w14:paraId="68A3B417" w14:textId="77777777"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Wzrastająca liczba pojazdów, zwiększająca natężenie ruchu wpływającego na pogorszenie stanu środowiska w województwie podkarpackim (m.in. znaczna emisja niska, pogorszenie klimatu akustycznego);</w:t>
            </w:r>
          </w:p>
          <w:p w14:paraId="6B40C206" w14:textId="77777777"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Nieskoordynowane powstawanie nowych obszarów zabudowy (np. zjawisko niekontrolowanej suburbanizacji) sprzyjające nieefektywnej mobilności (nadmierne obciążenie dotychczasowej sieci transportowej oraz środowiska);</w:t>
            </w:r>
          </w:p>
          <w:p w14:paraId="2E60610F" w14:textId="77777777"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Niska jakość infrastruktury drogowej i kolejowej niższych kategorii (dróg powiatowych, miejskich), wpływająca na pogorszenie klimatu akustycznego;</w:t>
            </w:r>
          </w:p>
          <w:p w14:paraId="4278401C" w14:textId="77777777"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Nieefektywne i kosztowne rozwiązania w zakresie zapobiegania negatywnym oddziaływaniom na środowisko;</w:t>
            </w:r>
          </w:p>
          <w:p w14:paraId="1A404CD6" w14:textId="77777777"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Nietrwałość efektów modernizacyjnych sieci powodowana nieadekwatnym utrzymaniem infrastruktury;</w:t>
            </w:r>
          </w:p>
          <w:p w14:paraId="2FD07F57" w14:textId="77777777"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Wzrost udziału w kosztach zewnętrznych kosztów oddziaływania transportu na środowisko;</w:t>
            </w:r>
          </w:p>
          <w:p w14:paraId="6CB1FF06" w14:textId="77777777"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Relatywnie duży udział w powierzchni województwa terenów cennych przyrodniczo, skutkujący wysokim ryzykiem kolizji przyrodniczo-przestrzennych;</w:t>
            </w:r>
          </w:p>
          <w:p w14:paraId="039181E5" w14:textId="77777777"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Niepewność odnośnie przyszłości finansowania transportu ze środków UE; </w:t>
            </w:r>
          </w:p>
          <w:p w14:paraId="0030D349" w14:textId="77777777"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Rosnące koszty budowy i utrzymania infrastruktury transportowej; </w:t>
            </w:r>
          </w:p>
          <w:p w14:paraId="7F39D4D3" w14:textId="4DC3DA4C" w:rsidR="002475D1" w:rsidRPr="009B78DA" w:rsidRDefault="002475D1"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Zmniejszające się potrzeby mobilności dla dojazdów na zakupy do dużych miast (w kontekście organizacji transportu zbiorowego, przyczyną wzrost znaczenia e-commerce)</w:t>
            </w:r>
            <w:r w:rsidR="003A1CBA" w:rsidRPr="009B78DA">
              <w:rPr>
                <w:rFonts w:ascii="Arial" w:hAnsi="Arial" w:cs="Arial"/>
                <w:color w:val="000000" w:themeColor="text1"/>
                <w:sz w:val="22"/>
                <w:szCs w:val="22"/>
              </w:rPr>
              <w:t>;</w:t>
            </w:r>
          </w:p>
          <w:p w14:paraId="30EEEBAC" w14:textId="77196804" w:rsidR="003A1CBA" w:rsidRPr="009B78DA" w:rsidRDefault="003A1CBA"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Spadek ruchu w obrębie wielu powiatów (nie tylko tych w sąsiedztwie południowej i wschodniej granicy)</w:t>
            </w:r>
            <w:r w:rsidR="0016255D" w:rsidRPr="009B78DA">
              <w:rPr>
                <w:rFonts w:ascii="Arial" w:hAnsi="Arial" w:cs="Arial"/>
                <w:color w:val="000000" w:themeColor="text1"/>
                <w:sz w:val="22"/>
                <w:szCs w:val="22"/>
              </w:rPr>
              <w:t xml:space="preserve"> mogący skutkować spadkiem rentowności publicznej komunikacji autobusowej</w:t>
            </w:r>
            <w:r w:rsidRPr="009B78DA">
              <w:rPr>
                <w:rFonts w:ascii="Arial" w:hAnsi="Arial" w:cs="Arial"/>
                <w:color w:val="000000" w:themeColor="text1"/>
                <w:sz w:val="22"/>
                <w:szCs w:val="22"/>
              </w:rPr>
              <w:t>;</w:t>
            </w:r>
          </w:p>
          <w:p w14:paraId="64C21006" w14:textId="77777777" w:rsidR="003A1CBA" w:rsidRPr="009B78DA" w:rsidRDefault="003A1CBA"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Ogólny spadek dojazdów do pracy w szeregu miast.</w:t>
            </w:r>
          </w:p>
          <w:p w14:paraId="13969022" w14:textId="5D436400" w:rsidR="00F02755" w:rsidRPr="009B78DA" w:rsidRDefault="00F02755" w:rsidP="00F0624C">
            <w:pPr>
              <w:pStyle w:val="Akapitzlist"/>
              <w:numPr>
                <w:ilvl w:val="0"/>
                <w:numId w:val="70"/>
              </w:num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Utrata struktury policentrycznej regionu w efekcie hipertrofii Rzeszowa (</w:t>
            </w:r>
            <w:r w:rsidR="00BD4199" w:rsidRPr="009B78DA">
              <w:rPr>
                <w:rFonts w:ascii="Arial" w:hAnsi="Arial" w:cs="Arial"/>
                <w:color w:val="000000" w:themeColor="text1"/>
                <w:sz w:val="22"/>
                <w:szCs w:val="22"/>
              </w:rPr>
              <w:t xml:space="preserve">zw. z tym procesem zagrożenie </w:t>
            </w:r>
            <w:r w:rsidRPr="009B78DA">
              <w:rPr>
                <w:rFonts w:ascii="Arial" w:hAnsi="Arial" w:cs="Arial"/>
                <w:color w:val="000000" w:themeColor="text1"/>
                <w:sz w:val="22"/>
                <w:szCs w:val="22"/>
              </w:rPr>
              <w:t>„rozrywanie</w:t>
            </w:r>
            <w:r w:rsidR="00BD4199" w:rsidRPr="009B78DA">
              <w:rPr>
                <w:rFonts w:ascii="Arial" w:hAnsi="Arial" w:cs="Arial"/>
                <w:color w:val="000000" w:themeColor="text1"/>
                <w:sz w:val="22"/>
                <w:szCs w:val="22"/>
              </w:rPr>
              <w:t>m</w:t>
            </w:r>
            <w:r w:rsidRPr="009B78DA">
              <w:rPr>
                <w:rFonts w:ascii="Arial" w:hAnsi="Arial" w:cs="Arial"/>
                <w:color w:val="000000" w:themeColor="text1"/>
                <w:sz w:val="22"/>
                <w:szCs w:val="22"/>
              </w:rPr>
              <w:t>” subregionalnych, integrujących się, rynków pracy</w:t>
            </w:r>
            <w:r w:rsidR="00BD4199"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i usług przez coraz silniejsze powiązania poszczególnych ośrodków z Rzeszowem).</w:t>
            </w:r>
          </w:p>
        </w:tc>
      </w:tr>
    </w:tbl>
    <w:p w14:paraId="0F719880" w14:textId="6F3FEF64" w:rsidR="002475D1" w:rsidRPr="009B78DA" w:rsidRDefault="002475D1" w:rsidP="00F0624C">
      <w:pPr>
        <w:spacing w:before="120" w:line="276" w:lineRule="auto"/>
        <w:rPr>
          <w:rFonts w:ascii="Arial" w:hAnsi="Arial" w:cs="Arial"/>
          <w:color w:val="000000" w:themeColor="text1"/>
          <w:sz w:val="22"/>
          <w:szCs w:val="22"/>
        </w:rPr>
        <w:sectPr w:rsidR="002475D1" w:rsidRPr="009B78DA" w:rsidSect="002475D1">
          <w:pgSz w:w="16838" w:h="11906" w:orient="landscape"/>
          <w:pgMar w:top="720" w:right="720" w:bottom="720" w:left="720" w:header="708" w:footer="708" w:gutter="0"/>
          <w:cols w:space="708"/>
          <w:docGrid w:linePitch="360"/>
        </w:sectPr>
      </w:pPr>
      <w:r w:rsidRPr="009B78DA">
        <w:rPr>
          <w:rFonts w:ascii="Arial" w:hAnsi="Arial" w:cs="Arial"/>
          <w:color w:val="000000" w:themeColor="text1"/>
          <w:sz w:val="22"/>
          <w:szCs w:val="22"/>
        </w:rPr>
        <w:t>Źródło: Opracowanie</w:t>
      </w:r>
      <w:r w:rsidR="001B6FD0" w:rsidRPr="009B78DA">
        <w:rPr>
          <w:rFonts w:ascii="Arial" w:hAnsi="Arial" w:cs="Arial"/>
          <w:color w:val="000000" w:themeColor="text1"/>
          <w:sz w:val="22"/>
          <w:szCs w:val="22"/>
        </w:rPr>
        <w:t xml:space="preserve"> własne</w:t>
      </w:r>
      <w:r w:rsidRPr="009B78DA">
        <w:rPr>
          <w:rFonts w:ascii="Arial" w:hAnsi="Arial" w:cs="Arial"/>
          <w:color w:val="000000" w:themeColor="text1"/>
          <w:sz w:val="22"/>
          <w:szCs w:val="22"/>
        </w:rPr>
        <w:t>.</w:t>
      </w:r>
    </w:p>
    <w:p w14:paraId="1528A669" w14:textId="398E7715" w:rsidR="00F26284" w:rsidRPr="009B78DA" w:rsidRDefault="002F0070" w:rsidP="00083F2B">
      <w:pPr>
        <w:pStyle w:val="Nagwek1"/>
        <w:numPr>
          <w:ilvl w:val="0"/>
          <w:numId w:val="256"/>
        </w:numPr>
        <w:rPr>
          <w:rFonts w:cs="Arial"/>
          <w:b/>
          <w:bCs/>
          <w:color w:val="000000" w:themeColor="text1"/>
          <w:sz w:val="26"/>
          <w:szCs w:val="26"/>
        </w:rPr>
      </w:pPr>
      <w:bookmarkStart w:id="222" w:name="_Toc100335071"/>
      <w:bookmarkStart w:id="223" w:name="_Toc146785797"/>
      <w:r w:rsidRPr="009B78DA">
        <w:rPr>
          <w:rFonts w:cs="Arial"/>
          <w:b/>
          <w:bCs/>
          <w:color w:val="000000" w:themeColor="text1"/>
          <w:sz w:val="26"/>
          <w:szCs w:val="26"/>
        </w:rPr>
        <w:t>Identyfikacja głównych problemów</w:t>
      </w:r>
      <w:r w:rsidR="00876922" w:rsidRPr="009B78DA">
        <w:rPr>
          <w:rFonts w:cs="Arial"/>
          <w:b/>
          <w:bCs/>
          <w:color w:val="000000" w:themeColor="text1"/>
          <w:sz w:val="26"/>
          <w:szCs w:val="26"/>
        </w:rPr>
        <w:t xml:space="preserve"> (wyzwań)</w:t>
      </w:r>
      <w:r w:rsidRPr="009B78DA">
        <w:rPr>
          <w:rFonts w:cs="Arial"/>
          <w:b/>
          <w:bCs/>
          <w:color w:val="000000" w:themeColor="text1"/>
          <w:sz w:val="26"/>
          <w:szCs w:val="26"/>
        </w:rPr>
        <w:t xml:space="preserve"> związanych </w:t>
      </w:r>
      <w:r w:rsidR="00656C2C" w:rsidRPr="009B78DA">
        <w:rPr>
          <w:rFonts w:cs="Arial"/>
          <w:b/>
          <w:bCs/>
          <w:color w:val="000000" w:themeColor="text1"/>
          <w:sz w:val="26"/>
          <w:szCs w:val="26"/>
        </w:rPr>
        <w:br/>
      </w:r>
      <w:r w:rsidRPr="009B78DA">
        <w:rPr>
          <w:rFonts w:cs="Arial"/>
          <w:b/>
          <w:bCs/>
          <w:color w:val="000000" w:themeColor="text1"/>
          <w:sz w:val="26"/>
          <w:szCs w:val="26"/>
        </w:rPr>
        <w:t>z rozwojem transportu i możliwości ich rozwiązania</w:t>
      </w:r>
      <w:bookmarkEnd w:id="222"/>
      <w:bookmarkEnd w:id="223"/>
    </w:p>
    <w:p w14:paraId="068671BC" w14:textId="77777777" w:rsidR="00950B3D" w:rsidRPr="009B78DA" w:rsidRDefault="00950B3D" w:rsidP="00083F2B">
      <w:pPr>
        <w:rPr>
          <w:color w:val="000000" w:themeColor="text1"/>
          <w:sz w:val="4"/>
          <w:szCs w:val="4"/>
        </w:rPr>
      </w:pPr>
    </w:p>
    <w:p w14:paraId="75D56711" w14:textId="13B032F4" w:rsidR="008542CD" w:rsidRPr="009B78DA" w:rsidRDefault="00204047" w:rsidP="00083F2B">
      <w:pPr>
        <w:pStyle w:val="Nagwek2"/>
        <w:numPr>
          <w:ilvl w:val="0"/>
          <w:numId w:val="262"/>
        </w:numPr>
        <w:ind w:left="426" w:hanging="284"/>
        <w:rPr>
          <w:sz w:val="24"/>
        </w:rPr>
      </w:pPr>
      <w:bookmarkStart w:id="224" w:name="_Toc100335072"/>
      <w:bookmarkStart w:id="225" w:name="_Toc146785798"/>
      <w:r w:rsidRPr="009B78DA">
        <w:rPr>
          <w:sz w:val="24"/>
        </w:rPr>
        <w:t>Problemy bazowe związan</w:t>
      </w:r>
      <w:r w:rsidR="00D8285A" w:rsidRPr="009B78DA">
        <w:rPr>
          <w:sz w:val="24"/>
        </w:rPr>
        <w:t>e</w:t>
      </w:r>
      <w:r w:rsidRPr="009B78DA">
        <w:rPr>
          <w:sz w:val="24"/>
        </w:rPr>
        <w:t xml:space="preserve"> z rozwojem sieci i organizacją transportu </w:t>
      </w:r>
      <w:r w:rsidR="008542CD" w:rsidRPr="009B78DA">
        <w:rPr>
          <w:sz w:val="24"/>
        </w:rPr>
        <w:br/>
      </w:r>
      <w:r w:rsidRPr="009B78DA">
        <w:rPr>
          <w:sz w:val="24"/>
        </w:rPr>
        <w:t>w regionie</w:t>
      </w:r>
      <w:bookmarkEnd w:id="224"/>
      <w:bookmarkEnd w:id="225"/>
    </w:p>
    <w:p w14:paraId="67F59D95" w14:textId="17D9CB25" w:rsidR="00C82614"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Na podstawie szczegółowej diagnozy oraz </w:t>
      </w:r>
      <w:r w:rsidR="00386DAA" w:rsidRPr="009B78DA">
        <w:rPr>
          <w:rFonts w:ascii="Arial" w:hAnsi="Arial" w:cs="Arial"/>
          <w:color w:val="000000" w:themeColor="text1"/>
          <w:sz w:val="22"/>
          <w:szCs w:val="22"/>
        </w:rPr>
        <w:t xml:space="preserve">analizy </w:t>
      </w:r>
      <w:r w:rsidRPr="009B78DA">
        <w:rPr>
          <w:rFonts w:ascii="Arial" w:hAnsi="Arial" w:cs="Arial"/>
          <w:color w:val="000000" w:themeColor="text1"/>
          <w:sz w:val="22"/>
          <w:szCs w:val="22"/>
        </w:rPr>
        <w:t xml:space="preserve">SWOT było możliwe zidentyfikowanie bazowych problemów rozwoju systemu transportowego województwa podkarpackiego w perspektywie roku 2030. Istotną rolę w tej identyfikacji odegrały wyniki analizy popytowej przewidywanych zmian w zapotrzebowaniu na przewozy i infrastrukturę, </w:t>
      </w:r>
      <w:r w:rsidR="00956C5F"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a także rezultaty modelowania ruchu (model CUPT 2019) i modelowania dostępności przestrzennej. Prawidłowa artykulacja problemów bazowych pozwoliła na przygotowanie możliwych wariantów polityki transportowej w najbliższej dekadzie. Stało się to podstawą do ostatecznego sformułowania </w:t>
      </w:r>
      <w:r w:rsidR="00C82614" w:rsidRPr="009B78DA">
        <w:rPr>
          <w:rFonts w:ascii="Arial" w:hAnsi="Arial" w:cs="Arial"/>
          <w:color w:val="000000" w:themeColor="text1"/>
          <w:sz w:val="22"/>
          <w:szCs w:val="22"/>
        </w:rPr>
        <w:t xml:space="preserve">celu głównego Programu, jakim jest: Efektywne i skuteczne wdrażanie działań, przyczyniających się do realizacji celów </w:t>
      </w:r>
      <w:r w:rsidR="00C82614" w:rsidRPr="009B78DA">
        <w:rPr>
          <w:rFonts w:ascii="Arial" w:hAnsi="Arial" w:cs="Arial"/>
          <w:i/>
          <w:iCs/>
          <w:color w:val="000000" w:themeColor="text1"/>
          <w:sz w:val="22"/>
          <w:szCs w:val="22"/>
        </w:rPr>
        <w:t xml:space="preserve">Strategii rozwoju województwa – Podkarpackie 2030 </w:t>
      </w:r>
      <w:r w:rsidR="00C82614" w:rsidRPr="009B78DA">
        <w:rPr>
          <w:rFonts w:ascii="Arial" w:hAnsi="Arial" w:cs="Arial"/>
          <w:color w:val="000000" w:themeColor="text1"/>
          <w:sz w:val="22"/>
          <w:szCs w:val="22"/>
        </w:rPr>
        <w:t xml:space="preserve">w obrębie transportu, a także sformułowania celów podstawowych </w:t>
      </w:r>
      <w:r w:rsidR="00C82614" w:rsidRPr="009B78DA">
        <w:rPr>
          <w:rFonts w:ascii="Arial" w:hAnsi="Arial" w:cs="Arial"/>
          <w:color w:val="000000" w:themeColor="text1"/>
          <w:sz w:val="22"/>
          <w:szCs w:val="22"/>
        </w:rPr>
        <w:br/>
        <w:t>i horyzontalnych rozwoju regionalnego systemu transportowego.</w:t>
      </w:r>
    </w:p>
    <w:p w14:paraId="5F774A3D" w14:textId="0A62076F" w:rsidR="00204047" w:rsidRPr="009B78DA" w:rsidRDefault="00204047" w:rsidP="00083F2B">
      <w:pPr>
        <w:spacing w:after="12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Problemy bazowe mają charakter ogólny i ich rozwiązywanie możliwe jest wyłącznie w oparciu o komplementarne wykorzystanie narzędzi znajdujących się w dyspozycji nie tylko samorządu szczebla regionalnego, ale także władz centralnych oraz samorządów lokalnych (powiatowych i gminnych). Również pełna przyszła ewaluacja osiągnięć na tym polu wymaga uwzględnienia działań podejmowanych na wszy</w:t>
      </w:r>
      <w:r w:rsidR="00083F2B">
        <w:rPr>
          <w:rFonts w:ascii="Arial" w:hAnsi="Arial" w:cs="Arial"/>
          <w:color w:val="000000" w:themeColor="text1"/>
          <w:sz w:val="22"/>
          <w:szCs w:val="22"/>
        </w:rPr>
        <w:t>stkich wymienionych szczeblach.</w:t>
      </w:r>
    </w:p>
    <w:p w14:paraId="75228DFA" w14:textId="2ECAFB1F" w:rsidR="00204047" w:rsidRPr="009B78DA" w:rsidRDefault="00204047" w:rsidP="00083F2B">
      <w:pPr>
        <w:spacing w:after="0" w:line="276" w:lineRule="auto"/>
        <w:rPr>
          <w:rFonts w:ascii="Arial" w:hAnsi="Arial" w:cs="Arial"/>
          <w:b/>
          <w:color w:val="000000" w:themeColor="text1"/>
          <w:sz w:val="22"/>
          <w:szCs w:val="22"/>
        </w:rPr>
      </w:pPr>
      <w:r w:rsidRPr="009B78DA">
        <w:rPr>
          <w:rFonts w:ascii="Arial" w:hAnsi="Arial" w:cs="Arial"/>
          <w:b/>
          <w:color w:val="000000" w:themeColor="text1"/>
          <w:sz w:val="22"/>
          <w:szCs w:val="22"/>
        </w:rPr>
        <w:t>Problem bazowy A: Utrzymanie i wzmocnienie podstaw transportowych dla rozwoju gospodarczego województwa, w tym integracja infrastrukturalna oraz organizacyjna systemu transportowego w układzie zewnętrznym i wewnętrznym.</w:t>
      </w:r>
    </w:p>
    <w:p w14:paraId="4B6C2FE4" w14:textId="77777777" w:rsidR="008542CD"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Pomimo znacznych inwestycji transportowych (w tym na sieci TEN-T), jakie podjęto </w:t>
      </w:r>
      <w:r w:rsidRPr="009B78DA">
        <w:rPr>
          <w:rFonts w:ascii="Arial" w:hAnsi="Arial" w:cs="Arial"/>
          <w:color w:val="000000" w:themeColor="text1"/>
          <w:sz w:val="22"/>
          <w:szCs w:val="22"/>
        </w:rPr>
        <w:br/>
        <w:t>w poprzednich okresach programowania, województwo podkarpackie nadal wymaga działań zwiększających jego integrację funkcjonalną w kraju i Unii Europejskiej. Działania te są warunkiem koniecznym zachowania pozycji konkurencyjnej regionu, a tym samym rozwoju społeczno-gospodarczego oraz dalszej konwergencji. Pośrednio wpływają one na atrakcyjność inwestycyjną województwa, zachowanie i wzmocnienie ukształtowanych już specjalizacji przemysłowych, rozwój turystyki oraz silną pozycję w europejskiej przestrzeni przepływów.</w:t>
      </w:r>
    </w:p>
    <w:p w14:paraId="7312BAD5" w14:textId="65187968" w:rsidR="008542CD"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Znaczenie kontynuacji rozbudowy systemu transportowego wynika także </w:t>
      </w:r>
      <w:r w:rsidR="00083F2B">
        <w:rPr>
          <w:rFonts w:ascii="Arial" w:hAnsi="Arial" w:cs="Arial"/>
          <w:color w:val="000000" w:themeColor="text1"/>
          <w:sz w:val="22"/>
          <w:szCs w:val="22"/>
        </w:rPr>
        <w:br/>
      </w:r>
      <w:r w:rsidRPr="009B78DA">
        <w:rPr>
          <w:rFonts w:ascii="Arial" w:hAnsi="Arial" w:cs="Arial"/>
          <w:color w:val="000000" w:themeColor="text1"/>
          <w:sz w:val="22"/>
          <w:szCs w:val="22"/>
        </w:rPr>
        <w:t xml:space="preserve">z niektórych cech specyficznych regionu. Należy tu wymienić jego peryferyjne położenie przy zewnętrznej granicy UE, a także rozproszony układ sieci osadniczej. Wiele braków infrastrukturalnych jest uwarunkowanych historycznie, a ich przezwyciężenie wymaga wieloletniego wysiłku inwestycyjnego wspartego innowacyjnymi rozwiązaniami organizacyjnymi. Uwarunkowaniem historycznym jest m.in. niska gęstość sieci transportu szynowego oraz przebieg niektórych tras kolejowych utrudniający ich bieżące wykorzystanie, a w konsekwencji powodujący niską konkurencyjność tej gałęzi transportu. Dodatkowo zrealizowane już (lub będące w realizacji) duże inwestycje drogowe nie są w wystarczającym stopniu zintegrowane z siecią regionalną, co utrudnia ich wykorzystanie jako podstawy rozwojowej dla niektórych obszarów. Ma to znaczenie w sytuacji gdy pomimo stopniowego niwelowania różnic w poziomie rozwoju między Rzeszowem, a innymi dużymi miastami Polski, różnice wewnątrz regionu podkarpackiego nadal wzrastają. Rozproszenie osadnictwa, a tym samym miejsc prowadzenia działalności gospodarczej powoduje także, że rolę barier rozwojowych pełnią niekiedy fragmenty regionalnej i lokalnej sieci drogowej </w:t>
      </w:r>
      <w:r w:rsidR="00083F2B">
        <w:rPr>
          <w:rFonts w:ascii="Arial" w:hAnsi="Arial" w:cs="Arial"/>
          <w:color w:val="000000" w:themeColor="text1"/>
          <w:sz w:val="22"/>
          <w:szCs w:val="22"/>
        </w:rPr>
        <w:br/>
      </w:r>
      <w:r w:rsidRPr="009B78DA">
        <w:rPr>
          <w:rFonts w:ascii="Arial" w:hAnsi="Arial" w:cs="Arial"/>
          <w:color w:val="000000" w:themeColor="text1"/>
          <w:sz w:val="22"/>
          <w:szCs w:val="22"/>
        </w:rPr>
        <w:t>(w tym mosty) niespełniające parametrów nośności niezbędnych dla przewozu towarów. Położenie w sąsiedztwie zewnętrznej granicy UE (a także granicy standardów w transporcie kolejowym), duża rola przewozów tranzytowych, a także wspomniany niedorozwój sieci kolejowych, są silną przesłanką dla wspierania przewozów towarowych intermodalnych. Baza infrastrukturalna (liczba terminali) i rozwiązania organizacyjne umożliwiające intensyfikacje tych przewozów poz</w:t>
      </w:r>
      <w:r w:rsidR="00083F2B">
        <w:rPr>
          <w:rFonts w:ascii="Arial" w:hAnsi="Arial" w:cs="Arial"/>
          <w:color w:val="000000" w:themeColor="text1"/>
          <w:sz w:val="22"/>
          <w:szCs w:val="22"/>
        </w:rPr>
        <w:t>ostają jednak niewystarczające.</w:t>
      </w:r>
    </w:p>
    <w:p w14:paraId="203A1432" w14:textId="657939B1" w:rsidR="00204047"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Policentryczny układ ośrodków przemysłowych powoduje, że popyt na zewnętrzne powiązania transportowe generowany jest w różnych częściach regionu. Niektóre ośrodki przemysłowe nie są w wystarczającym stopniu zintegrowane transportowo z siecią TEN-T, </w:t>
      </w:r>
      <w:r w:rsidR="008542CD"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a tym samym z innymi regionami Polski i Europy. Dotyczy to w szczególności pasma miast aktywnych gospodarczo (zwanego umownie „bananem podkarpackim”) od Stalowej Woli przez Tarnobrzeg, Mielec, Dębicę, po Jasło, Krosno i Sanok. Ten sam obszar jest także miejscem koncentracji działalności eksportowej, której znaczna część przeznaczona jest na rynki Europy Zachodniej, </w:t>
      </w:r>
      <w:r w:rsidR="00386DAA" w:rsidRPr="009B78DA">
        <w:rPr>
          <w:rFonts w:ascii="Arial" w:hAnsi="Arial" w:cs="Arial"/>
          <w:color w:val="000000" w:themeColor="text1"/>
          <w:sz w:val="22"/>
          <w:szCs w:val="22"/>
        </w:rPr>
        <w:t>albo</w:t>
      </w:r>
      <w:r w:rsidRPr="009B78DA">
        <w:rPr>
          <w:rFonts w:ascii="Arial" w:hAnsi="Arial" w:cs="Arial"/>
          <w:color w:val="000000" w:themeColor="text1"/>
          <w:sz w:val="22"/>
          <w:szCs w:val="22"/>
        </w:rPr>
        <w:t xml:space="preserve"> Stanów Zjednoczonych. Braki w infrastrukturze powodują koncentracje ruchu drogowego na niektórych odcinkach, co powoduje ich przeciążenie oraz jest niekorzystne z punktu widzenia środowiska (zwiększona </w:t>
      </w:r>
      <w:r w:rsidR="00083F2B">
        <w:rPr>
          <w:rFonts w:ascii="Arial" w:hAnsi="Arial" w:cs="Arial"/>
          <w:color w:val="000000" w:themeColor="text1"/>
          <w:sz w:val="22"/>
          <w:szCs w:val="22"/>
        </w:rPr>
        <w:t>emisja) i bezpieczeństwa ruchu.</w:t>
      </w:r>
    </w:p>
    <w:p w14:paraId="05973BE8" w14:textId="76A71CEE" w:rsidR="00ED21AB" w:rsidRPr="009B78DA" w:rsidRDefault="00204047" w:rsidP="00083F2B">
      <w:p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 województwie podkarpackim wykształciły się więzi współpracy sektorowej o charakterze klastrowym (np. </w:t>
      </w:r>
      <w:r w:rsidR="000A7C92" w:rsidRPr="009B78DA">
        <w:rPr>
          <w:rFonts w:ascii="Arial" w:hAnsi="Arial" w:cs="Arial"/>
          <w:color w:val="000000" w:themeColor="text1"/>
          <w:sz w:val="22"/>
          <w:szCs w:val="22"/>
        </w:rPr>
        <w:t>D</w:t>
      </w:r>
      <w:r w:rsidRPr="009B78DA">
        <w:rPr>
          <w:rFonts w:ascii="Arial" w:hAnsi="Arial" w:cs="Arial"/>
          <w:color w:val="000000" w:themeColor="text1"/>
          <w:sz w:val="22"/>
          <w:szCs w:val="22"/>
        </w:rPr>
        <w:t xml:space="preserve">olina </w:t>
      </w:r>
      <w:r w:rsidR="000A7C92" w:rsidRPr="009B78DA">
        <w:rPr>
          <w:rFonts w:ascii="Arial" w:hAnsi="Arial" w:cs="Arial"/>
          <w:color w:val="000000" w:themeColor="text1"/>
          <w:sz w:val="22"/>
          <w:szCs w:val="22"/>
        </w:rPr>
        <w:t>L</w:t>
      </w:r>
      <w:r w:rsidRPr="009B78DA">
        <w:rPr>
          <w:rFonts w:ascii="Arial" w:hAnsi="Arial" w:cs="Arial"/>
          <w:color w:val="000000" w:themeColor="text1"/>
          <w:sz w:val="22"/>
          <w:szCs w:val="22"/>
        </w:rPr>
        <w:t xml:space="preserve">otnicza). Ich dalszy rozwój wymaga wzmocnienia powiązań transportowych (drogowych i kolejowych) pomiędzy poszczególnymi </w:t>
      </w:r>
      <w:bookmarkStart w:id="226" w:name="_Hlk92559795"/>
      <w:r w:rsidR="008E73BD" w:rsidRPr="009B78DA">
        <w:rPr>
          <w:rFonts w:ascii="Arial" w:hAnsi="Arial" w:cs="Arial"/>
          <w:color w:val="000000" w:themeColor="text1"/>
          <w:sz w:val="22"/>
          <w:szCs w:val="22"/>
        </w:rPr>
        <w:t>ROF/</w:t>
      </w:r>
      <w:r w:rsidRPr="009B78DA">
        <w:rPr>
          <w:rFonts w:ascii="Arial" w:hAnsi="Arial" w:cs="Arial"/>
          <w:color w:val="000000" w:themeColor="text1"/>
          <w:sz w:val="22"/>
          <w:szCs w:val="22"/>
        </w:rPr>
        <w:t xml:space="preserve">MOF </w:t>
      </w:r>
      <w:bookmarkEnd w:id="226"/>
      <w:r w:rsidRPr="009B78DA">
        <w:rPr>
          <w:rFonts w:ascii="Arial" w:hAnsi="Arial" w:cs="Arial"/>
          <w:color w:val="000000" w:themeColor="text1"/>
          <w:sz w:val="22"/>
          <w:szCs w:val="22"/>
        </w:rPr>
        <w:t xml:space="preserve">będącymi biegunami wzrostu województwa. Dotyczy to w szczególności, czasem pomijanych, powiązań bezpośrednich z pominięciem Rzeszowa. Ich rozwój wymaga wysiłku inwestycyjnego, a także organizacyjnego (transport towarowy oraz pasażerski zbiorowy). </w:t>
      </w:r>
      <w:r w:rsidR="00083F2B">
        <w:rPr>
          <w:rFonts w:ascii="Arial" w:hAnsi="Arial" w:cs="Arial"/>
          <w:color w:val="000000" w:themeColor="text1"/>
          <w:sz w:val="22"/>
          <w:szCs w:val="22"/>
        </w:rPr>
        <w:br/>
      </w:r>
      <w:r w:rsidRPr="009B78DA">
        <w:rPr>
          <w:rFonts w:ascii="Arial" w:hAnsi="Arial" w:cs="Arial"/>
          <w:color w:val="000000" w:themeColor="text1"/>
          <w:sz w:val="22"/>
          <w:szCs w:val="22"/>
        </w:rPr>
        <w:t>W sensie przestrzennym braki inwestycyjne koncentrują się przede wszystkim w układach skośnych, na kierunkach pomiędzy głównymi korytarzami TEN-T.</w:t>
      </w:r>
    </w:p>
    <w:p w14:paraId="0CE511D2" w14:textId="040DCA4E" w:rsidR="00204047"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Dla rozwoju gospodarczego regionu konieczn</w:t>
      </w:r>
      <w:r w:rsidR="00F950C3"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jest także zapewnienie przedsiębiorstwom dostępu do wykwalifikowanej siły roboczej. Policentryczny układ sieci osadniczej oznacza, że musi się to wiązać z, niekiedy dłuższymi, dojazdami do pracy. Integracja transportowa miejsc pracy i miejsc zamieszkania, wykorzystująca w maksymalnym stopniu transport zbiorowy (w tym kolej) pozostaje wyzwaniem zarówno pod względem inwestycyjnym, jak organizacyjnym. Przewidywane braki demograficzne powodują, że gospodarka regionu będzie musiała sięgać po pracowników zagranicznych, w pierwszej kolejności z sąsiedniej Ukrainy, a w dalszej perspektywie zapewne także z krajów bardziej odległych. Jej napływ będzie generował nowe potrzeby w zakresie organizacji transportu pasażerskiego międzynarodowego (ruchy wahadłowe i tzw. podróże po-migracyjne), przede wszystkim kolejowego oraz lotniczego (w tym integracja portu lotniczego Rzeszów Jasionka z systemem transportowym regionu).</w:t>
      </w:r>
    </w:p>
    <w:p w14:paraId="4AE9595D" w14:textId="5C2CC602" w:rsidR="00204047"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W rozwoju gospodarczym województwa podkarpackiego istotną rolę odgrywa także turystyka. Obszary atrakcyjne turystycznie położone są często peryferyjnie (tereny górskie) oraz są słabo zaludnione. Stwarza to wyzwania dla organizacji transportu zbiorowego, którego opłacalność ekonomiczna jest silnie zróżnicowana sezonowo. Zachowanie walorów środowiska naturalnego Karpat jest przesłanką dla zwiększenia udziału kolei w obsłudze transportowej tych obszarów. </w:t>
      </w:r>
      <w:r w:rsidR="003552F4" w:rsidRPr="009B78DA">
        <w:rPr>
          <w:rFonts w:ascii="Arial" w:hAnsi="Arial" w:cs="Arial"/>
          <w:color w:val="000000" w:themeColor="text1"/>
          <w:sz w:val="22"/>
          <w:szCs w:val="22"/>
        </w:rPr>
        <w:t>Ponadto z</w:t>
      </w:r>
      <w:r w:rsidR="00C41F27" w:rsidRPr="009B78DA">
        <w:rPr>
          <w:rFonts w:ascii="Arial" w:hAnsi="Arial" w:cs="Arial"/>
          <w:color w:val="000000" w:themeColor="text1"/>
          <w:sz w:val="22"/>
          <w:szCs w:val="22"/>
        </w:rPr>
        <w:t>diagnozowan</w:t>
      </w:r>
      <w:r w:rsidR="003552F4" w:rsidRPr="009B78DA">
        <w:rPr>
          <w:rFonts w:ascii="Arial" w:hAnsi="Arial" w:cs="Arial"/>
          <w:color w:val="000000" w:themeColor="text1"/>
          <w:sz w:val="22"/>
          <w:szCs w:val="22"/>
        </w:rPr>
        <w:t>i</w:t>
      </w:r>
      <w:r w:rsidR="00C41F27" w:rsidRPr="009B78DA">
        <w:rPr>
          <w:rFonts w:ascii="Arial" w:hAnsi="Arial" w:cs="Arial"/>
          <w:color w:val="000000" w:themeColor="text1"/>
          <w:sz w:val="22"/>
          <w:szCs w:val="22"/>
        </w:rPr>
        <w:t xml:space="preserve">e </w:t>
      </w:r>
      <w:r w:rsidR="003552F4" w:rsidRPr="009B78DA">
        <w:rPr>
          <w:rFonts w:ascii="Arial" w:hAnsi="Arial" w:cs="Arial"/>
          <w:color w:val="000000" w:themeColor="text1"/>
          <w:sz w:val="22"/>
          <w:szCs w:val="22"/>
        </w:rPr>
        <w:t xml:space="preserve">dzięki wynikom ZMR 3.0 </w:t>
      </w:r>
      <w:r w:rsidR="00C41F27" w:rsidRPr="009B78DA">
        <w:rPr>
          <w:rFonts w:ascii="Arial" w:hAnsi="Arial" w:cs="Arial"/>
          <w:color w:val="000000" w:themeColor="text1"/>
          <w:sz w:val="22"/>
          <w:szCs w:val="22"/>
        </w:rPr>
        <w:t>zagrożenia dla utrzymani</w:t>
      </w:r>
      <w:r w:rsidR="003552F4" w:rsidRPr="009B78DA">
        <w:rPr>
          <w:rFonts w:ascii="Arial" w:hAnsi="Arial" w:cs="Arial"/>
          <w:color w:val="000000" w:themeColor="text1"/>
          <w:sz w:val="22"/>
          <w:szCs w:val="22"/>
        </w:rPr>
        <w:t>a</w:t>
      </w:r>
      <w:r w:rsidR="00C41F27" w:rsidRPr="009B78DA">
        <w:rPr>
          <w:rFonts w:ascii="Arial" w:hAnsi="Arial" w:cs="Arial"/>
          <w:color w:val="000000" w:themeColor="text1"/>
          <w:sz w:val="22"/>
          <w:szCs w:val="22"/>
        </w:rPr>
        <w:t xml:space="preserve"> struktury policentrycznej regionu, </w:t>
      </w:r>
      <w:r w:rsidR="003552F4" w:rsidRPr="009B78DA">
        <w:rPr>
          <w:rFonts w:ascii="Arial" w:hAnsi="Arial" w:cs="Arial"/>
          <w:color w:val="000000" w:themeColor="text1"/>
          <w:sz w:val="22"/>
          <w:szCs w:val="22"/>
        </w:rPr>
        <w:t>daje impuls do wypracowania skutecznych działań umiejących pogodzić pozytywne rezultaty wzmacniania</w:t>
      </w:r>
      <w:r w:rsidR="00C41F27" w:rsidRPr="009B78DA">
        <w:rPr>
          <w:rFonts w:ascii="Arial" w:hAnsi="Arial" w:cs="Arial"/>
          <w:color w:val="000000" w:themeColor="text1"/>
          <w:sz w:val="22"/>
          <w:szCs w:val="22"/>
        </w:rPr>
        <w:t xml:space="preserve"> pozycji Rzeszowa </w:t>
      </w:r>
      <w:r w:rsidR="00083F2B">
        <w:rPr>
          <w:rFonts w:ascii="Arial" w:hAnsi="Arial" w:cs="Arial"/>
          <w:color w:val="000000" w:themeColor="text1"/>
          <w:sz w:val="22"/>
          <w:szCs w:val="22"/>
        </w:rPr>
        <w:br/>
      </w:r>
      <w:r w:rsidR="003552F4" w:rsidRPr="009B78DA">
        <w:rPr>
          <w:rFonts w:ascii="Arial" w:hAnsi="Arial" w:cs="Arial"/>
          <w:color w:val="000000" w:themeColor="text1"/>
          <w:sz w:val="22"/>
          <w:szCs w:val="22"/>
        </w:rPr>
        <w:t>z powstrzymaniem ograniczania roli</w:t>
      </w:r>
      <w:r w:rsidR="00C41F27" w:rsidRPr="009B78DA">
        <w:rPr>
          <w:rFonts w:ascii="Arial" w:hAnsi="Arial" w:cs="Arial"/>
          <w:color w:val="000000" w:themeColor="text1"/>
          <w:sz w:val="22"/>
          <w:szCs w:val="22"/>
        </w:rPr>
        <w:t xml:space="preserve"> subregionalnych biegunów wzrostu województwa.</w:t>
      </w:r>
    </w:p>
    <w:p w14:paraId="174A4586" w14:textId="77777777" w:rsidR="003552F4" w:rsidRPr="009B78DA" w:rsidRDefault="003552F4" w:rsidP="00083F2B">
      <w:pPr>
        <w:spacing w:after="0" w:line="276" w:lineRule="auto"/>
        <w:ind w:firstLine="851"/>
        <w:rPr>
          <w:rFonts w:ascii="Arial" w:hAnsi="Arial" w:cs="Arial"/>
          <w:color w:val="000000" w:themeColor="text1"/>
          <w:sz w:val="4"/>
          <w:szCs w:val="4"/>
        </w:rPr>
      </w:pPr>
    </w:p>
    <w:p w14:paraId="0E039921" w14:textId="0A55CB2E" w:rsidR="00204047" w:rsidRPr="009B78DA" w:rsidRDefault="00204047" w:rsidP="00083F2B">
      <w:pPr>
        <w:spacing w:after="0" w:line="276" w:lineRule="auto"/>
        <w:rPr>
          <w:rFonts w:ascii="Arial" w:hAnsi="Arial" w:cs="Arial"/>
          <w:b/>
          <w:color w:val="000000" w:themeColor="text1"/>
          <w:sz w:val="22"/>
          <w:szCs w:val="22"/>
        </w:rPr>
      </w:pPr>
      <w:r w:rsidRPr="009B78DA">
        <w:rPr>
          <w:rFonts w:ascii="Arial" w:hAnsi="Arial" w:cs="Arial"/>
          <w:b/>
          <w:color w:val="000000" w:themeColor="text1"/>
          <w:sz w:val="22"/>
          <w:szCs w:val="22"/>
        </w:rPr>
        <w:t xml:space="preserve">Problem bazowy B: Podniesienie jakości życia mieszkańców województwa poprzez poprawę dostępności transportowej w różnych skalach przestrzennych, </w:t>
      </w:r>
      <w:r w:rsidR="00083F2B">
        <w:rPr>
          <w:rFonts w:ascii="Arial" w:hAnsi="Arial" w:cs="Arial"/>
          <w:b/>
          <w:color w:val="000000" w:themeColor="text1"/>
          <w:sz w:val="22"/>
          <w:szCs w:val="22"/>
        </w:rPr>
        <w:br/>
      </w:r>
      <w:r w:rsidRPr="009B78DA">
        <w:rPr>
          <w:rFonts w:ascii="Arial" w:hAnsi="Arial" w:cs="Arial"/>
          <w:b/>
          <w:color w:val="000000" w:themeColor="text1"/>
          <w:sz w:val="22"/>
          <w:szCs w:val="22"/>
        </w:rPr>
        <w:t>z uwzględnieniem zachodzących niekorzystnych procesów demograficznych</w:t>
      </w:r>
    </w:p>
    <w:p w14:paraId="60D281D9" w14:textId="2EB93F91" w:rsidR="00ED21AB"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Województwo podkarpackie, podobnie jak wiele innych obszarów w Polsce, podlega przyśpieszonym procesom demograficznym. Wyrażają się one w odpływie migracyjnym, </w:t>
      </w:r>
      <w:r w:rsidRPr="009B78DA">
        <w:rPr>
          <w:rFonts w:ascii="Arial" w:hAnsi="Arial" w:cs="Arial"/>
          <w:color w:val="000000" w:themeColor="text1"/>
          <w:sz w:val="22"/>
          <w:szCs w:val="22"/>
        </w:rPr>
        <w:br/>
        <w:t xml:space="preserve">a w konsekwencji w lokalnej depopulacji oraz starzeniu się społeczeństwa. Odpływ ma przy tym charakter selektywny, co oznacza ryzyko utraty lepiej wykształconych i bardziej przedsiębiorczych grup ludności. Ruchy migracyjne zachodzą także wewnątrz regionu, co powoduje, że sytuacja </w:t>
      </w:r>
      <w:r w:rsidR="008E73BD" w:rsidRPr="009B78DA">
        <w:rPr>
          <w:rFonts w:ascii="Arial" w:hAnsi="Arial" w:cs="Arial"/>
          <w:color w:val="000000" w:themeColor="text1"/>
          <w:sz w:val="22"/>
          <w:szCs w:val="22"/>
        </w:rPr>
        <w:t>ROF</w:t>
      </w:r>
      <w:r w:rsidRPr="009B78DA">
        <w:rPr>
          <w:rFonts w:ascii="Arial" w:hAnsi="Arial" w:cs="Arial"/>
          <w:color w:val="000000" w:themeColor="text1"/>
          <w:sz w:val="22"/>
          <w:szCs w:val="22"/>
        </w:rPr>
        <w:t xml:space="preserve"> oraz kilku innych MOF jest lepsza niż pozostałych obszarów. </w:t>
      </w:r>
      <w:r w:rsidR="00956C5F"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W tych warunkach szczególnie ważne jest zachowanie atrakcyjności osiedleńczej województwa jako całości oraz poszczególnych miast i subregionów w jego obrębie. Celem jest, w tym kontekście, zarówno utrzymanie obecnych mieszkańców, jak </w:t>
      </w:r>
      <w:r w:rsidR="00A12601" w:rsidRPr="009B78DA">
        <w:rPr>
          <w:rFonts w:ascii="Arial" w:hAnsi="Arial" w:cs="Arial"/>
          <w:color w:val="000000" w:themeColor="text1"/>
          <w:sz w:val="22"/>
          <w:szCs w:val="22"/>
        </w:rPr>
        <w:t>i</w:t>
      </w:r>
      <w:r w:rsidRPr="009B78DA">
        <w:rPr>
          <w:rFonts w:ascii="Arial" w:hAnsi="Arial" w:cs="Arial"/>
          <w:color w:val="000000" w:themeColor="text1"/>
          <w:sz w:val="22"/>
          <w:szCs w:val="22"/>
        </w:rPr>
        <w:t xml:space="preserve"> tworzenie dogodnych warunków dla potencjalnych imigrantów, także z zagranicy. Długoterminowe konsekwencje pandemii COVID-19 i upowszechnienie pracy zdalnej, mogą być nowymi czynnikami zwiększającymi atrakcyjność zamieszkania w miejscach bardziej oddalonych od biegunów wzrostu.</w:t>
      </w:r>
    </w:p>
    <w:p w14:paraId="16DFD0F7" w14:textId="18604B5A" w:rsidR="00ED21AB"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Kluczowym elementem jakości życia jest dostępność transportowa, zarówno ogólna jak </w:t>
      </w:r>
      <w:r w:rsidR="00A12601" w:rsidRPr="009B78DA">
        <w:rPr>
          <w:rFonts w:ascii="Arial" w:hAnsi="Arial" w:cs="Arial"/>
          <w:color w:val="000000" w:themeColor="text1"/>
          <w:sz w:val="22"/>
          <w:szCs w:val="22"/>
        </w:rPr>
        <w:t>i</w:t>
      </w:r>
      <w:r w:rsidRPr="009B78DA">
        <w:rPr>
          <w:rFonts w:ascii="Arial" w:hAnsi="Arial" w:cs="Arial"/>
          <w:color w:val="000000" w:themeColor="text1"/>
          <w:sz w:val="22"/>
          <w:szCs w:val="22"/>
        </w:rPr>
        <w:t xml:space="preserve"> mierzona względem szeroko rozumianych usług pożytku publicznego. Badania </w:t>
      </w:r>
      <w:r w:rsidRPr="009B78DA">
        <w:rPr>
          <w:rFonts w:ascii="Arial" w:hAnsi="Arial" w:cs="Arial"/>
          <w:color w:val="000000" w:themeColor="text1"/>
          <w:sz w:val="22"/>
          <w:szCs w:val="22"/>
        </w:rPr>
        <w:br/>
        <w:t>z wykorzystaniem modelu dostępności potencjałowej dowodzą, że ogólnej poprawie wskaźnika (we wszystkich gminach województwa) towarzyszy jego wewnętrzne różnicowanie się (polaryzacja). Tym samym poziom dostępności obszarów peryferyjnych regionu staje się relatywnie gorszy względem jego części rdzeniowej, w tym zwłaszcza względem korytarza równoleżnikowego Kraków</w:t>
      </w:r>
      <w:r w:rsidR="00A12601" w:rsidRPr="009B78DA">
        <w:rPr>
          <w:rFonts w:ascii="Arial" w:hAnsi="Arial" w:cs="Arial"/>
          <w:color w:val="000000" w:themeColor="text1"/>
          <w:sz w:val="22"/>
          <w:szCs w:val="22"/>
        </w:rPr>
        <w:t>-</w:t>
      </w:r>
      <w:r w:rsidRPr="009B78DA">
        <w:rPr>
          <w:rFonts w:ascii="Arial" w:hAnsi="Arial" w:cs="Arial"/>
          <w:color w:val="000000" w:themeColor="text1"/>
          <w:sz w:val="22"/>
          <w:szCs w:val="22"/>
        </w:rPr>
        <w:t>Rzeszów</w:t>
      </w:r>
      <w:r w:rsidR="00A12601" w:rsidRPr="009B78DA">
        <w:rPr>
          <w:rFonts w:ascii="Arial" w:hAnsi="Arial" w:cs="Arial"/>
          <w:color w:val="000000" w:themeColor="text1"/>
          <w:sz w:val="22"/>
          <w:szCs w:val="22"/>
        </w:rPr>
        <w:t>-</w:t>
      </w:r>
      <w:r w:rsidRPr="009B78DA">
        <w:rPr>
          <w:rFonts w:ascii="Arial" w:hAnsi="Arial" w:cs="Arial"/>
          <w:color w:val="000000" w:themeColor="text1"/>
          <w:sz w:val="22"/>
          <w:szCs w:val="22"/>
        </w:rPr>
        <w:t>granica z Ukrainą. W sposób szczególny widoczne jest pogarszanie się poziomu dostępności na południe od tego korytarza</w:t>
      </w:r>
      <w:r w:rsidR="000766BB" w:rsidRPr="009B78DA">
        <w:rPr>
          <w:rFonts w:ascii="Arial" w:hAnsi="Arial" w:cs="Arial"/>
          <w:color w:val="000000" w:themeColor="text1"/>
          <w:sz w:val="22"/>
          <w:szCs w:val="22"/>
        </w:rPr>
        <w:t>,</w:t>
      </w:r>
      <w:r w:rsidR="002962E0"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a ponadto także w części północno-wschodniej województwa (</w:t>
      </w:r>
      <w:r w:rsidR="00C26919" w:rsidRPr="009B78DA">
        <w:rPr>
          <w:rFonts w:ascii="Arial" w:hAnsi="Arial" w:cs="Arial"/>
          <w:color w:val="000000" w:themeColor="text1"/>
          <w:sz w:val="22"/>
          <w:szCs w:val="22"/>
        </w:rPr>
        <w:t>powiat lubaczowski</w:t>
      </w:r>
      <w:r w:rsidRPr="009B78DA">
        <w:rPr>
          <w:rFonts w:ascii="Arial" w:hAnsi="Arial" w:cs="Arial"/>
          <w:color w:val="000000" w:themeColor="text1"/>
          <w:sz w:val="22"/>
          <w:szCs w:val="22"/>
        </w:rPr>
        <w:t xml:space="preserve">). Dla poprawy sytuacji niezbędne okazują się często mniejsze inwestycje </w:t>
      </w:r>
      <w:r w:rsidR="00083F2B">
        <w:rPr>
          <w:rFonts w:ascii="Arial" w:hAnsi="Arial" w:cs="Arial"/>
          <w:color w:val="000000" w:themeColor="text1"/>
          <w:sz w:val="22"/>
          <w:szCs w:val="22"/>
        </w:rPr>
        <w:br/>
      </w:r>
      <w:r w:rsidRPr="009B78DA">
        <w:rPr>
          <w:rFonts w:ascii="Arial" w:hAnsi="Arial" w:cs="Arial"/>
          <w:color w:val="000000" w:themeColor="text1"/>
          <w:sz w:val="22"/>
          <w:szCs w:val="22"/>
        </w:rPr>
        <w:t xml:space="preserve">w ciągach dróg wojewódzkich i lokalnych, które mogą spowodować lepsze wykorzystanie już funkcjonującej infrastruktury wyższego szczebla. W kilku miejscach poziom dostępności jest wyraźnie upośledzony na skutek braku węzłów na niedawno zbudowanej autostradzie A4. Dotyczy to zwłaszcza </w:t>
      </w:r>
      <w:bookmarkStart w:id="227" w:name="_Hlk92698650"/>
      <w:r w:rsidR="00A37E83" w:rsidRPr="009B78DA">
        <w:rPr>
          <w:rFonts w:ascii="Arial" w:hAnsi="Arial" w:cs="Arial"/>
          <w:color w:val="000000" w:themeColor="text1"/>
          <w:sz w:val="22"/>
          <w:szCs w:val="22"/>
        </w:rPr>
        <w:t>postulowanego</w:t>
      </w:r>
      <w:r w:rsidRPr="009B78DA">
        <w:rPr>
          <w:rFonts w:ascii="Arial" w:hAnsi="Arial" w:cs="Arial"/>
          <w:color w:val="000000" w:themeColor="text1"/>
          <w:sz w:val="22"/>
          <w:szCs w:val="22"/>
        </w:rPr>
        <w:t xml:space="preserve"> </w:t>
      </w:r>
      <w:bookmarkEnd w:id="227"/>
      <w:r w:rsidRPr="009B78DA">
        <w:rPr>
          <w:rFonts w:ascii="Arial" w:hAnsi="Arial" w:cs="Arial"/>
          <w:color w:val="000000" w:themeColor="text1"/>
          <w:sz w:val="22"/>
          <w:szCs w:val="22"/>
        </w:rPr>
        <w:t>węzła Pilzno.</w:t>
      </w:r>
    </w:p>
    <w:p w14:paraId="334A6C20" w14:textId="09126A92" w:rsidR="00ED21AB"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Różnice w dostępności wewnątrz regionu stają się jeszcze większe jeżeli oceniamy je przez pryzmat transportu pasażerskiego zbiorowego. Obszary na południu, wschodzie, ale także lokalnie w centralnej części województwa, okazują się wówczas wyraźnie zagrożone wykluczeniem transportowym. Część terenów peryferyjnych jest słabo zaludniona, a tym samym komercyjne świadczenie usług transportu autobusowego jest tam nieopłacalne ekonomicznie. Obszary zagrożone wykluczeniem transportowym wymagają jednoczesnych działań w lokalne inwestycje infrastrukturalne oraz wsparcia dla transportu publicznego, względnie dla alternatywnych rozwiązań transportowych (car</w:t>
      </w:r>
      <w:r w:rsidR="00E959F4" w:rsidRPr="009B78DA">
        <w:rPr>
          <w:rFonts w:ascii="Arial" w:hAnsi="Arial" w:cs="Arial"/>
          <w:color w:val="000000" w:themeColor="text1"/>
          <w:sz w:val="22"/>
          <w:szCs w:val="22"/>
        </w:rPr>
        <w:t>-</w:t>
      </w:r>
      <w:r w:rsidRPr="009B78DA">
        <w:rPr>
          <w:rFonts w:ascii="Arial" w:hAnsi="Arial" w:cs="Arial"/>
          <w:color w:val="000000" w:themeColor="text1"/>
          <w:sz w:val="22"/>
          <w:szCs w:val="22"/>
        </w:rPr>
        <w:t>sharing</w:t>
      </w:r>
      <w:r w:rsidR="00A16A47" w:rsidRPr="009B78DA">
        <w:rPr>
          <w:rFonts w:ascii="Arial" w:hAnsi="Arial" w:cs="Arial"/>
          <w:color w:val="000000" w:themeColor="text1"/>
          <w:sz w:val="22"/>
          <w:szCs w:val="22"/>
        </w:rPr>
        <w:t>, car</w:t>
      </w:r>
      <w:r w:rsidR="00E959F4" w:rsidRPr="009B78DA">
        <w:rPr>
          <w:rFonts w:ascii="Arial" w:hAnsi="Arial" w:cs="Arial"/>
          <w:color w:val="000000" w:themeColor="text1"/>
          <w:sz w:val="22"/>
          <w:szCs w:val="22"/>
        </w:rPr>
        <w:t>-</w:t>
      </w:r>
      <w:r w:rsidR="00A16A47" w:rsidRPr="009B78DA">
        <w:rPr>
          <w:rFonts w:ascii="Arial" w:hAnsi="Arial" w:cs="Arial"/>
          <w:color w:val="000000" w:themeColor="text1"/>
          <w:sz w:val="22"/>
          <w:szCs w:val="22"/>
        </w:rPr>
        <w:t xml:space="preserve">pooling, </w:t>
      </w:r>
      <w:r w:rsidRPr="009B78DA">
        <w:rPr>
          <w:rFonts w:ascii="Arial" w:hAnsi="Arial" w:cs="Arial"/>
          <w:color w:val="000000" w:themeColor="text1"/>
          <w:sz w:val="22"/>
          <w:szCs w:val="22"/>
        </w:rPr>
        <w:t>autobus na życzenie). Dotyczy to w szczególności Karpat (Beskid Niski, Bieszczady), powiatu lubaczowskiego, a także strefy pogórzy (trójkąt Rzeszów</w:t>
      </w:r>
      <w:r w:rsidR="00170809" w:rsidRPr="009B78DA">
        <w:rPr>
          <w:rFonts w:ascii="Arial" w:hAnsi="Arial" w:cs="Arial"/>
          <w:color w:val="000000" w:themeColor="text1"/>
          <w:sz w:val="22"/>
          <w:szCs w:val="22"/>
        </w:rPr>
        <w:t>-</w:t>
      </w:r>
      <w:r w:rsidRPr="009B78DA">
        <w:rPr>
          <w:rFonts w:ascii="Arial" w:hAnsi="Arial" w:cs="Arial"/>
          <w:color w:val="000000" w:themeColor="text1"/>
          <w:sz w:val="22"/>
          <w:szCs w:val="22"/>
        </w:rPr>
        <w:t>Przemyśl</w:t>
      </w:r>
      <w:r w:rsidR="00170809" w:rsidRPr="009B78DA">
        <w:rPr>
          <w:rFonts w:ascii="Arial" w:hAnsi="Arial" w:cs="Arial"/>
          <w:color w:val="000000" w:themeColor="text1"/>
          <w:sz w:val="22"/>
          <w:szCs w:val="22"/>
        </w:rPr>
        <w:t>-</w:t>
      </w:r>
      <w:r w:rsidRPr="009B78DA">
        <w:rPr>
          <w:rFonts w:ascii="Arial" w:hAnsi="Arial" w:cs="Arial"/>
          <w:color w:val="000000" w:themeColor="text1"/>
          <w:sz w:val="22"/>
          <w:szCs w:val="22"/>
        </w:rPr>
        <w:t>Sanok). W wymienionych strefach, wraz z przemianami demograficznymi (odpływ i starzenie się ludności)  problemem stają się nie tyle dojazdy do pracy, co raczej dostęp do usług ochrony zdrowia, administracyjnych, handlowych i innych. Istnieje zagrożenie pogłębiania się opisanych problemów.</w:t>
      </w:r>
      <w:r w:rsidR="00677843" w:rsidRPr="009B78DA">
        <w:rPr>
          <w:color w:val="000000" w:themeColor="text1"/>
        </w:rPr>
        <w:t xml:space="preserve"> </w:t>
      </w:r>
      <w:r w:rsidR="00677843" w:rsidRPr="009B78DA">
        <w:rPr>
          <w:rFonts w:ascii="Arial" w:hAnsi="Arial" w:cs="Arial"/>
          <w:color w:val="000000" w:themeColor="text1"/>
          <w:sz w:val="22"/>
          <w:szCs w:val="22"/>
        </w:rPr>
        <w:t>Należy też zaznaczyć, że wykluczenie transportowe może się nasilać bez uwidocznienia w obserwowanych lub modelowanych parametrach ruchu ogółem.</w:t>
      </w:r>
      <w:r w:rsidR="00083F2B">
        <w:rPr>
          <w:rFonts w:ascii="Arial" w:hAnsi="Arial" w:cs="Arial"/>
          <w:color w:val="000000" w:themeColor="text1"/>
          <w:sz w:val="22"/>
          <w:szCs w:val="22"/>
        </w:rPr>
        <w:t xml:space="preserve"> </w:t>
      </w:r>
      <w:r w:rsidR="00083F2B">
        <w:rPr>
          <w:rFonts w:ascii="Arial" w:hAnsi="Arial" w:cs="Arial"/>
          <w:color w:val="000000" w:themeColor="text1"/>
          <w:sz w:val="22"/>
          <w:szCs w:val="22"/>
        </w:rPr>
        <w:br/>
      </w:r>
      <w:r w:rsidR="00677843" w:rsidRPr="009B78DA">
        <w:rPr>
          <w:rFonts w:ascii="Arial" w:hAnsi="Arial" w:cs="Arial"/>
          <w:color w:val="000000" w:themeColor="text1"/>
          <w:sz w:val="22"/>
          <w:szCs w:val="22"/>
        </w:rPr>
        <w:t xml:space="preserve">W początkowym okresie ma ono wymiar strukturalny. Zmienia się proporcja ruchu </w:t>
      </w:r>
      <w:r w:rsidR="00083F2B">
        <w:rPr>
          <w:rFonts w:ascii="Arial" w:hAnsi="Arial" w:cs="Arial"/>
          <w:color w:val="000000" w:themeColor="text1"/>
          <w:sz w:val="22"/>
          <w:szCs w:val="22"/>
        </w:rPr>
        <w:br/>
      </w:r>
      <w:r w:rsidR="00677843" w:rsidRPr="009B78DA">
        <w:rPr>
          <w:rFonts w:ascii="Arial" w:hAnsi="Arial" w:cs="Arial"/>
          <w:color w:val="000000" w:themeColor="text1"/>
          <w:sz w:val="22"/>
          <w:szCs w:val="22"/>
        </w:rPr>
        <w:t>w kategorii dojazdy do pracy w kategoriach pozostałych (na korzyść tych drugich). Jest to rezultat starzenie się społeczeństwa. Efekt wykluczenia będzie w tym wypadku następował</w:t>
      </w:r>
      <w:r w:rsidR="00083F2B">
        <w:rPr>
          <w:rFonts w:ascii="Arial" w:hAnsi="Arial" w:cs="Arial"/>
          <w:color w:val="000000" w:themeColor="text1"/>
          <w:sz w:val="22"/>
          <w:szCs w:val="22"/>
        </w:rPr>
        <w:t xml:space="preserve"> </w:t>
      </w:r>
      <w:r w:rsidR="00083F2B">
        <w:rPr>
          <w:rFonts w:ascii="Arial" w:hAnsi="Arial" w:cs="Arial"/>
          <w:color w:val="000000" w:themeColor="text1"/>
          <w:sz w:val="22"/>
          <w:szCs w:val="22"/>
        </w:rPr>
        <w:br/>
      </w:r>
      <w:r w:rsidR="00677843" w:rsidRPr="009B78DA">
        <w:rPr>
          <w:rFonts w:ascii="Arial" w:hAnsi="Arial" w:cs="Arial"/>
          <w:color w:val="000000" w:themeColor="text1"/>
          <w:sz w:val="22"/>
          <w:szCs w:val="22"/>
        </w:rPr>
        <w:t>z opóźnieniem jako rezultat: a) odpływu migracyjnego ludności w wieku produkcyjnym, będącej bazą dla mobilności całych gospodarstw domowych; b) przechodzenia osób w wieku poprodukcyjnym do coraz starszych grup wiekowych (rosnący udział osób 80+), kiedy to często następuję utrudnienie w korzystaniu z transportu indywidualnego. Obecne wyniki modelowania można traktować jako ostrzeżenie przed takimi problemami w kolejnej dekadzie (już po roku 2030).</w:t>
      </w:r>
    </w:p>
    <w:p w14:paraId="3888733E" w14:textId="3504FEC2" w:rsidR="00204047" w:rsidRPr="00083F2B" w:rsidRDefault="00204047" w:rsidP="00083F2B">
      <w:pPr>
        <w:spacing w:after="120" w:line="276" w:lineRule="auto"/>
        <w:ind w:firstLine="851"/>
        <w:rPr>
          <w:rFonts w:ascii="Arial" w:hAnsi="Arial" w:cs="Arial"/>
          <w:color w:val="000000" w:themeColor="text1"/>
          <w:sz w:val="22"/>
          <w:szCs w:val="22"/>
        </w:rPr>
      </w:pPr>
      <w:bookmarkStart w:id="228" w:name="_Hlk92187590"/>
      <w:r w:rsidRPr="009B78DA">
        <w:rPr>
          <w:rFonts w:ascii="Arial" w:hAnsi="Arial" w:cs="Arial"/>
          <w:color w:val="000000" w:themeColor="text1"/>
          <w:sz w:val="22"/>
          <w:szCs w:val="22"/>
        </w:rPr>
        <w:t xml:space="preserve">Wspomniane (w ramach problemu bazowego A) rozproszenie osadnictwa oraz policentryczny układ miejsc pracy powoduje konieczność dojazdów do Rzeszowa, do innych MOF, a także pomiędzy nimi (często w obu kierunkach). Bardzo duża jest także skala dojazdów do szkół różnego szczebla (szczególnie do Rzeszowa). Rola transportu publicznego w dojazdach do pracy jest wciąż ograniczona, a na niektórych </w:t>
      </w:r>
      <w:r w:rsidR="009A28C3" w:rsidRPr="009B78DA">
        <w:rPr>
          <w:rFonts w:ascii="Arial" w:hAnsi="Arial" w:cs="Arial"/>
          <w:color w:val="000000" w:themeColor="text1"/>
          <w:sz w:val="22"/>
          <w:szCs w:val="22"/>
        </w:rPr>
        <w:t>trasach</w:t>
      </w:r>
      <w:r w:rsidRPr="009B78DA">
        <w:rPr>
          <w:rFonts w:ascii="Arial" w:hAnsi="Arial" w:cs="Arial"/>
          <w:color w:val="000000" w:themeColor="text1"/>
          <w:sz w:val="22"/>
          <w:szCs w:val="22"/>
        </w:rPr>
        <w:t xml:space="preserve"> nadal maleje.</w:t>
      </w:r>
      <w:r w:rsidR="00587456"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Wielobiegunowy rynek pracy jest atutem regionu, ale w chwili obecnej pozostaje uzależniony od transportu indywidualnego. </w:t>
      </w:r>
      <w:bookmarkStart w:id="229" w:name="_Hlk92187652"/>
      <w:r w:rsidR="00C26919" w:rsidRPr="009B78DA">
        <w:rPr>
          <w:rFonts w:ascii="Arial" w:hAnsi="Arial" w:cs="Arial"/>
          <w:color w:val="000000" w:themeColor="text1"/>
          <w:sz w:val="22"/>
          <w:szCs w:val="22"/>
        </w:rPr>
        <w:t xml:space="preserve">W regionie następuje też zmiana strukturalna ruchu polegająca na przesunięciu od dojazdów do pracy w kierunku dojazdów do usług. </w:t>
      </w:r>
      <w:r w:rsidR="009A28C3" w:rsidRPr="009B78DA">
        <w:rPr>
          <w:rFonts w:ascii="Arial" w:hAnsi="Arial" w:cs="Arial"/>
          <w:color w:val="000000" w:themeColor="text1"/>
          <w:sz w:val="22"/>
          <w:szCs w:val="22"/>
        </w:rPr>
        <w:t>Dzięki ukończonym inwestycjom, p</w:t>
      </w:r>
      <w:r w:rsidRPr="009B78DA">
        <w:rPr>
          <w:rFonts w:ascii="Arial" w:hAnsi="Arial" w:cs="Arial"/>
          <w:color w:val="000000" w:themeColor="text1"/>
          <w:sz w:val="22"/>
          <w:szCs w:val="22"/>
        </w:rPr>
        <w:t>rędkości w transporcie kolejowym</w:t>
      </w:r>
      <w:r w:rsidR="00BC2840" w:rsidRPr="009B78DA">
        <w:rPr>
          <w:rFonts w:ascii="Arial" w:hAnsi="Arial" w:cs="Arial"/>
          <w:color w:val="000000" w:themeColor="text1"/>
          <w:sz w:val="22"/>
          <w:szCs w:val="22"/>
        </w:rPr>
        <w:t>, umożliwiły zwiększenie</w:t>
      </w:r>
      <w:r w:rsidRPr="009B78DA">
        <w:rPr>
          <w:rFonts w:ascii="Arial" w:hAnsi="Arial" w:cs="Arial"/>
          <w:color w:val="000000" w:themeColor="text1"/>
          <w:sz w:val="22"/>
          <w:szCs w:val="22"/>
        </w:rPr>
        <w:t xml:space="preserve"> pozycji konkurencyjnej </w:t>
      </w:r>
      <w:r w:rsidR="00BC2840" w:rsidRPr="009B78DA">
        <w:rPr>
          <w:rFonts w:ascii="Arial" w:hAnsi="Arial" w:cs="Arial"/>
          <w:color w:val="000000" w:themeColor="text1"/>
          <w:sz w:val="22"/>
          <w:szCs w:val="22"/>
        </w:rPr>
        <w:t xml:space="preserve">tej gałęzi transportu </w:t>
      </w:r>
      <w:r w:rsidRPr="009B78DA">
        <w:rPr>
          <w:rFonts w:ascii="Arial" w:hAnsi="Arial" w:cs="Arial"/>
          <w:color w:val="000000" w:themeColor="text1"/>
          <w:sz w:val="22"/>
          <w:szCs w:val="22"/>
        </w:rPr>
        <w:t>(poza magistralą E30</w:t>
      </w:r>
      <w:r w:rsidR="009A28C3" w:rsidRPr="009B78DA">
        <w:rPr>
          <w:rFonts w:ascii="Arial" w:hAnsi="Arial" w:cs="Arial"/>
          <w:color w:val="000000" w:themeColor="text1"/>
          <w:sz w:val="22"/>
          <w:szCs w:val="22"/>
        </w:rPr>
        <w:t>,</w:t>
      </w:r>
      <w:r w:rsidR="00BC2840" w:rsidRPr="009B78DA">
        <w:rPr>
          <w:rFonts w:ascii="Arial" w:hAnsi="Arial" w:cs="Arial"/>
          <w:color w:val="000000" w:themeColor="text1"/>
          <w:sz w:val="22"/>
          <w:szCs w:val="22"/>
        </w:rPr>
        <w:t xml:space="preserve"> zrealizowano rewitalizacje linii nr 25 na odcinku Mielec</w:t>
      </w:r>
      <w:r w:rsidR="009A28C3" w:rsidRPr="009B78DA">
        <w:rPr>
          <w:rFonts w:ascii="Arial" w:hAnsi="Arial" w:cs="Arial"/>
          <w:color w:val="000000" w:themeColor="text1"/>
          <w:sz w:val="22"/>
          <w:szCs w:val="22"/>
        </w:rPr>
        <w:t>-</w:t>
      </w:r>
      <w:r w:rsidR="00BC2840" w:rsidRPr="009B78DA">
        <w:rPr>
          <w:rFonts w:ascii="Arial" w:hAnsi="Arial" w:cs="Arial"/>
          <w:color w:val="000000" w:themeColor="text1"/>
          <w:sz w:val="22"/>
          <w:szCs w:val="22"/>
        </w:rPr>
        <w:t>Dębica, gdzie przywrócono ruch pasażerski, rewitalizacj</w:t>
      </w:r>
      <w:r w:rsidR="009A28C3" w:rsidRPr="009B78DA">
        <w:rPr>
          <w:rFonts w:ascii="Arial" w:hAnsi="Arial" w:cs="Arial"/>
          <w:color w:val="000000" w:themeColor="text1"/>
          <w:sz w:val="22"/>
          <w:szCs w:val="22"/>
        </w:rPr>
        <w:t>ę</w:t>
      </w:r>
      <w:r w:rsidR="00BC2840" w:rsidRPr="009B78DA">
        <w:rPr>
          <w:rFonts w:ascii="Arial" w:hAnsi="Arial" w:cs="Arial"/>
          <w:color w:val="000000" w:themeColor="text1"/>
          <w:sz w:val="22"/>
          <w:szCs w:val="22"/>
        </w:rPr>
        <w:t xml:space="preserve"> linii nr 106 wraz z uruchomieniem PKA do Strzyżowa oraz rewitalizacj</w:t>
      </w:r>
      <w:r w:rsidR="009A28C3" w:rsidRPr="009B78DA">
        <w:rPr>
          <w:rFonts w:ascii="Arial" w:hAnsi="Arial" w:cs="Arial"/>
          <w:color w:val="000000" w:themeColor="text1"/>
          <w:sz w:val="22"/>
          <w:szCs w:val="22"/>
        </w:rPr>
        <w:t>ę</w:t>
      </w:r>
      <w:r w:rsidR="00BC2840" w:rsidRPr="009B78DA">
        <w:rPr>
          <w:rFonts w:ascii="Arial" w:hAnsi="Arial" w:cs="Arial"/>
          <w:color w:val="000000" w:themeColor="text1"/>
          <w:sz w:val="22"/>
          <w:szCs w:val="22"/>
        </w:rPr>
        <w:t xml:space="preserve"> linii nr 71 wraz </w:t>
      </w:r>
      <w:r w:rsidR="00083F2B">
        <w:rPr>
          <w:rFonts w:ascii="Arial" w:hAnsi="Arial" w:cs="Arial"/>
          <w:color w:val="000000" w:themeColor="text1"/>
          <w:sz w:val="22"/>
          <w:szCs w:val="22"/>
        </w:rPr>
        <w:br/>
      </w:r>
      <w:r w:rsidR="00BC2840" w:rsidRPr="009B78DA">
        <w:rPr>
          <w:rFonts w:ascii="Arial" w:hAnsi="Arial" w:cs="Arial"/>
          <w:color w:val="000000" w:themeColor="text1"/>
          <w:sz w:val="22"/>
          <w:szCs w:val="22"/>
        </w:rPr>
        <w:t>z elektryfikacją). Efekty tych działań oraz dalsze prace mające na celu zminimalizowanie</w:t>
      </w:r>
      <w:r w:rsidRPr="009B78DA">
        <w:rPr>
          <w:rFonts w:ascii="Arial" w:hAnsi="Arial" w:cs="Arial"/>
          <w:color w:val="000000" w:themeColor="text1"/>
          <w:sz w:val="22"/>
          <w:szCs w:val="22"/>
        </w:rPr>
        <w:t xml:space="preserve"> okrężnego przebiegu niektórych tras (brak odpowiednich łączników, szczególnie </w:t>
      </w:r>
      <w:r w:rsidR="00083F2B">
        <w:rPr>
          <w:rFonts w:ascii="Arial" w:hAnsi="Arial" w:cs="Arial"/>
          <w:color w:val="000000" w:themeColor="text1"/>
          <w:sz w:val="22"/>
          <w:szCs w:val="22"/>
        </w:rPr>
        <w:br/>
      </w:r>
      <w:r w:rsidRPr="009B78DA">
        <w:rPr>
          <w:rFonts w:ascii="Arial" w:hAnsi="Arial" w:cs="Arial"/>
          <w:color w:val="000000" w:themeColor="text1"/>
          <w:sz w:val="22"/>
          <w:szCs w:val="22"/>
        </w:rPr>
        <w:t>w południowej części województwa)</w:t>
      </w:r>
      <w:r w:rsidR="00BC2840" w:rsidRPr="009B78DA">
        <w:rPr>
          <w:rFonts w:ascii="Arial" w:hAnsi="Arial" w:cs="Arial"/>
          <w:color w:val="000000" w:themeColor="text1"/>
          <w:sz w:val="22"/>
          <w:szCs w:val="22"/>
        </w:rPr>
        <w:t xml:space="preserve"> pozwolą na dalszy rozwój transportu kolejowego</w:t>
      </w:r>
      <w:r w:rsidRPr="009B78DA">
        <w:rPr>
          <w:rFonts w:ascii="Arial" w:hAnsi="Arial" w:cs="Arial"/>
          <w:color w:val="000000" w:themeColor="text1"/>
          <w:sz w:val="22"/>
          <w:szCs w:val="22"/>
        </w:rPr>
        <w:t xml:space="preserve">. </w:t>
      </w:r>
      <w:r w:rsidR="00BC2840" w:rsidRPr="009B78DA">
        <w:rPr>
          <w:rFonts w:ascii="Arial" w:hAnsi="Arial" w:cs="Arial"/>
          <w:color w:val="000000" w:themeColor="text1"/>
          <w:sz w:val="22"/>
          <w:szCs w:val="22"/>
        </w:rPr>
        <w:t>L</w:t>
      </w:r>
      <w:r w:rsidRPr="009B78DA">
        <w:rPr>
          <w:rFonts w:ascii="Arial" w:hAnsi="Arial" w:cs="Arial"/>
          <w:color w:val="000000" w:themeColor="text1"/>
          <w:sz w:val="22"/>
          <w:szCs w:val="22"/>
        </w:rPr>
        <w:t>iczba rozwiązań multimodalnych (możliwości przesiadki z transportu indywidu</w:t>
      </w:r>
      <w:r w:rsidR="009A28C3" w:rsidRPr="009B78DA">
        <w:rPr>
          <w:rFonts w:ascii="Arial" w:hAnsi="Arial" w:cs="Arial"/>
          <w:color w:val="000000" w:themeColor="text1"/>
          <w:sz w:val="22"/>
          <w:szCs w:val="22"/>
        </w:rPr>
        <w:t>a</w:t>
      </w:r>
      <w:r w:rsidRPr="009B78DA">
        <w:rPr>
          <w:rFonts w:ascii="Arial" w:hAnsi="Arial" w:cs="Arial"/>
          <w:color w:val="000000" w:themeColor="text1"/>
          <w:sz w:val="22"/>
          <w:szCs w:val="22"/>
        </w:rPr>
        <w:t>lnego na zbiorowy) pozostaje ograniczona.</w:t>
      </w:r>
      <w:bookmarkEnd w:id="229"/>
      <w:r w:rsidRPr="009B78DA">
        <w:rPr>
          <w:rFonts w:ascii="Arial" w:hAnsi="Arial" w:cs="Arial"/>
          <w:color w:val="000000" w:themeColor="text1"/>
          <w:sz w:val="22"/>
          <w:szCs w:val="22"/>
        </w:rPr>
        <w:t xml:space="preserve"> Zwiększenie udziału transportu zbiorowego wymaga działań inwestycyjnych, ale przede wszystkim także organizacyjnych (w tym taryfowych). W ramach Miejskich Obszarów Funkcjonalnych brak jest zintegrowanych instytucjonalnie systemów transportu zorganizowanego (transport zbiorowy kolejowy, autobusowy oraz transport indywidualny – rozwiązania typu park and ride, bike and ride, polityka parkingowa). Konsekwencją jest m.in. występowanie kongestii drogowej, szczególnie w obszarze </w:t>
      </w:r>
      <w:r w:rsidR="00977B12" w:rsidRPr="009B78DA">
        <w:rPr>
          <w:rFonts w:ascii="Arial" w:hAnsi="Arial" w:cs="Arial"/>
          <w:color w:val="000000" w:themeColor="text1"/>
          <w:sz w:val="22"/>
          <w:szCs w:val="22"/>
        </w:rPr>
        <w:t>ROF</w:t>
      </w:r>
      <w:r w:rsidRPr="009B78DA">
        <w:rPr>
          <w:rFonts w:ascii="Arial" w:hAnsi="Arial" w:cs="Arial"/>
          <w:color w:val="000000" w:themeColor="text1"/>
          <w:sz w:val="22"/>
          <w:szCs w:val="22"/>
        </w:rPr>
        <w:t>, ale również w obrębie niektórych innych MOF. Niewystarczająca jest nadal infrastruktura dla rozwoju codziennej mobilności aktywnej, zwłaszcza sieć ścieżek rowerowych (m.in. ich brak w ciągach dróg wojewódzkich na terenach pozamiejskich).</w:t>
      </w:r>
      <w:bookmarkEnd w:id="228"/>
    </w:p>
    <w:p w14:paraId="29E010F1" w14:textId="088EFD96" w:rsidR="00204047" w:rsidRPr="009B78DA" w:rsidRDefault="00204047" w:rsidP="00083F2B">
      <w:pPr>
        <w:spacing w:after="0" w:line="276" w:lineRule="auto"/>
        <w:rPr>
          <w:rFonts w:ascii="Arial" w:hAnsi="Arial" w:cs="Arial"/>
          <w:b/>
          <w:color w:val="000000" w:themeColor="text1"/>
          <w:sz w:val="22"/>
          <w:szCs w:val="22"/>
        </w:rPr>
      </w:pPr>
      <w:r w:rsidRPr="009B78DA">
        <w:rPr>
          <w:rFonts w:ascii="Arial" w:hAnsi="Arial" w:cs="Arial"/>
          <w:b/>
          <w:color w:val="000000" w:themeColor="text1"/>
          <w:sz w:val="22"/>
          <w:szCs w:val="22"/>
        </w:rPr>
        <w:t>Problem bazowy C: Zmniejszenie negatywnego oddziaływania sektora transportu na szeroko rozumiane środowisko naturalne w wymiarze globalnym (zmian klimatycznych) i lokalnym (ochrona, cennych walorów przyrodniczych regionu)</w:t>
      </w:r>
    </w:p>
    <w:p w14:paraId="68489083" w14:textId="7E63CEA6" w:rsidR="00ED21AB"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Niekorzystnymi efektami i niejako ubocznymi skutkami rozwoju transportu są: hałas, zanieczyszczenie powietrza i pośrednio zanieczyszczenie gleb i wód oraz kolizje </w:t>
      </w:r>
      <w:r w:rsidR="00083F2B">
        <w:rPr>
          <w:rFonts w:ascii="Arial" w:hAnsi="Arial" w:cs="Arial"/>
          <w:color w:val="000000" w:themeColor="text1"/>
          <w:sz w:val="22"/>
          <w:szCs w:val="22"/>
        </w:rPr>
        <w:br/>
      </w:r>
      <w:r w:rsidRPr="009B78DA">
        <w:rPr>
          <w:rFonts w:ascii="Arial" w:hAnsi="Arial" w:cs="Arial"/>
          <w:color w:val="000000" w:themeColor="text1"/>
          <w:sz w:val="22"/>
          <w:szCs w:val="22"/>
        </w:rPr>
        <w:t xml:space="preserve">z korytarzami ekologicznymi. Działania w zakresie rozwoju systemów transportowych (w tym niniejszy dokument) z założenia podlegają strategicznej ocenie oddziaływania na środowisko. Każda inwestycja, </w:t>
      </w:r>
      <w:r w:rsidR="009A28C3" w:rsidRPr="009B78DA">
        <w:rPr>
          <w:rFonts w:ascii="Arial" w:hAnsi="Arial" w:cs="Arial"/>
          <w:color w:val="000000" w:themeColor="text1"/>
          <w:sz w:val="22"/>
          <w:szCs w:val="22"/>
        </w:rPr>
        <w:t xml:space="preserve">pod względem </w:t>
      </w:r>
      <w:r w:rsidRPr="009B78DA">
        <w:rPr>
          <w:rFonts w:ascii="Arial" w:hAnsi="Arial" w:cs="Arial"/>
          <w:color w:val="000000" w:themeColor="text1"/>
          <w:sz w:val="22"/>
          <w:szCs w:val="22"/>
        </w:rPr>
        <w:t>technicznym i organizacyjnym musi być przygotowana z zachowaniem odpowiednich regulacji i standardów. Niezależnie od tego</w:t>
      </w:r>
      <w:r w:rsidR="009A28C3"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konsekwencje dla środowiska ma sama struktura gałęziowa transportu, układ </w:t>
      </w:r>
      <w:r w:rsidR="00083F2B">
        <w:rPr>
          <w:rFonts w:ascii="Arial" w:hAnsi="Arial" w:cs="Arial"/>
          <w:color w:val="000000" w:themeColor="text1"/>
          <w:sz w:val="22"/>
          <w:szCs w:val="22"/>
        </w:rPr>
        <w:br/>
      </w:r>
      <w:r w:rsidRPr="009B78DA">
        <w:rPr>
          <w:rFonts w:ascii="Arial" w:hAnsi="Arial" w:cs="Arial"/>
          <w:color w:val="000000" w:themeColor="text1"/>
          <w:sz w:val="22"/>
          <w:szCs w:val="22"/>
        </w:rPr>
        <w:t xml:space="preserve">i przepustowość sieci oraz lokalizacja obiektów. </w:t>
      </w:r>
      <w:r w:rsidR="009A28C3" w:rsidRPr="009B78DA">
        <w:rPr>
          <w:rFonts w:ascii="Arial" w:hAnsi="Arial" w:cs="Arial"/>
          <w:color w:val="000000" w:themeColor="text1"/>
          <w:sz w:val="22"/>
          <w:szCs w:val="22"/>
        </w:rPr>
        <w:t>P</w:t>
      </w:r>
      <w:r w:rsidRPr="009B78DA">
        <w:rPr>
          <w:rFonts w:ascii="Arial" w:hAnsi="Arial" w:cs="Arial"/>
          <w:color w:val="000000" w:themeColor="text1"/>
          <w:sz w:val="22"/>
          <w:szCs w:val="22"/>
        </w:rPr>
        <w:t>roblemem bazowym jest próba podjęcia korzystnych zmian w tym zakresie. Dotyczy to zarówno oddziaływa</w:t>
      </w:r>
      <w:r w:rsidR="0031581C" w:rsidRPr="009B78DA">
        <w:rPr>
          <w:rFonts w:ascii="Arial" w:hAnsi="Arial" w:cs="Arial"/>
          <w:color w:val="000000" w:themeColor="text1"/>
          <w:sz w:val="22"/>
          <w:szCs w:val="22"/>
        </w:rPr>
        <w:t>nia</w:t>
      </w:r>
      <w:r w:rsidRPr="009B78DA">
        <w:rPr>
          <w:rFonts w:ascii="Arial" w:hAnsi="Arial" w:cs="Arial"/>
          <w:color w:val="000000" w:themeColor="text1"/>
          <w:sz w:val="22"/>
          <w:szCs w:val="22"/>
        </w:rPr>
        <w:t xml:space="preserve"> o charakterze globalnym (emisja ze środków transportu, mająca wpływ na globalne zmiany klimatyczne), jak </w:t>
      </w:r>
      <w:r w:rsidR="0031581C" w:rsidRPr="009B78DA">
        <w:rPr>
          <w:rFonts w:ascii="Arial" w:hAnsi="Arial" w:cs="Arial"/>
          <w:color w:val="000000" w:themeColor="text1"/>
          <w:sz w:val="22"/>
          <w:szCs w:val="22"/>
        </w:rPr>
        <w:t>i</w:t>
      </w:r>
      <w:r w:rsidRPr="009B78DA">
        <w:rPr>
          <w:rFonts w:ascii="Arial" w:hAnsi="Arial" w:cs="Arial"/>
          <w:color w:val="000000" w:themeColor="text1"/>
          <w:sz w:val="22"/>
          <w:szCs w:val="22"/>
        </w:rPr>
        <w:t xml:space="preserve"> regionalny</w:t>
      </w:r>
      <w:r w:rsidR="0031581C" w:rsidRPr="009B78DA">
        <w:rPr>
          <w:rFonts w:ascii="Arial" w:hAnsi="Arial" w:cs="Arial"/>
          <w:color w:val="000000" w:themeColor="text1"/>
          <w:sz w:val="22"/>
          <w:szCs w:val="22"/>
        </w:rPr>
        <w:t>m</w:t>
      </w:r>
      <w:r w:rsidRPr="009B78DA">
        <w:rPr>
          <w:rFonts w:ascii="Arial" w:hAnsi="Arial" w:cs="Arial"/>
          <w:color w:val="000000" w:themeColor="text1"/>
          <w:sz w:val="22"/>
          <w:szCs w:val="22"/>
        </w:rPr>
        <w:t xml:space="preserve"> i lokalny</w:t>
      </w:r>
      <w:r w:rsidR="0031581C" w:rsidRPr="009B78DA">
        <w:rPr>
          <w:rFonts w:ascii="Arial" w:hAnsi="Arial" w:cs="Arial"/>
          <w:color w:val="000000" w:themeColor="text1"/>
          <w:sz w:val="22"/>
          <w:szCs w:val="22"/>
        </w:rPr>
        <w:t>m</w:t>
      </w:r>
      <w:r w:rsidRPr="009B78DA">
        <w:rPr>
          <w:rFonts w:ascii="Arial" w:hAnsi="Arial" w:cs="Arial"/>
          <w:color w:val="000000" w:themeColor="text1"/>
          <w:sz w:val="22"/>
          <w:szCs w:val="22"/>
        </w:rPr>
        <w:t xml:space="preserve"> (emisja jako czynnik pogarszający jakość powietrza w regionie – zagrożenie smogiem; emisja hałasu; </w:t>
      </w:r>
      <w:bookmarkStart w:id="230" w:name="_Hlk92698810"/>
      <w:r w:rsidRPr="009B78DA">
        <w:rPr>
          <w:rFonts w:ascii="Arial" w:hAnsi="Arial" w:cs="Arial"/>
          <w:color w:val="000000" w:themeColor="text1"/>
          <w:sz w:val="22"/>
          <w:szCs w:val="22"/>
        </w:rPr>
        <w:t>zagrożenie dla regionalnego środowiska</w:t>
      </w:r>
      <w:r w:rsidR="00A37E83" w:rsidRPr="009B78DA">
        <w:rPr>
          <w:rFonts w:ascii="Arial" w:hAnsi="Arial" w:cs="Arial"/>
          <w:color w:val="000000" w:themeColor="text1"/>
          <w:sz w:val="22"/>
          <w:szCs w:val="22"/>
        </w:rPr>
        <w:t xml:space="preserve"> </w:t>
      </w:r>
      <w:r w:rsidR="00083F2B">
        <w:rPr>
          <w:rFonts w:ascii="Arial" w:hAnsi="Arial" w:cs="Arial"/>
          <w:color w:val="000000" w:themeColor="text1"/>
          <w:sz w:val="22"/>
          <w:szCs w:val="22"/>
        </w:rPr>
        <w:br/>
      </w:r>
      <w:r w:rsidR="00A37E83" w:rsidRPr="009B78DA">
        <w:rPr>
          <w:rFonts w:ascii="Arial" w:hAnsi="Arial" w:cs="Arial"/>
          <w:color w:val="000000" w:themeColor="text1"/>
          <w:sz w:val="22"/>
          <w:szCs w:val="22"/>
        </w:rPr>
        <w:t xml:space="preserve">tj. </w:t>
      </w:r>
      <w:r w:rsidRPr="009B78DA">
        <w:rPr>
          <w:rFonts w:ascii="Arial" w:hAnsi="Arial" w:cs="Arial"/>
          <w:color w:val="000000" w:themeColor="text1"/>
          <w:sz w:val="22"/>
          <w:szCs w:val="22"/>
        </w:rPr>
        <w:t xml:space="preserve">fragmentacja i </w:t>
      </w:r>
      <w:bookmarkStart w:id="231" w:name="_Hlk92606180"/>
      <w:r w:rsidR="00A37E83" w:rsidRPr="009B78DA">
        <w:rPr>
          <w:rFonts w:ascii="Arial" w:hAnsi="Arial" w:cs="Arial"/>
          <w:color w:val="000000" w:themeColor="text1"/>
          <w:sz w:val="22"/>
          <w:szCs w:val="22"/>
        </w:rPr>
        <w:t xml:space="preserve">ograniczenie </w:t>
      </w:r>
      <w:r w:rsidRPr="009B78DA">
        <w:rPr>
          <w:rFonts w:ascii="Arial" w:hAnsi="Arial" w:cs="Arial"/>
          <w:color w:val="000000" w:themeColor="text1"/>
          <w:sz w:val="22"/>
          <w:szCs w:val="22"/>
        </w:rPr>
        <w:t>bioróżnorodności).</w:t>
      </w:r>
      <w:bookmarkEnd w:id="230"/>
      <w:bookmarkEnd w:id="231"/>
    </w:p>
    <w:p w14:paraId="0E1AE6F3" w14:textId="46B22C45" w:rsidR="00E14B38"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W regionie podkarpackim dominującą gałęzią transportu zarówno pas</w:t>
      </w:r>
      <w:r w:rsidR="00083F2B">
        <w:rPr>
          <w:rFonts w:ascii="Arial" w:hAnsi="Arial" w:cs="Arial"/>
          <w:color w:val="000000" w:themeColor="text1"/>
          <w:sz w:val="22"/>
          <w:szCs w:val="22"/>
        </w:rPr>
        <w:t xml:space="preserve">ażerskiego, jak </w:t>
      </w:r>
      <w:r w:rsidRPr="009B78DA">
        <w:rPr>
          <w:rFonts w:ascii="Arial" w:hAnsi="Arial" w:cs="Arial"/>
          <w:color w:val="000000" w:themeColor="text1"/>
          <w:sz w:val="22"/>
          <w:szCs w:val="22"/>
        </w:rPr>
        <w:t>i towarowego pozostaje transport samochodowy. Ponadto w obrębie transportu szynowego zaznacza się stosunkowo mały udział tras zelektryfikowanych. Negatywne oddziaływanie transportu drogowego jest zwiększane przez znaczny udział tranzytu międzynarodowego na kilku najważniejszych trasach. Wiele dróg obsługujących ruch tranzytowy i krajowy dalekobieżny prowadzi nadal przez strefy zurbanizowane (a nawet centra miast), co skutkuje kongestią i w konsekwencji zwiększoną emisją. Zbyt mała część prz</w:t>
      </w:r>
      <w:r w:rsidR="00083F2B">
        <w:rPr>
          <w:rFonts w:ascii="Arial" w:hAnsi="Arial" w:cs="Arial"/>
          <w:color w:val="000000" w:themeColor="text1"/>
          <w:sz w:val="22"/>
          <w:szCs w:val="22"/>
        </w:rPr>
        <w:t xml:space="preserve">ewozów towarowych </w:t>
      </w:r>
      <w:r w:rsidRPr="009B78DA">
        <w:rPr>
          <w:rFonts w:ascii="Arial" w:hAnsi="Arial" w:cs="Arial"/>
          <w:color w:val="000000" w:themeColor="text1"/>
          <w:sz w:val="22"/>
          <w:szCs w:val="22"/>
        </w:rPr>
        <w:t xml:space="preserve">(w tym w tranzycie) </w:t>
      </w:r>
      <w:r w:rsidR="0031581C" w:rsidRPr="009B78DA">
        <w:rPr>
          <w:rFonts w:ascii="Arial" w:hAnsi="Arial" w:cs="Arial"/>
          <w:color w:val="000000" w:themeColor="text1"/>
          <w:sz w:val="22"/>
          <w:szCs w:val="22"/>
        </w:rPr>
        <w:t xml:space="preserve">jest wykonywana przez transport kolejowy </w:t>
      </w:r>
      <w:r w:rsidR="00083F2B">
        <w:rPr>
          <w:rFonts w:ascii="Arial" w:hAnsi="Arial" w:cs="Arial"/>
          <w:color w:val="000000" w:themeColor="text1"/>
          <w:sz w:val="22"/>
          <w:szCs w:val="22"/>
        </w:rPr>
        <w:br/>
      </w:r>
      <w:r w:rsidR="0031581C" w:rsidRPr="009B78DA">
        <w:rPr>
          <w:rFonts w:ascii="Arial" w:hAnsi="Arial" w:cs="Arial"/>
          <w:color w:val="000000" w:themeColor="text1"/>
          <w:sz w:val="22"/>
          <w:szCs w:val="22"/>
        </w:rPr>
        <w:t xml:space="preserve">i </w:t>
      </w:r>
      <w:r w:rsidRPr="009B78DA">
        <w:rPr>
          <w:rFonts w:ascii="Arial" w:hAnsi="Arial" w:cs="Arial"/>
          <w:color w:val="000000" w:themeColor="text1"/>
          <w:sz w:val="22"/>
          <w:szCs w:val="22"/>
        </w:rPr>
        <w:t>intermodaln</w:t>
      </w:r>
      <w:r w:rsidR="0031581C" w:rsidRPr="009B78DA">
        <w:rPr>
          <w:rFonts w:ascii="Arial" w:hAnsi="Arial" w:cs="Arial"/>
          <w:color w:val="000000" w:themeColor="text1"/>
          <w:sz w:val="22"/>
          <w:szCs w:val="22"/>
        </w:rPr>
        <w:t>y</w:t>
      </w:r>
      <w:r w:rsidRPr="009B78DA">
        <w:rPr>
          <w:rFonts w:ascii="Arial" w:hAnsi="Arial" w:cs="Arial"/>
          <w:color w:val="000000" w:themeColor="text1"/>
          <w:sz w:val="22"/>
          <w:szCs w:val="22"/>
        </w:rPr>
        <w:t>. Nie sprzyja temu niewielka liczba odpowiednich węzłów intermodalnych.</w:t>
      </w:r>
    </w:p>
    <w:p w14:paraId="0A5FEBD4" w14:textId="404E37F8" w:rsidR="00ED21AB" w:rsidRPr="009B78DA" w:rsidRDefault="00F34C85"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Niezwykle istotne jest </w:t>
      </w:r>
      <w:r w:rsidR="001F37B8" w:rsidRPr="009B78DA">
        <w:rPr>
          <w:rFonts w:ascii="Arial" w:hAnsi="Arial" w:cs="Arial"/>
          <w:color w:val="000000" w:themeColor="text1"/>
          <w:sz w:val="22"/>
          <w:szCs w:val="22"/>
        </w:rPr>
        <w:t xml:space="preserve">zatem </w:t>
      </w:r>
      <w:r w:rsidRPr="009B78DA">
        <w:rPr>
          <w:rFonts w:ascii="Arial" w:hAnsi="Arial" w:cs="Arial"/>
          <w:color w:val="000000" w:themeColor="text1"/>
          <w:sz w:val="22"/>
          <w:szCs w:val="22"/>
        </w:rPr>
        <w:t>po</w:t>
      </w:r>
      <w:r w:rsidR="001B3A55" w:rsidRPr="009B78DA">
        <w:rPr>
          <w:rFonts w:ascii="Arial" w:hAnsi="Arial" w:cs="Arial"/>
          <w:color w:val="000000" w:themeColor="text1"/>
          <w:sz w:val="22"/>
          <w:szCs w:val="22"/>
        </w:rPr>
        <w:t>łożenie nacisku na rozwój tych elementów</w:t>
      </w:r>
      <w:r w:rsidRPr="009B78DA">
        <w:rPr>
          <w:rFonts w:ascii="Arial" w:hAnsi="Arial" w:cs="Arial"/>
          <w:color w:val="000000" w:themeColor="text1"/>
          <w:sz w:val="22"/>
          <w:szCs w:val="22"/>
        </w:rPr>
        <w:t xml:space="preserve"> systemów transportowych,</w:t>
      </w:r>
      <w:r w:rsidR="00895BDF" w:rsidRPr="009B78DA">
        <w:rPr>
          <w:rFonts w:ascii="Arial" w:hAnsi="Arial" w:cs="Arial"/>
          <w:color w:val="000000" w:themeColor="text1"/>
          <w:sz w:val="22"/>
          <w:szCs w:val="22"/>
        </w:rPr>
        <w:t xml:space="preserve"> dzięki którym</w:t>
      </w:r>
      <w:r w:rsidRPr="009B78DA">
        <w:rPr>
          <w:rFonts w:ascii="Arial" w:hAnsi="Arial" w:cs="Arial"/>
          <w:color w:val="000000" w:themeColor="text1"/>
          <w:sz w:val="22"/>
          <w:szCs w:val="22"/>
        </w:rPr>
        <w:t xml:space="preserve"> najbardziej efektywne byłoby wspieranie przesunięć modalnych (obsługa aglomeracji rzeszowskiej, dojazdy do Rzeszowa, powiązania z innymi dużymi ośrodkami krajowymi </w:t>
      </w:r>
      <w:r w:rsidR="001773EB"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szczególnie Krak</w:t>
      </w:r>
      <w:r w:rsidR="00122C86" w:rsidRPr="009B78DA">
        <w:rPr>
          <w:rFonts w:ascii="Arial" w:hAnsi="Arial" w:cs="Arial"/>
          <w:color w:val="000000" w:themeColor="text1"/>
          <w:sz w:val="22"/>
          <w:szCs w:val="22"/>
        </w:rPr>
        <w:t>owem</w:t>
      </w:r>
      <w:r w:rsidRPr="009B78DA">
        <w:rPr>
          <w:rFonts w:ascii="Arial" w:hAnsi="Arial" w:cs="Arial"/>
          <w:color w:val="000000" w:themeColor="text1"/>
          <w:sz w:val="22"/>
          <w:szCs w:val="22"/>
        </w:rPr>
        <w:t xml:space="preserve"> i zagranicznymi</w:t>
      </w:r>
      <w:r w:rsidR="001773EB" w:rsidRPr="009B78DA">
        <w:rPr>
          <w:rFonts w:ascii="Arial" w:hAnsi="Arial" w:cs="Arial"/>
          <w:color w:val="000000" w:themeColor="text1"/>
          <w:sz w:val="22"/>
          <w:szCs w:val="22"/>
        </w:rPr>
        <w:t>)</w:t>
      </w:r>
      <w:r w:rsidRPr="009B78DA">
        <w:rPr>
          <w:rFonts w:ascii="Arial" w:hAnsi="Arial" w:cs="Arial"/>
          <w:color w:val="000000" w:themeColor="text1"/>
          <w:sz w:val="22"/>
          <w:szCs w:val="22"/>
        </w:rPr>
        <w:t>.</w:t>
      </w:r>
    </w:p>
    <w:p w14:paraId="0A0BED91" w14:textId="79B6EE52" w:rsidR="00ED21AB"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Największe stężenia zanieczyszczeń występują na skrzyżowaniach i drogach </w:t>
      </w:r>
      <w:r w:rsidR="00083F2B">
        <w:rPr>
          <w:rFonts w:ascii="Arial" w:hAnsi="Arial" w:cs="Arial"/>
          <w:color w:val="000000" w:themeColor="text1"/>
          <w:sz w:val="22"/>
          <w:szCs w:val="22"/>
        </w:rPr>
        <w:br/>
      </w:r>
      <w:r w:rsidRPr="009B78DA">
        <w:rPr>
          <w:rFonts w:ascii="Arial" w:hAnsi="Arial" w:cs="Arial"/>
          <w:color w:val="000000" w:themeColor="text1"/>
          <w:sz w:val="22"/>
          <w:szCs w:val="22"/>
        </w:rPr>
        <w:t xml:space="preserve">o znacznym natężeniu ruchu (kongestia), które przebiegają przez obszary położone w zwartej zabudowie, zwłaszcza w mieście Rzeszów, a w drugiej kolejności w niektórych innych MOF (Tarnobrzeg, Przemyśl, Krosno). Do emisji przyczynia się także niewystarczający poziom elektryfikacji linii kolejowych oraz nie zawsze niskoemisyjna struktura taboru autobusowego. Województwo podkarpackie zajmuje przedostatnie miejsce w rankingu województw pod względem zarejestrowanej w Centralnej Ewidencji Pojazdów </w:t>
      </w:r>
      <w:r w:rsidR="00083F2B">
        <w:rPr>
          <w:rFonts w:ascii="Arial" w:hAnsi="Arial" w:cs="Arial"/>
          <w:color w:val="000000" w:themeColor="text1"/>
          <w:sz w:val="22"/>
          <w:szCs w:val="22"/>
        </w:rPr>
        <w:br/>
      </w:r>
      <w:r w:rsidRPr="009B78DA">
        <w:rPr>
          <w:rFonts w:ascii="Arial" w:hAnsi="Arial" w:cs="Arial"/>
          <w:color w:val="000000" w:themeColor="text1"/>
          <w:sz w:val="22"/>
          <w:szCs w:val="22"/>
        </w:rPr>
        <w:t xml:space="preserve">i Kierowców liczby samochodów elektrycznych i hybrydowych (osobowych) w 2018 r., co jest w dużym stopniu uzależnione od czynników ponadregionalnych (systemy wsparcia). </w:t>
      </w:r>
      <w:r w:rsidR="0031581C" w:rsidRPr="009B78DA">
        <w:rPr>
          <w:rFonts w:ascii="Arial" w:hAnsi="Arial" w:cs="Arial"/>
          <w:color w:val="000000" w:themeColor="text1"/>
          <w:sz w:val="22"/>
          <w:szCs w:val="22"/>
        </w:rPr>
        <w:t xml:space="preserve">Znaczenie ma </w:t>
      </w:r>
      <w:r w:rsidRPr="009B78DA">
        <w:rPr>
          <w:rFonts w:ascii="Arial" w:hAnsi="Arial" w:cs="Arial"/>
          <w:color w:val="000000" w:themeColor="text1"/>
          <w:sz w:val="22"/>
          <w:szCs w:val="22"/>
        </w:rPr>
        <w:t>także dostęp do odpowiedniej infrastruktury w postaci punktów ładowania</w:t>
      </w:r>
      <w:r w:rsidR="000A7C92" w:rsidRPr="009B78DA">
        <w:rPr>
          <w:rFonts w:ascii="Arial" w:hAnsi="Arial" w:cs="Arial"/>
          <w:color w:val="000000" w:themeColor="text1"/>
          <w:sz w:val="22"/>
          <w:szCs w:val="22"/>
        </w:rPr>
        <w:t xml:space="preserve">, </w:t>
      </w:r>
      <w:bookmarkStart w:id="232" w:name="_Hlk92606295"/>
      <w:r w:rsidR="000A7C92" w:rsidRPr="009B78DA">
        <w:rPr>
          <w:rFonts w:ascii="Arial" w:hAnsi="Arial" w:cs="Arial"/>
          <w:color w:val="000000" w:themeColor="text1"/>
          <w:sz w:val="22"/>
          <w:szCs w:val="22"/>
        </w:rPr>
        <w:t>która systematycznie się poprawia.</w:t>
      </w:r>
      <w:bookmarkEnd w:id="232"/>
    </w:p>
    <w:p w14:paraId="6D08B448" w14:textId="326D83CE" w:rsidR="00ED21AB"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W otoczeniu dróg badanych pod względem hałasu dominują tereny o </w:t>
      </w:r>
      <w:r w:rsidRPr="009B78DA">
        <w:rPr>
          <w:rFonts w:ascii="Arial" w:hAnsi="Arial" w:cs="Arial"/>
          <w:i/>
          <w:color w:val="000000" w:themeColor="text1"/>
          <w:sz w:val="22"/>
          <w:szCs w:val="22"/>
        </w:rPr>
        <w:t>niedobrym stanie akustycznym</w:t>
      </w:r>
      <w:r w:rsidRPr="009B78DA">
        <w:rPr>
          <w:rFonts w:ascii="Arial" w:hAnsi="Arial" w:cs="Arial"/>
          <w:color w:val="000000" w:themeColor="text1"/>
          <w:sz w:val="22"/>
          <w:szCs w:val="22"/>
        </w:rPr>
        <w:t xml:space="preserve"> (przekroczenia dopuszczalnych poziomów hałasu drogowego do 10 dB), nie występowały natomiast tereny, </w:t>
      </w:r>
      <w:r w:rsidRPr="009B78DA">
        <w:rPr>
          <w:rFonts w:ascii="Arial" w:hAnsi="Arial" w:cs="Arial"/>
          <w:i/>
          <w:color w:val="000000" w:themeColor="text1"/>
          <w:sz w:val="22"/>
          <w:szCs w:val="22"/>
        </w:rPr>
        <w:t>o stanie bardzo złym</w:t>
      </w:r>
      <w:r w:rsidR="00083F2B">
        <w:rPr>
          <w:rFonts w:ascii="Arial" w:hAnsi="Arial" w:cs="Arial"/>
          <w:color w:val="000000" w:themeColor="text1"/>
          <w:sz w:val="22"/>
          <w:szCs w:val="22"/>
        </w:rPr>
        <w:t xml:space="preserve"> (przekroczenia powyżej 20 dB).</w:t>
      </w:r>
    </w:p>
    <w:p w14:paraId="34E12BB4" w14:textId="20AD5AFF" w:rsidR="00ED21AB"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Niewystarczające wydają się możliwości związan</w:t>
      </w:r>
      <w:r w:rsidR="00C6680A"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z mobilnością aktywną regionu. Trasy rowerowe nie tworzą zwartych sieci, a ich układ nie zawsze sprzyja korzystaniu z tej formy transportu w podróżach codziennych, w tym w dojazdach do pracy. Brak jest szlaków prowadzonych konsekwentnie wzdłuż dróg wojewódzkich łączących poszczególne miasta</w:t>
      </w:r>
      <w:r w:rsidR="00C6680A" w:rsidRPr="009B78DA">
        <w:rPr>
          <w:rFonts w:ascii="Arial" w:hAnsi="Arial" w:cs="Arial"/>
          <w:color w:val="000000" w:themeColor="text1"/>
          <w:sz w:val="22"/>
          <w:szCs w:val="22"/>
        </w:rPr>
        <w:t xml:space="preserve"> </w:t>
      </w:r>
      <w:bookmarkStart w:id="233" w:name="_Hlk92606478"/>
      <w:r w:rsidR="00C6680A" w:rsidRPr="009B78DA">
        <w:rPr>
          <w:rFonts w:ascii="Arial" w:hAnsi="Arial" w:cs="Arial"/>
          <w:color w:val="000000" w:themeColor="text1"/>
          <w:sz w:val="22"/>
          <w:szCs w:val="22"/>
        </w:rPr>
        <w:t>(ścieżki rowerowe do przystanków zbiorczych)</w:t>
      </w:r>
      <w:r w:rsidRPr="009B78DA">
        <w:rPr>
          <w:rFonts w:ascii="Arial" w:hAnsi="Arial" w:cs="Arial"/>
          <w:color w:val="000000" w:themeColor="text1"/>
          <w:sz w:val="22"/>
          <w:szCs w:val="22"/>
        </w:rPr>
        <w:t>.</w:t>
      </w:r>
      <w:bookmarkEnd w:id="233"/>
    </w:p>
    <w:p w14:paraId="3DD57BE7" w14:textId="13934A45" w:rsidR="00ED21AB" w:rsidRPr="009B78DA" w:rsidRDefault="00204047"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Zmniejszenie negatywnego oddziaływania transportu na elementy środowiska naturalnego musi także brać pod uwagę specyfikę regionu, wyrażającą się m.in. w jego ukształtowaniu powierzchni, bogatej sieci hydrograficznej oraz ogromnych walorach przyrodniczych (w skali europejskiej), co skutkuje rozległością obszarów podlegających ochronie powierzchniowej. Blisko 45% terenu województwa podlega reżimowi ochronnemu, </w:t>
      </w:r>
      <w:r w:rsidR="00956C5F"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a większość dolin rzecznych stanowi obszary NATURA 2000. W efekcie korytarze ekologiczne, </w:t>
      </w:r>
      <w:r w:rsidR="009E1FEB" w:rsidRPr="009B78DA">
        <w:rPr>
          <w:rFonts w:ascii="Arial" w:hAnsi="Arial" w:cs="Arial"/>
          <w:color w:val="000000" w:themeColor="text1"/>
          <w:sz w:val="22"/>
          <w:szCs w:val="22"/>
        </w:rPr>
        <w:t xml:space="preserve">w </w:t>
      </w:r>
      <w:r w:rsidRPr="009B78DA">
        <w:rPr>
          <w:rFonts w:ascii="Arial" w:hAnsi="Arial" w:cs="Arial"/>
          <w:color w:val="000000" w:themeColor="text1"/>
          <w:sz w:val="22"/>
          <w:szCs w:val="22"/>
        </w:rPr>
        <w:t xml:space="preserve">tym o znaczeniu paneuropejskim, istotne dla zachowania ciągów migracyjnych zwierząt przecinają się z siecią dróg i torów kolejowych. </w:t>
      </w:r>
      <w:bookmarkStart w:id="234" w:name="_Hlk92606538"/>
      <w:r w:rsidRPr="009B78DA">
        <w:rPr>
          <w:rFonts w:ascii="Arial" w:hAnsi="Arial" w:cs="Arial"/>
          <w:color w:val="000000" w:themeColor="text1"/>
          <w:sz w:val="22"/>
          <w:szCs w:val="22"/>
        </w:rPr>
        <w:t xml:space="preserve">W wielu miejscach konfliktów </w:t>
      </w:r>
      <w:r w:rsidR="00C6680A" w:rsidRPr="009B78DA">
        <w:rPr>
          <w:rFonts w:ascii="Arial" w:hAnsi="Arial" w:cs="Arial"/>
          <w:color w:val="000000" w:themeColor="text1"/>
          <w:sz w:val="22"/>
          <w:szCs w:val="22"/>
        </w:rPr>
        <w:t>brakuje</w:t>
      </w:r>
      <w:r w:rsidRPr="009B78DA">
        <w:rPr>
          <w:rFonts w:ascii="Arial" w:hAnsi="Arial" w:cs="Arial"/>
          <w:color w:val="000000" w:themeColor="text1"/>
          <w:sz w:val="22"/>
          <w:szCs w:val="22"/>
        </w:rPr>
        <w:t xml:space="preserve"> </w:t>
      </w:r>
      <w:r w:rsidR="00C6680A" w:rsidRPr="009B78DA">
        <w:rPr>
          <w:rFonts w:ascii="Arial" w:hAnsi="Arial" w:cs="Arial"/>
          <w:color w:val="000000" w:themeColor="text1"/>
          <w:sz w:val="22"/>
          <w:szCs w:val="22"/>
        </w:rPr>
        <w:t xml:space="preserve">infrastrukturalnych </w:t>
      </w:r>
      <w:r w:rsidRPr="009B78DA">
        <w:rPr>
          <w:rFonts w:ascii="Arial" w:hAnsi="Arial" w:cs="Arial"/>
          <w:color w:val="000000" w:themeColor="text1"/>
          <w:sz w:val="22"/>
          <w:szCs w:val="22"/>
        </w:rPr>
        <w:t>rozwiąza</w:t>
      </w:r>
      <w:r w:rsidR="00C6680A" w:rsidRPr="009B78DA">
        <w:rPr>
          <w:rFonts w:ascii="Arial" w:hAnsi="Arial" w:cs="Arial"/>
          <w:color w:val="000000" w:themeColor="text1"/>
          <w:sz w:val="22"/>
          <w:szCs w:val="22"/>
        </w:rPr>
        <w:t>ń</w:t>
      </w:r>
      <w:r w:rsidRPr="009B78DA">
        <w:rPr>
          <w:rFonts w:ascii="Arial" w:hAnsi="Arial" w:cs="Arial"/>
          <w:color w:val="000000" w:themeColor="text1"/>
          <w:sz w:val="22"/>
          <w:szCs w:val="22"/>
        </w:rPr>
        <w:t xml:space="preserve"> chroniąc</w:t>
      </w:r>
      <w:r w:rsidR="00C6680A" w:rsidRPr="009B78DA">
        <w:rPr>
          <w:rFonts w:ascii="Arial" w:hAnsi="Arial" w:cs="Arial"/>
          <w:color w:val="000000" w:themeColor="text1"/>
          <w:sz w:val="22"/>
          <w:szCs w:val="22"/>
        </w:rPr>
        <w:t>ych</w:t>
      </w:r>
      <w:r w:rsidRPr="009B78DA">
        <w:rPr>
          <w:rFonts w:ascii="Arial" w:hAnsi="Arial" w:cs="Arial"/>
          <w:color w:val="000000" w:themeColor="text1"/>
          <w:sz w:val="22"/>
          <w:szCs w:val="22"/>
        </w:rPr>
        <w:t xml:space="preserve"> zwierzęta.</w:t>
      </w:r>
      <w:bookmarkEnd w:id="234"/>
    </w:p>
    <w:p w14:paraId="6B0D2980" w14:textId="7811A030" w:rsidR="00204047" w:rsidRPr="009B78DA" w:rsidRDefault="00204047" w:rsidP="00083F2B">
      <w:pPr>
        <w:spacing w:after="12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Nie bez znaczenia jest także konieczność dostosowania sieci transportowych do zagrożeń wynikających ze zjawisk ekstremalnych, w tym oczekiwanych zjawisk związanych ze zmianami klimatycznymi (zagrożenie powodziowe, osuwiska). Budowa geologiczna </w:t>
      </w:r>
      <w:r w:rsidR="00956C5F" w:rsidRPr="009B78DA">
        <w:rPr>
          <w:rFonts w:ascii="Arial" w:hAnsi="Arial" w:cs="Arial"/>
          <w:color w:val="000000" w:themeColor="text1"/>
          <w:sz w:val="22"/>
          <w:szCs w:val="22"/>
        </w:rPr>
        <w:br/>
      </w:r>
      <w:r w:rsidRPr="009B78DA">
        <w:rPr>
          <w:rFonts w:ascii="Arial" w:hAnsi="Arial" w:cs="Arial"/>
          <w:color w:val="000000" w:themeColor="text1"/>
          <w:sz w:val="22"/>
          <w:szCs w:val="22"/>
        </w:rPr>
        <w:t>i rzeźba terenu, a także niewłaściwe zagospodarowanie danego terenu (np. usunięcie szaty roślinnej ze stoków, obciążenie podłoża budowlami, intensywny ruch komunikacyjny) sprzyjają powstawaniu osuwisk. Występowanie zjawiska tego typu najczęściej obserwowane jest na stokach w południowej części województwa, w obrębie Karpat fliszowych. Jednocześnie ok. 280 tys. ha terenów zagrożonych zalaniem lub podtopieniem. Największe obszary zalewowe zlokalizowane są w dolinach rzek: Wisły, Sanu, Wisłoki i Wisłoka oraz ich dopływach. Ma to wpływ na konieczność zabezpieczenia relatywnie większych środków na</w:t>
      </w:r>
      <w:r w:rsidR="00083F2B">
        <w:rPr>
          <w:rFonts w:ascii="Arial" w:hAnsi="Arial" w:cs="Arial"/>
          <w:color w:val="000000" w:themeColor="text1"/>
          <w:sz w:val="22"/>
          <w:szCs w:val="22"/>
        </w:rPr>
        <w:t xml:space="preserve"> budowę nowych </w:t>
      </w:r>
      <w:r w:rsidRPr="009B78DA">
        <w:rPr>
          <w:rFonts w:ascii="Arial" w:hAnsi="Arial" w:cs="Arial"/>
          <w:color w:val="000000" w:themeColor="text1"/>
          <w:sz w:val="22"/>
          <w:szCs w:val="22"/>
        </w:rPr>
        <w:t>i modernizację istniejących elementó</w:t>
      </w:r>
      <w:r w:rsidR="00083F2B">
        <w:rPr>
          <w:rFonts w:ascii="Arial" w:hAnsi="Arial" w:cs="Arial"/>
          <w:color w:val="000000" w:themeColor="text1"/>
          <w:sz w:val="22"/>
          <w:szCs w:val="22"/>
        </w:rPr>
        <w:t>w infrastruktury transportowej.</w:t>
      </w:r>
    </w:p>
    <w:p w14:paraId="73EEF89D" w14:textId="70A31B03" w:rsidR="00ED21AB" w:rsidRPr="009B78DA" w:rsidRDefault="00204047" w:rsidP="00083F2B">
      <w:pPr>
        <w:spacing w:after="0" w:line="276" w:lineRule="auto"/>
        <w:ind w:left="284" w:hanging="284"/>
        <w:rPr>
          <w:rFonts w:ascii="Arial" w:hAnsi="Arial" w:cs="Arial"/>
          <w:b/>
          <w:color w:val="000000" w:themeColor="text1"/>
          <w:sz w:val="22"/>
          <w:szCs w:val="22"/>
        </w:rPr>
      </w:pPr>
      <w:r w:rsidRPr="009B78DA">
        <w:rPr>
          <w:rFonts w:ascii="Arial" w:hAnsi="Arial" w:cs="Arial"/>
          <w:b/>
          <w:color w:val="000000" w:themeColor="text1"/>
          <w:sz w:val="22"/>
          <w:szCs w:val="22"/>
        </w:rPr>
        <w:t>Problem bazowy D: Podniesienie poziomu bezpieczeństwa w transporcie</w:t>
      </w:r>
    </w:p>
    <w:p w14:paraId="035AB6D2" w14:textId="6E876563" w:rsidR="00ED21AB" w:rsidRPr="009B78DA" w:rsidRDefault="00204047" w:rsidP="00083F2B">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Bezpieczeństwo w transporcie,</w:t>
      </w:r>
      <w:r w:rsidR="00BD5C30"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szczególnie bezpieczeństwo ruchu drogowego jest </w:t>
      </w:r>
      <w:r w:rsidR="00BD5C30" w:rsidRPr="009B78DA">
        <w:rPr>
          <w:rFonts w:ascii="Arial" w:hAnsi="Arial" w:cs="Arial"/>
          <w:color w:val="000000" w:themeColor="text1"/>
          <w:sz w:val="22"/>
          <w:szCs w:val="22"/>
        </w:rPr>
        <w:t>(</w:t>
      </w:r>
      <w:r w:rsidRPr="009B78DA">
        <w:rPr>
          <w:rFonts w:ascii="Arial" w:hAnsi="Arial" w:cs="Arial"/>
          <w:color w:val="000000" w:themeColor="text1"/>
          <w:sz w:val="22"/>
          <w:szCs w:val="22"/>
        </w:rPr>
        <w:t>pomimo stopniowej poprawy sytuacji</w:t>
      </w:r>
      <w:r w:rsidR="00BD5C30"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istotnym problemem w skali ogólnopolskiej, a także </w:t>
      </w:r>
      <w:r w:rsidRPr="009B78DA">
        <w:rPr>
          <w:rFonts w:ascii="Arial" w:hAnsi="Arial" w:cs="Arial"/>
          <w:color w:val="000000" w:themeColor="text1"/>
          <w:sz w:val="22"/>
          <w:szCs w:val="22"/>
        </w:rPr>
        <w:br/>
        <w:t>w wojewódz</w:t>
      </w:r>
      <w:r w:rsidR="00BD5C30" w:rsidRPr="009B78DA">
        <w:rPr>
          <w:rFonts w:ascii="Arial" w:hAnsi="Arial" w:cs="Arial"/>
          <w:color w:val="000000" w:themeColor="text1"/>
          <w:sz w:val="22"/>
          <w:szCs w:val="22"/>
        </w:rPr>
        <w:t>twie</w:t>
      </w:r>
      <w:r w:rsidRPr="009B78DA">
        <w:rPr>
          <w:rFonts w:ascii="Arial" w:hAnsi="Arial" w:cs="Arial"/>
          <w:color w:val="000000" w:themeColor="text1"/>
          <w:sz w:val="22"/>
          <w:szCs w:val="22"/>
        </w:rPr>
        <w:t xml:space="preserve"> podkarpackim. Liczba wypadków w województwie jest wprawdzie niższa od średniej krajowej i stopniowo maleje, </w:t>
      </w:r>
      <w:r w:rsidR="00BD5C30" w:rsidRPr="009B78DA">
        <w:rPr>
          <w:rFonts w:ascii="Arial" w:hAnsi="Arial" w:cs="Arial"/>
          <w:color w:val="000000" w:themeColor="text1"/>
          <w:sz w:val="22"/>
          <w:szCs w:val="22"/>
        </w:rPr>
        <w:t xml:space="preserve">jednak </w:t>
      </w:r>
      <w:r w:rsidRPr="009B78DA">
        <w:rPr>
          <w:rFonts w:ascii="Arial" w:hAnsi="Arial" w:cs="Arial"/>
          <w:color w:val="000000" w:themeColor="text1"/>
          <w:sz w:val="22"/>
          <w:szCs w:val="22"/>
        </w:rPr>
        <w:t xml:space="preserve">tempo tych zmian jest niewystarczające. Ponadto zwiększa się liczba niektórych rodzajów zdarzeń, jak np. wypadków śmiertelnych </w:t>
      </w:r>
      <w:r w:rsidR="00083F2B">
        <w:rPr>
          <w:rFonts w:ascii="Arial" w:hAnsi="Arial" w:cs="Arial"/>
          <w:color w:val="000000" w:themeColor="text1"/>
          <w:sz w:val="22"/>
          <w:szCs w:val="22"/>
        </w:rPr>
        <w:br/>
      </w:r>
      <w:r w:rsidRPr="009B78DA">
        <w:rPr>
          <w:rFonts w:ascii="Arial" w:hAnsi="Arial" w:cs="Arial"/>
          <w:color w:val="000000" w:themeColor="text1"/>
          <w:sz w:val="22"/>
          <w:szCs w:val="22"/>
        </w:rPr>
        <w:t xml:space="preserve">z udziałem rowerzystów. Wynika to zarówno z braków infrastrukturalnych, jak </w:t>
      </w:r>
      <w:r w:rsidR="00BD5C30" w:rsidRPr="009B78DA">
        <w:rPr>
          <w:rFonts w:ascii="Arial" w:hAnsi="Arial" w:cs="Arial"/>
          <w:color w:val="000000" w:themeColor="text1"/>
          <w:sz w:val="22"/>
          <w:szCs w:val="22"/>
        </w:rPr>
        <w:t>i</w:t>
      </w:r>
      <w:r w:rsidRPr="009B78DA">
        <w:rPr>
          <w:rFonts w:ascii="Arial" w:hAnsi="Arial" w:cs="Arial"/>
          <w:color w:val="000000" w:themeColor="text1"/>
          <w:sz w:val="22"/>
          <w:szCs w:val="22"/>
        </w:rPr>
        <w:t xml:space="preserve"> z czynników organizacyjnych (zasad ruchu, z których część kształtowana jest przez samorząd regionalny </w:t>
      </w:r>
      <w:r w:rsidRPr="009B78DA">
        <w:rPr>
          <w:rFonts w:ascii="Arial" w:hAnsi="Arial" w:cs="Arial"/>
          <w:color w:val="000000" w:themeColor="text1"/>
          <w:sz w:val="22"/>
          <w:szCs w:val="22"/>
        </w:rPr>
        <w:br/>
        <w:t>i lokalny). Do</w:t>
      </w:r>
      <w:r w:rsidR="00BD5C30"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przyczyn infrastrukturalnych zaliczyć należy ruch tranzytowy, który w wielu miejscowościach przebiega przez obszary zurbanizowane (miasta, w tym ich śródmieścia oraz wsie o charakterze ulicowym). Nie bez znaczeni</w:t>
      </w:r>
      <w:r w:rsidR="00BD5C30"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jest także zły stan techniczny niektórych tras. Jednocześnie szczególnie dużo wypadków ma miejsce z jednej strony </w:t>
      </w:r>
      <w:r w:rsidR="00083F2B">
        <w:rPr>
          <w:rFonts w:ascii="Arial" w:hAnsi="Arial" w:cs="Arial"/>
          <w:color w:val="000000" w:themeColor="text1"/>
          <w:sz w:val="22"/>
          <w:szCs w:val="22"/>
        </w:rPr>
        <w:br/>
      </w:r>
      <w:r w:rsidRPr="009B78DA">
        <w:rPr>
          <w:rFonts w:ascii="Arial" w:hAnsi="Arial" w:cs="Arial"/>
          <w:color w:val="000000" w:themeColor="text1"/>
          <w:sz w:val="22"/>
          <w:szCs w:val="22"/>
        </w:rPr>
        <w:t xml:space="preserve">w </w:t>
      </w:r>
      <w:r w:rsidR="00977B12" w:rsidRPr="009B78DA">
        <w:rPr>
          <w:rFonts w:ascii="Arial" w:hAnsi="Arial" w:cs="Arial"/>
          <w:color w:val="000000" w:themeColor="text1"/>
          <w:sz w:val="22"/>
          <w:szCs w:val="22"/>
        </w:rPr>
        <w:t>ROF</w:t>
      </w:r>
      <w:r w:rsidRPr="009B78DA">
        <w:rPr>
          <w:rFonts w:ascii="Arial" w:hAnsi="Arial" w:cs="Arial"/>
          <w:color w:val="000000" w:themeColor="text1"/>
          <w:sz w:val="22"/>
          <w:szCs w:val="22"/>
        </w:rPr>
        <w:t xml:space="preserve"> i niektórych innych większych ośrodkach (oraz ich MOF), a z drugiej na niektórych obszarach peryferyjnych (np. Bieszczady). Ważnym czynnikiem jest brak chodników wzdłuż wielu tras drogowych (szczególnie na terenach wiejskich), brak rozwiązań inżynieryjnych spowalniających ruch w strefach zabudowanych, brak sygnalizacji świetlnej</w:t>
      </w:r>
      <w:r w:rsidR="00BD5C30" w:rsidRPr="009B78DA">
        <w:rPr>
          <w:rFonts w:ascii="Arial" w:hAnsi="Arial" w:cs="Arial"/>
          <w:color w:val="000000" w:themeColor="text1"/>
          <w:sz w:val="22"/>
          <w:szCs w:val="22"/>
        </w:rPr>
        <w:t xml:space="preserve"> czy</w:t>
      </w:r>
      <w:r w:rsidRPr="009B78DA">
        <w:rPr>
          <w:rFonts w:ascii="Arial" w:hAnsi="Arial" w:cs="Arial"/>
          <w:color w:val="000000" w:themeColor="text1"/>
          <w:sz w:val="22"/>
          <w:szCs w:val="22"/>
        </w:rPr>
        <w:t xml:space="preserve"> źle wyprofilowanie drogi. W obszarach funkcjonalnych do poprawy bezpieczeństwa mógłby się przyczynić system zarządzania ruchem.</w:t>
      </w:r>
    </w:p>
    <w:p w14:paraId="34B8B1C4" w14:textId="5D9E7291" w:rsidR="00ED21AB" w:rsidRPr="009B78DA" w:rsidRDefault="009E1FEB" w:rsidP="00083F2B">
      <w:pPr>
        <w:spacing w:after="0" w:line="276" w:lineRule="auto"/>
        <w:ind w:firstLine="709"/>
        <w:rPr>
          <w:rFonts w:ascii="Arial" w:hAnsi="Arial" w:cs="Arial"/>
          <w:color w:val="000000" w:themeColor="text1"/>
          <w:sz w:val="22"/>
          <w:szCs w:val="22"/>
        </w:rPr>
      </w:pPr>
      <w:bookmarkStart w:id="235" w:name="_Hlk92699088"/>
      <w:r w:rsidRPr="009B78DA">
        <w:rPr>
          <w:rFonts w:ascii="Arial" w:hAnsi="Arial" w:cs="Arial"/>
          <w:color w:val="000000" w:themeColor="text1"/>
          <w:sz w:val="22"/>
          <w:szCs w:val="22"/>
        </w:rPr>
        <w:t>Jak opisano powyżej p</w:t>
      </w:r>
      <w:r w:rsidR="00204047" w:rsidRPr="009B78DA">
        <w:rPr>
          <w:rFonts w:ascii="Arial" w:hAnsi="Arial" w:cs="Arial"/>
          <w:color w:val="000000" w:themeColor="text1"/>
          <w:sz w:val="22"/>
          <w:szCs w:val="22"/>
        </w:rPr>
        <w:t xml:space="preserve">roblemem </w:t>
      </w:r>
      <w:bookmarkEnd w:id="235"/>
      <w:r w:rsidR="00204047" w:rsidRPr="009B78DA">
        <w:rPr>
          <w:rFonts w:ascii="Arial" w:hAnsi="Arial" w:cs="Arial"/>
          <w:color w:val="000000" w:themeColor="text1"/>
          <w:sz w:val="22"/>
          <w:szCs w:val="22"/>
        </w:rPr>
        <w:t xml:space="preserve">jest szybki przyrost liczby poważnych wypadków </w:t>
      </w:r>
      <w:r w:rsidRPr="009B78DA">
        <w:rPr>
          <w:rFonts w:ascii="Arial" w:hAnsi="Arial" w:cs="Arial"/>
          <w:color w:val="000000" w:themeColor="text1"/>
          <w:sz w:val="22"/>
          <w:szCs w:val="22"/>
        </w:rPr>
        <w:br/>
      </w:r>
      <w:r w:rsidR="00204047" w:rsidRPr="009B78DA">
        <w:rPr>
          <w:rFonts w:ascii="Arial" w:hAnsi="Arial" w:cs="Arial"/>
          <w:color w:val="000000" w:themeColor="text1"/>
          <w:sz w:val="22"/>
          <w:szCs w:val="22"/>
        </w:rPr>
        <w:t>z udziałem rowerzystów. Trasy i ścieżki rowerowe na terenie województwa podkarpackiego nie tworzą spójnej sieci. Wiele z nich służy raczej turystyce niż wykorzystaniu w lokalnym transporcie. Brak</w:t>
      </w:r>
      <w:r w:rsidR="00BD5C30" w:rsidRPr="009B78DA">
        <w:rPr>
          <w:rFonts w:ascii="Arial" w:hAnsi="Arial" w:cs="Arial"/>
          <w:color w:val="000000" w:themeColor="text1"/>
          <w:sz w:val="22"/>
          <w:szCs w:val="22"/>
        </w:rPr>
        <w:t>uje</w:t>
      </w:r>
      <w:r w:rsidR="00204047" w:rsidRPr="009B78DA">
        <w:rPr>
          <w:rFonts w:ascii="Arial" w:hAnsi="Arial" w:cs="Arial"/>
          <w:color w:val="000000" w:themeColor="text1"/>
          <w:sz w:val="22"/>
          <w:szCs w:val="22"/>
        </w:rPr>
        <w:t xml:space="preserve"> tras wzdłuż dróg wojewódzkich poza miastami.</w:t>
      </w:r>
    </w:p>
    <w:p w14:paraId="5E82198A" w14:textId="5B4970D6" w:rsidR="00ED21AB" w:rsidRPr="00083F2B" w:rsidRDefault="00204047" w:rsidP="00083F2B">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Zagrożenia bezpieczeństwa ma</w:t>
      </w:r>
      <w:r w:rsidR="008259B3" w:rsidRPr="009B78DA">
        <w:rPr>
          <w:rFonts w:ascii="Arial" w:hAnsi="Arial" w:cs="Arial"/>
          <w:color w:val="000000" w:themeColor="text1"/>
          <w:sz w:val="22"/>
          <w:szCs w:val="22"/>
        </w:rPr>
        <w:t>ją</w:t>
      </w:r>
      <w:r w:rsidRPr="009B78DA">
        <w:rPr>
          <w:rFonts w:ascii="Arial" w:hAnsi="Arial" w:cs="Arial"/>
          <w:color w:val="000000" w:themeColor="text1"/>
          <w:sz w:val="22"/>
          <w:szCs w:val="22"/>
        </w:rPr>
        <w:t xml:space="preserve"> miejsce także na przecięciu sieci drogowej </w:t>
      </w:r>
      <w:r w:rsidR="00956C5F" w:rsidRPr="009B78DA">
        <w:rPr>
          <w:rFonts w:ascii="Arial" w:hAnsi="Arial" w:cs="Arial"/>
          <w:color w:val="000000" w:themeColor="text1"/>
          <w:sz w:val="22"/>
          <w:szCs w:val="22"/>
        </w:rPr>
        <w:br/>
      </w:r>
      <w:r w:rsidRPr="009B78DA">
        <w:rPr>
          <w:rFonts w:ascii="Arial" w:hAnsi="Arial" w:cs="Arial"/>
          <w:color w:val="000000" w:themeColor="text1"/>
          <w:sz w:val="22"/>
          <w:szCs w:val="22"/>
        </w:rPr>
        <w:t>i kolejowej. Wynika to z braku bezkolizyjnych skrzyżowań, choć bezpośrednimi sprawcami wypadków są tam zazwyczaj użytkownicy samochodów.</w:t>
      </w:r>
    </w:p>
    <w:p w14:paraId="0DDB768A" w14:textId="2C554869" w:rsidR="00ED21AB" w:rsidRPr="009B78DA" w:rsidRDefault="00A837BE" w:rsidP="00083F2B">
      <w:pPr>
        <w:pStyle w:val="Nagwek2"/>
        <w:numPr>
          <w:ilvl w:val="0"/>
          <w:numId w:val="262"/>
        </w:numPr>
        <w:spacing w:line="276" w:lineRule="auto"/>
        <w:rPr>
          <w:sz w:val="24"/>
        </w:rPr>
      </w:pPr>
      <w:bookmarkStart w:id="236" w:name="_Toc100335073"/>
      <w:bookmarkStart w:id="237" w:name="_Toc146785799"/>
      <w:r w:rsidRPr="009B78DA">
        <w:rPr>
          <w:sz w:val="24"/>
        </w:rPr>
        <w:t>Warianty planistyczne</w:t>
      </w:r>
      <w:bookmarkEnd w:id="236"/>
      <w:bookmarkEnd w:id="237"/>
    </w:p>
    <w:p w14:paraId="390EAD42" w14:textId="1D7B0917" w:rsidR="00ED21AB" w:rsidRPr="009B78DA" w:rsidRDefault="0014581E"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Rozwiązani</w:t>
      </w:r>
      <w:r w:rsidR="008259B3"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przedstawiony</w:t>
      </w:r>
      <w:r w:rsidR="00B2165B" w:rsidRPr="009B78DA">
        <w:rPr>
          <w:rFonts w:ascii="Arial" w:hAnsi="Arial" w:cs="Arial"/>
          <w:color w:val="000000" w:themeColor="text1"/>
          <w:sz w:val="22"/>
          <w:szCs w:val="22"/>
        </w:rPr>
        <w:t>ch</w:t>
      </w:r>
      <w:r w:rsidRPr="009B78DA">
        <w:rPr>
          <w:rFonts w:ascii="Arial" w:hAnsi="Arial" w:cs="Arial"/>
          <w:color w:val="000000" w:themeColor="text1"/>
          <w:sz w:val="22"/>
          <w:szCs w:val="22"/>
        </w:rPr>
        <w:t xml:space="preserve"> wyżej problemów bazowych moż</w:t>
      </w:r>
      <w:r w:rsidR="008259B3" w:rsidRPr="009B78DA">
        <w:rPr>
          <w:rFonts w:ascii="Arial" w:hAnsi="Arial" w:cs="Arial"/>
          <w:color w:val="000000" w:themeColor="text1"/>
          <w:sz w:val="22"/>
          <w:szCs w:val="22"/>
        </w:rPr>
        <w:t>na</w:t>
      </w:r>
      <w:r w:rsidRPr="009B78DA">
        <w:rPr>
          <w:rFonts w:ascii="Arial" w:hAnsi="Arial" w:cs="Arial"/>
          <w:color w:val="000000" w:themeColor="text1"/>
          <w:sz w:val="22"/>
          <w:szCs w:val="22"/>
        </w:rPr>
        <w:t xml:space="preserve"> dokonać za pomocą różnych wariantów planistycznych w zakresie polityki transportowej. Przyjęto, że wariant planistyczny jest to wariant planu transportowego mający znaczący potencjał rozwiązywa</w:t>
      </w:r>
      <w:r w:rsidR="00083F2B">
        <w:rPr>
          <w:rFonts w:ascii="Arial" w:hAnsi="Arial" w:cs="Arial"/>
          <w:color w:val="000000" w:themeColor="text1"/>
          <w:sz w:val="22"/>
          <w:szCs w:val="22"/>
        </w:rPr>
        <w:t>nia problemów realizacji celów.</w:t>
      </w:r>
    </w:p>
    <w:p w14:paraId="120E1EDD" w14:textId="05E0BCCD" w:rsidR="00083F2B" w:rsidRDefault="0014581E" w:rsidP="00083F2B">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Poniżej przedstawiono cztery możliwe warianty planistyczne mogące być podstawą polityki transportowej realizowanej w oparciu </w:t>
      </w:r>
      <w:r w:rsidR="006415B4" w:rsidRPr="009B78DA">
        <w:rPr>
          <w:rFonts w:ascii="Arial" w:hAnsi="Arial" w:cs="Arial"/>
          <w:color w:val="000000" w:themeColor="text1"/>
          <w:sz w:val="22"/>
          <w:szCs w:val="22"/>
        </w:rPr>
        <w:t xml:space="preserve">o </w:t>
      </w:r>
      <w:r w:rsidRPr="009B78DA">
        <w:rPr>
          <w:rFonts w:ascii="Arial" w:hAnsi="Arial" w:cs="Arial"/>
          <w:color w:val="000000" w:themeColor="text1"/>
          <w:sz w:val="22"/>
          <w:szCs w:val="22"/>
        </w:rPr>
        <w:t>Plan Regionalny. Przy każdym wypunktowano możliwe miary (wskaźniki ewaluacyjne) oraz ich główne atuty i wady. Dla wszystkich przygotowana została także infografika pokazująca inną docelową strukturę funkcjonalno-przestrzenną województwa</w:t>
      </w:r>
      <w:r w:rsidR="006415B4" w:rsidRPr="009B78DA">
        <w:rPr>
          <w:rFonts w:ascii="Arial" w:hAnsi="Arial" w:cs="Arial"/>
          <w:color w:val="000000" w:themeColor="text1"/>
          <w:sz w:val="22"/>
          <w:szCs w:val="22"/>
        </w:rPr>
        <w:t xml:space="preserve"> (w przypadku poniższych schematów granice województwa są jedynie tłem, a miasta i trasy nie odpowiadają rzeczywistym przebiegom </w:t>
      </w:r>
      <w:r w:rsidR="00083F2B">
        <w:rPr>
          <w:rFonts w:ascii="Arial" w:hAnsi="Arial" w:cs="Arial"/>
          <w:color w:val="000000" w:themeColor="text1"/>
          <w:sz w:val="22"/>
          <w:szCs w:val="22"/>
        </w:rPr>
        <w:br/>
      </w:r>
      <w:r w:rsidR="006415B4" w:rsidRPr="009B78DA">
        <w:rPr>
          <w:rFonts w:ascii="Arial" w:hAnsi="Arial" w:cs="Arial"/>
          <w:color w:val="000000" w:themeColor="text1"/>
          <w:sz w:val="22"/>
          <w:szCs w:val="22"/>
        </w:rPr>
        <w:t xml:space="preserve">i lokalizacjom). </w:t>
      </w:r>
      <w:r w:rsidRPr="009B78DA">
        <w:rPr>
          <w:rFonts w:ascii="Arial" w:hAnsi="Arial" w:cs="Arial"/>
          <w:color w:val="000000" w:themeColor="text1"/>
          <w:sz w:val="22"/>
          <w:szCs w:val="22"/>
        </w:rPr>
        <w:t xml:space="preserve">Następnie w postaci tabeli dokonano konfrontacji wariantów z czterema problemami bazowymi, zawierającą: a) ocenę opisową kontrybuowania do danego celu; </w:t>
      </w:r>
      <w:r w:rsidR="00083F2B">
        <w:rPr>
          <w:rFonts w:ascii="Arial" w:hAnsi="Arial" w:cs="Arial"/>
          <w:color w:val="000000" w:themeColor="text1"/>
          <w:sz w:val="22"/>
          <w:szCs w:val="22"/>
        </w:rPr>
        <w:br/>
      </w:r>
      <w:r w:rsidRPr="009B78DA">
        <w:rPr>
          <w:rFonts w:ascii="Arial" w:hAnsi="Arial" w:cs="Arial"/>
          <w:color w:val="000000" w:themeColor="text1"/>
          <w:sz w:val="22"/>
          <w:szCs w:val="22"/>
        </w:rPr>
        <w:t>b) bonitacyjną ocenę (1-5) stopnia kontrybucji, możliwą do sumarycznej oceny końcowej. Na tej podstawie dokonano wyboru jednego z wariantów jako podstawy do dalszego definiowania celów i działań w ramach PSRT WP.</w:t>
      </w:r>
    </w:p>
    <w:p w14:paraId="19B7BD20" w14:textId="77777777" w:rsidR="00083F2B" w:rsidRDefault="00083F2B">
      <w:pPr>
        <w:rPr>
          <w:rFonts w:ascii="Arial" w:hAnsi="Arial" w:cs="Arial"/>
          <w:color w:val="000000" w:themeColor="text1"/>
          <w:sz w:val="22"/>
          <w:szCs w:val="22"/>
        </w:rPr>
      </w:pPr>
      <w:r>
        <w:rPr>
          <w:rFonts w:ascii="Arial" w:hAnsi="Arial" w:cs="Arial"/>
          <w:color w:val="000000" w:themeColor="text1"/>
          <w:sz w:val="22"/>
          <w:szCs w:val="22"/>
        </w:rPr>
        <w:br w:type="page"/>
      </w:r>
    </w:p>
    <w:p w14:paraId="42C2C94B" w14:textId="38DF2505" w:rsidR="0014581E" w:rsidRPr="009B78DA" w:rsidRDefault="0014581E" w:rsidP="00083F2B">
      <w:pPr>
        <w:spacing w:after="0" w:line="276" w:lineRule="auto"/>
        <w:rPr>
          <w:rFonts w:ascii="Arial" w:hAnsi="Arial" w:cs="Arial"/>
          <w:color w:val="000000" w:themeColor="text1"/>
          <w:sz w:val="22"/>
          <w:szCs w:val="22"/>
        </w:rPr>
      </w:pPr>
      <w:r w:rsidRPr="009B78DA">
        <w:rPr>
          <w:rFonts w:ascii="Arial" w:hAnsi="Arial" w:cs="Arial"/>
          <w:b/>
          <w:color w:val="000000" w:themeColor="text1"/>
          <w:sz w:val="22"/>
          <w:szCs w:val="22"/>
        </w:rPr>
        <w:t>Wariant 1. Maksymalizacji pozycji konkurencyjnej</w:t>
      </w:r>
      <w:r w:rsidRPr="009B78DA">
        <w:rPr>
          <w:rFonts w:ascii="Arial" w:hAnsi="Arial" w:cs="Arial"/>
          <w:color w:val="000000" w:themeColor="text1"/>
          <w:sz w:val="22"/>
          <w:szCs w:val="22"/>
        </w:rPr>
        <w:t xml:space="preserve"> </w:t>
      </w:r>
      <w:r w:rsidRPr="009B78DA">
        <w:rPr>
          <w:rFonts w:ascii="Arial" w:hAnsi="Arial" w:cs="Arial"/>
          <w:b/>
          <w:bCs/>
          <w:color w:val="000000" w:themeColor="text1"/>
          <w:sz w:val="22"/>
          <w:szCs w:val="22"/>
        </w:rPr>
        <w:t>regionu</w:t>
      </w:r>
    </w:p>
    <w:p w14:paraId="383B9665" w14:textId="45704F12" w:rsidR="0014581E" w:rsidRPr="009B78DA" w:rsidRDefault="0014581E" w:rsidP="00083F2B">
      <w:pPr>
        <w:spacing w:after="12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Wariant opiera się na osiąganiu celów efektywnego rozwoju województwa i jego szybkiej konwergencji na poziomie kraju i Unii Europejskiej. Oznacza to koncentrację na tych inwestycjach i działaniach organizacyjnych w transporcie, które wspiera</w:t>
      </w:r>
      <w:r w:rsidR="001A62DC" w:rsidRPr="009B78DA">
        <w:rPr>
          <w:rFonts w:ascii="Arial" w:hAnsi="Arial" w:cs="Arial"/>
          <w:color w:val="000000" w:themeColor="text1"/>
          <w:sz w:val="22"/>
          <w:szCs w:val="22"/>
        </w:rPr>
        <w:t>ć będą</w:t>
      </w:r>
      <w:r w:rsidRPr="009B78DA">
        <w:rPr>
          <w:rFonts w:ascii="Arial" w:hAnsi="Arial" w:cs="Arial"/>
          <w:color w:val="000000" w:themeColor="text1"/>
          <w:sz w:val="22"/>
          <w:szCs w:val="22"/>
        </w:rPr>
        <w:t xml:space="preserve"> jego najsilniejsze gospodarczo ośrodki, zapewniając im atrakcyjność inwestycyjną, sprawne funkcjonowanie oraz dostęp do rynków pracy. Tym samym wariant jest nastawiony przede wszystkim na zaspokajanie już zdiagnozowanego popytu. Koncentruje się na usprawnieniu obsługi </w:t>
      </w:r>
      <w:r w:rsidR="00977B12" w:rsidRPr="009B78DA">
        <w:rPr>
          <w:rFonts w:ascii="Arial" w:hAnsi="Arial" w:cs="Arial"/>
          <w:color w:val="000000" w:themeColor="text1"/>
          <w:sz w:val="22"/>
          <w:szCs w:val="22"/>
        </w:rPr>
        <w:t>ROF</w:t>
      </w:r>
      <w:r w:rsidRPr="009B78DA">
        <w:rPr>
          <w:rFonts w:ascii="Arial" w:hAnsi="Arial" w:cs="Arial"/>
          <w:color w:val="000000" w:themeColor="text1"/>
          <w:sz w:val="22"/>
          <w:szCs w:val="22"/>
        </w:rPr>
        <w:t xml:space="preserve"> oraz ośrodków przemysłowych (MOF) w zachodniej części regionu (Mielec, Dębica, Stalowa Wola), a w drugiej kolejności na innych miastach prężnych ekonomicznie (możliwość dojazdu ciężk</w:t>
      </w:r>
      <w:r w:rsidR="008259B3" w:rsidRPr="009B78DA">
        <w:rPr>
          <w:rFonts w:ascii="Arial" w:hAnsi="Arial" w:cs="Arial"/>
          <w:color w:val="000000" w:themeColor="text1"/>
          <w:sz w:val="22"/>
          <w:szCs w:val="22"/>
        </w:rPr>
        <w:t>iego</w:t>
      </w:r>
      <w:r w:rsidRPr="009B78DA">
        <w:rPr>
          <w:rFonts w:ascii="Arial" w:hAnsi="Arial" w:cs="Arial"/>
          <w:color w:val="000000" w:themeColor="text1"/>
          <w:sz w:val="22"/>
          <w:szCs w:val="22"/>
        </w:rPr>
        <w:t xml:space="preserve"> transpor</w:t>
      </w:r>
      <w:r w:rsidR="008259B3" w:rsidRPr="009B78DA">
        <w:rPr>
          <w:rFonts w:ascii="Arial" w:hAnsi="Arial" w:cs="Arial"/>
          <w:color w:val="000000" w:themeColor="text1"/>
          <w:sz w:val="22"/>
          <w:szCs w:val="22"/>
        </w:rPr>
        <w:t>tu</w:t>
      </w:r>
      <w:r w:rsidRPr="009B78DA">
        <w:rPr>
          <w:rFonts w:ascii="Arial" w:hAnsi="Arial" w:cs="Arial"/>
          <w:color w:val="000000" w:themeColor="text1"/>
          <w:sz w:val="22"/>
          <w:szCs w:val="22"/>
        </w:rPr>
        <w:t xml:space="preserve"> drogow</w:t>
      </w:r>
      <w:r w:rsidR="008259B3" w:rsidRPr="009B78DA">
        <w:rPr>
          <w:rFonts w:ascii="Arial" w:hAnsi="Arial" w:cs="Arial"/>
          <w:color w:val="000000" w:themeColor="text1"/>
          <w:sz w:val="22"/>
          <w:szCs w:val="22"/>
        </w:rPr>
        <w:t>ego</w:t>
      </w:r>
      <w:r w:rsidRPr="009B78DA">
        <w:rPr>
          <w:rFonts w:ascii="Arial" w:hAnsi="Arial" w:cs="Arial"/>
          <w:color w:val="000000" w:themeColor="text1"/>
          <w:sz w:val="22"/>
          <w:szCs w:val="22"/>
        </w:rPr>
        <w:t xml:space="preserve">). Jednocześnie priorytetem pozostaje obsługa powiązań zewnętrznych krajowych i międzynarodowych (także nowe powiązania </w:t>
      </w:r>
      <w:r w:rsidR="00E47A11"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z Ukrainą). W tym kontekście istotne </w:t>
      </w:r>
      <w:r w:rsidR="001A62DC"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dowiązanie miast regionu do sieci TEN-T (węzły na autostradach i drogach ekspresowych). Na pozostałych obszarach województwa dominować </w:t>
      </w:r>
      <w:r w:rsidR="001A62DC" w:rsidRPr="009B78DA">
        <w:rPr>
          <w:rFonts w:ascii="Arial" w:hAnsi="Arial" w:cs="Arial"/>
          <w:color w:val="000000" w:themeColor="text1"/>
          <w:sz w:val="22"/>
          <w:szCs w:val="22"/>
        </w:rPr>
        <w:t>będą</w:t>
      </w:r>
      <w:r w:rsidRPr="009B78DA">
        <w:rPr>
          <w:rFonts w:ascii="Arial" w:hAnsi="Arial" w:cs="Arial"/>
          <w:color w:val="000000" w:themeColor="text1"/>
          <w:sz w:val="22"/>
          <w:szCs w:val="22"/>
        </w:rPr>
        <w:t xml:space="preserve"> prace modernizacyjne zarówno w zakresie infrastruktury drogowej, jak kolejowej. Zakłada się, że niektóre potrzeby transportowe będą tam maleć wraz ze zmianami demograficznymi. Ich bieżącym zaspokojeniem, w tym dostępem do usług publicznych, zaj</w:t>
      </w:r>
      <w:r w:rsidR="001A62DC" w:rsidRPr="009B78DA">
        <w:rPr>
          <w:rFonts w:ascii="Arial" w:hAnsi="Arial" w:cs="Arial"/>
          <w:color w:val="000000" w:themeColor="text1"/>
          <w:sz w:val="22"/>
          <w:szCs w:val="22"/>
        </w:rPr>
        <w:t>mą</w:t>
      </w:r>
      <w:r w:rsidRPr="009B78DA">
        <w:rPr>
          <w:rFonts w:ascii="Arial" w:hAnsi="Arial" w:cs="Arial"/>
          <w:color w:val="000000" w:themeColor="text1"/>
          <w:sz w:val="22"/>
          <w:szCs w:val="22"/>
        </w:rPr>
        <w:t xml:space="preserve"> się samorządy lokalne. System transportu publicznego rozwijany </w:t>
      </w:r>
      <w:r w:rsidR="001A62DC"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przede wszystkim w </w:t>
      </w:r>
      <w:r w:rsidR="00CB55E1" w:rsidRPr="009B78DA">
        <w:rPr>
          <w:rFonts w:ascii="Arial" w:hAnsi="Arial" w:cs="Arial"/>
          <w:color w:val="000000" w:themeColor="text1"/>
          <w:sz w:val="22"/>
          <w:szCs w:val="22"/>
        </w:rPr>
        <w:t>ROF</w:t>
      </w:r>
      <w:r w:rsidRPr="009B78DA">
        <w:rPr>
          <w:rFonts w:ascii="Arial" w:hAnsi="Arial" w:cs="Arial"/>
          <w:color w:val="000000" w:themeColor="text1"/>
          <w:sz w:val="22"/>
          <w:szCs w:val="22"/>
        </w:rPr>
        <w:t>, jako mając</w:t>
      </w:r>
      <w:r w:rsidR="001A62DC" w:rsidRPr="009B78DA">
        <w:rPr>
          <w:rFonts w:ascii="Arial" w:hAnsi="Arial" w:cs="Arial"/>
          <w:color w:val="000000" w:themeColor="text1"/>
          <w:sz w:val="22"/>
          <w:szCs w:val="22"/>
        </w:rPr>
        <w:t>ym</w:t>
      </w:r>
      <w:r w:rsidRPr="009B78DA">
        <w:rPr>
          <w:rFonts w:ascii="Arial" w:hAnsi="Arial" w:cs="Arial"/>
          <w:color w:val="000000" w:themeColor="text1"/>
          <w:sz w:val="22"/>
          <w:szCs w:val="22"/>
        </w:rPr>
        <w:t xml:space="preserve"> największe problemy z kongestią i emisj</w:t>
      </w:r>
      <w:r w:rsidR="001A62DC" w:rsidRPr="009B78DA">
        <w:rPr>
          <w:rFonts w:ascii="Arial" w:hAnsi="Arial" w:cs="Arial"/>
          <w:color w:val="000000" w:themeColor="text1"/>
          <w:sz w:val="22"/>
          <w:szCs w:val="22"/>
        </w:rPr>
        <w:t>ą</w:t>
      </w:r>
      <w:r w:rsidRPr="009B78DA">
        <w:rPr>
          <w:rFonts w:ascii="Arial" w:hAnsi="Arial" w:cs="Arial"/>
          <w:color w:val="000000" w:themeColor="text1"/>
          <w:sz w:val="22"/>
          <w:szCs w:val="22"/>
        </w:rPr>
        <w:t xml:space="preserve"> zanieczyszczeń. Ponadto wspierany </w:t>
      </w:r>
      <w:r w:rsidR="001A62DC"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transport publiczny w relacjach do innych metropolii krajowych (kolej) i zagranicznych (zintegrowane z miastem lotnisko w Rzeszowie-Jasionce). Największe inwestycje realizowane b</w:t>
      </w:r>
      <w:r w:rsidR="008259B3" w:rsidRPr="009B78DA">
        <w:rPr>
          <w:rFonts w:ascii="Arial" w:hAnsi="Arial" w:cs="Arial"/>
          <w:color w:val="000000" w:themeColor="text1"/>
          <w:sz w:val="22"/>
          <w:szCs w:val="22"/>
        </w:rPr>
        <w:t>ędą</w:t>
      </w:r>
      <w:r w:rsidRPr="009B78DA">
        <w:rPr>
          <w:rFonts w:ascii="Arial" w:hAnsi="Arial" w:cs="Arial"/>
          <w:color w:val="000000" w:themeColor="text1"/>
          <w:sz w:val="22"/>
          <w:szCs w:val="22"/>
        </w:rPr>
        <w:t xml:space="preserve"> nadal w transporcie drogowym. Będzie tworzona infrastruktura dla elektromobilności, a podstawą ograniczanie emisji i innych uciążliwości dla środowiska będą szybkie zmiany technologiczne w transporcie.</w:t>
      </w:r>
    </w:p>
    <w:p w14:paraId="610579DB" w14:textId="4D882B65" w:rsidR="0014581E" w:rsidRPr="009B78DA" w:rsidRDefault="0014581E" w:rsidP="00083F2B">
      <w:pPr>
        <w:spacing w:after="120" w:line="276" w:lineRule="auto"/>
        <w:rPr>
          <w:rFonts w:ascii="Arial" w:hAnsi="Arial" w:cs="Arial"/>
          <w:color w:val="000000" w:themeColor="text1"/>
          <w:sz w:val="22"/>
          <w:szCs w:val="22"/>
        </w:rPr>
      </w:pPr>
      <w:r w:rsidRPr="009B78DA">
        <w:rPr>
          <w:rFonts w:ascii="Arial" w:hAnsi="Arial" w:cs="Arial"/>
          <w:color w:val="000000" w:themeColor="text1"/>
          <w:sz w:val="22"/>
          <w:szCs w:val="22"/>
          <w:u w:val="single"/>
        </w:rPr>
        <w:t>Miarami realizacji</w:t>
      </w:r>
      <w:r w:rsidRPr="009B78DA">
        <w:rPr>
          <w:rFonts w:ascii="Arial" w:hAnsi="Arial" w:cs="Arial"/>
          <w:color w:val="000000" w:themeColor="text1"/>
          <w:sz w:val="22"/>
          <w:szCs w:val="22"/>
        </w:rPr>
        <w:t xml:space="preserve"> takiego wariantu (wskaźnikami ewaluacyjnymi) są m.</w:t>
      </w:r>
      <w:r w:rsidR="00A31BE8" w:rsidRPr="009B78DA">
        <w:rPr>
          <w:rFonts w:ascii="Arial" w:hAnsi="Arial" w:cs="Arial"/>
          <w:color w:val="000000" w:themeColor="text1"/>
          <w:sz w:val="22"/>
          <w:szCs w:val="22"/>
        </w:rPr>
        <w:t>i</w:t>
      </w:r>
      <w:r w:rsidRPr="009B78DA">
        <w:rPr>
          <w:rFonts w:ascii="Arial" w:hAnsi="Arial" w:cs="Arial"/>
          <w:color w:val="000000" w:themeColor="text1"/>
          <w:sz w:val="22"/>
          <w:szCs w:val="22"/>
        </w:rPr>
        <w:t>n.: długość dróg, które bezpośrednio łączą się/ będą się łączyć z siecią TEN-T/ drogami wyższego rzędu, długość dróg wojewódzkich o określonej nośności, długość linii kolejowych o określonej prędkości technicznej, liczba węzłów multimodalnych, czas dojazdu w transporcie drogowym i kolejowym do Warszawy i innych dużych ośrodków krajowych, zaś wewnątrz regionu czas dojazdu do Rzeszowa z miast powiatowych, integracja rozkładowa i biletowa transportu publicznego w metropolii rzeszowskiej; ponadto liczba stacji ładowania dla pojazdów elektrycznych.</w:t>
      </w:r>
    </w:p>
    <w:p w14:paraId="6F56BB55" w14:textId="3B1A3D11" w:rsidR="0007194B" w:rsidRPr="009B78DA" w:rsidRDefault="0007194B" w:rsidP="00083F2B">
      <w:pPr>
        <w:pStyle w:val="Legenda"/>
        <w:keepNext/>
        <w:spacing w:after="120"/>
        <w:rPr>
          <w:rFonts w:ascii="Arial" w:hAnsi="Arial" w:cs="Arial"/>
          <w:i w:val="0"/>
          <w:color w:val="000000" w:themeColor="text1"/>
          <w:sz w:val="22"/>
          <w:szCs w:val="22"/>
        </w:rPr>
      </w:pPr>
      <w:bookmarkStart w:id="238" w:name="_Toc146785747"/>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17</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lang w:eastAsia="en-US"/>
        </w:rPr>
        <w:t>Główne zalety i wady dla wariantu 1.</w:t>
      </w:r>
      <w:bookmarkEnd w:id="238"/>
    </w:p>
    <w:tbl>
      <w:tblPr>
        <w:tblStyle w:val="Tabela-Siatka"/>
        <w:tblW w:w="0" w:type="auto"/>
        <w:tblLook w:val="04A0" w:firstRow="1" w:lastRow="0" w:firstColumn="1" w:lastColumn="0" w:noHBand="0" w:noVBand="1"/>
        <w:tblCaption w:val="Tabela 17 Główne zalety i wady dla wariantu 1."/>
        <w:tblDescription w:val="Tabela zawiera Główne zalety wariantu i Główne wady wariantu"/>
      </w:tblPr>
      <w:tblGrid>
        <w:gridCol w:w="4528"/>
        <w:gridCol w:w="4534"/>
      </w:tblGrid>
      <w:tr w:rsidR="006F4FD2" w:rsidRPr="009B78DA" w14:paraId="23727D69" w14:textId="77777777" w:rsidTr="0099520C">
        <w:trPr>
          <w:tblHeader/>
        </w:trPr>
        <w:tc>
          <w:tcPr>
            <w:tcW w:w="4528" w:type="dxa"/>
            <w:shd w:val="clear" w:color="auto" w:fill="DEEAF6" w:themeFill="accent1" w:themeFillTint="33"/>
          </w:tcPr>
          <w:p w14:paraId="419670A4" w14:textId="77777777" w:rsidR="0014581E" w:rsidRPr="009B78DA" w:rsidRDefault="0014581E" w:rsidP="00736A44">
            <w:pPr>
              <w:spacing w:line="288" w:lineRule="auto"/>
              <w:jc w:val="both"/>
              <w:rPr>
                <w:rFonts w:ascii="Arial" w:hAnsi="Arial" w:cs="Arial"/>
                <w:color w:val="000000" w:themeColor="text1"/>
                <w:sz w:val="22"/>
                <w:szCs w:val="22"/>
              </w:rPr>
            </w:pPr>
            <w:r w:rsidRPr="009B78DA">
              <w:rPr>
                <w:rFonts w:ascii="Arial" w:hAnsi="Arial" w:cs="Arial"/>
                <w:color w:val="000000" w:themeColor="text1"/>
                <w:sz w:val="22"/>
                <w:szCs w:val="22"/>
              </w:rPr>
              <w:t>Główne zalety wariantu</w:t>
            </w:r>
          </w:p>
        </w:tc>
        <w:tc>
          <w:tcPr>
            <w:tcW w:w="4534" w:type="dxa"/>
            <w:shd w:val="clear" w:color="auto" w:fill="DEEAF6" w:themeFill="accent1" w:themeFillTint="33"/>
          </w:tcPr>
          <w:p w14:paraId="436C0E6E" w14:textId="77777777" w:rsidR="0014581E" w:rsidRPr="009B78DA" w:rsidRDefault="0014581E" w:rsidP="00736A44">
            <w:pPr>
              <w:spacing w:line="288" w:lineRule="auto"/>
              <w:jc w:val="both"/>
              <w:rPr>
                <w:rFonts w:ascii="Arial" w:hAnsi="Arial" w:cs="Arial"/>
                <w:color w:val="000000" w:themeColor="text1"/>
                <w:sz w:val="22"/>
                <w:szCs w:val="22"/>
              </w:rPr>
            </w:pPr>
            <w:r w:rsidRPr="009B78DA">
              <w:rPr>
                <w:rFonts w:ascii="Arial" w:hAnsi="Arial" w:cs="Arial"/>
                <w:color w:val="000000" w:themeColor="text1"/>
                <w:sz w:val="22"/>
                <w:szCs w:val="22"/>
              </w:rPr>
              <w:t>Główne wady wariantu</w:t>
            </w:r>
          </w:p>
        </w:tc>
      </w:tr>
      <w:tr w:rsidR="006F4FD2" w:rsidRPr="009B78DA" w14:paraId="7855435D" w14:textId="77777777" w:rsidTr="00CA2BD5">
        <w:tc>
          <w:tcPr>
            <w:tcW w:w="4528" w:type="dxa"/>
          </w:tcPr>
          <w:p w14:paraId="7A41EAC0" w14:textId="77777777" w:rsidR="0014581E" w:rsidRPr="009B78DA" w:rsidRDefault="0014581E" w:rsidP="00E1143F">
            <w:pPr>
              <w:pStyle w:val="Akapitzlist"/>
              <w:numPr>
                <w:ilvl w:val="0"/>
                <w:numId w:val="253"/>
              </w:numPr>
              <w:spacing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Szybki oczekiwany efekt ekonomiczny dla regionu</w:t>
            </w:r>
          </w:p>
          <w:p w14:paraId="4DD7BE23" w14:textId="77777777" w:rsidR="0014581E" w:rsidRPr="009B78DA" w:rsidRDefault="0014581E" w:rsidP="00E1143F">
            <w:pPr>
              <w:pStyle w:val="Akapitzlist"/>
              <w:numPr>
                <w:ilvl w:val="0"/>
                <w:numId w:val="253"/>
              </w:numPr>
              <w:spacing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Koncentracja inwestycji w miejscach o największych problemach transportowych (metropolia rzeszowska)</w:t>
            </w:r>
          </w:p>
          <w:p w14:paraId="68A61E41" w14:textId="77777777" w:rsidR="0014581E" w:rsidRPr="009B78DA" w:rsidRDefault="0014581E" w:rsidP="00E1143F">
            <w:pPr>
              <w:pStyle w:val="Akapitzlist"/>
              <w:numPr>
                <w:ilvl w:val="0"/>
                <w:numId w:val="253"/>
              </w:numPr>
              <w:spacing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Włączenie Rzeszowa w układ polskiej metropolii sieciowej</w:t>
            </w:r>
          </w:p>
        </w:tc>
        <w:tc>
          <w:tcPr>
            <w:tcW w:w="4534" w:type="dxa"/>
          </w:tcPr>
          <w:p w14:paraId="47E37FC6" w14:textId="4C663E95" w:rsidR="0014581E" w:rsidRPr="009B78DA" w:rsidRDefault="0014581E" w:rsidP="00E1143F">
            <w:pPr>
              <w:pStyle w:val="Akapitzlist"/>
              <w:numPr>
                <w:ilvl w:val="0"/>
                <w:numId w:val="253"/>
              </w:numPr>
              <w:spacing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Brak większych inwestycji na terenach peryferyjnych, polaryzacja przestrzenna wewnątrz regionu </w:t>
            </w:r>
            <w:r w:rsidR="00DC69EA">
              <w:rPr>
                <w:rFonts w:ascii="Arial" w:hAnsi="Arial" w:cs="Arial"/>
                <w:color w:val="000000" w:themeColor="text1"/>
                <w:sz w:val="22"/>
                <w:szCs w:val="22"/>
              </w:rPr>
              <w:br/>
            </w:r>
            <w:r w:rsidRPr="009B78DA">
              <w:rPr>
                <w:rFonts w:ascii="Arial" w:hAnsi="Arial" w:cs="Arial"/>
                <w:color w:val="000000" w:themeColor="text1"/>
                <w:sz w:val="22"/>
                <w:szCs w:val="22"/>
              </w:rPr>
              <w:t xml:space="preserve">i pomiędzy </w:t>
            </w:r>
            <w:bookmarkStart w:id="239" w:name="_Hlk92560577"/>
            <w:r w:rsidR="004E2F79" w:rsidRPr="009B78DA">
              <w:rPr>
                <w:rFonts w:ascii="Arial" w:hAnsi="Arial" w:cs="Arial"/>
                <w:color w:val="000000" w:themeColor="text1"/>
                <w:sz w:val="22"/>
                <w:szCs w:val="22"/>
              </w:rPr>
              <w:t>ROF/</w:t>
            </w:r>
            <w:r w:rsidRPr="009B78DA">
              <w:rPr>
                <w:rFonts w:ascii="Arial" w:hAnsi="Arial" w:cs="Arial"/>
                <w:color w:val="000000" w:themeColor="text1"/>
                <w:sz w:val="22"/>
                <w:szCs w:val="22"/>
              </w:rPr>
              <w:t>MOF</w:t>
            </w:r>
            <w:bookmarkEnd w:id="239"/>
          </w:p>
          <w:p w14:paraId="7DA9B8CD" w14:textId="77777777" w:rsidR="0014581E" w:rsidRPr="009B78DA" w:rsidRDefault="0014581E" w:rsidP="00E1143F">
            <w:pPr>
              <w:pStyle w:val="Akapitzlist"/>
              <w:numPr>
                <w:ilvl w:val="0"/>
                <w:numId w:val="253"/>
              </w:numPr>
              <w:spacing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Odłożenie w czasie efektu ograniczenia emisji CO2</w:t>
            </w:r>
          </w:p>
          <w:p w14:paraId="7323838F" w14:textId="6ABC76DE" w:rsidR="0014581E" w:rsidRPr="009B78DA" w:rsidRDefault="0014581E" w:rsidP="00E1143F">
            <w:pPr>
              <w:pStyle w:val="Akapitzlist"/>
              <w:numPr>
                <w:ilvl w:val="0"/>
                <w:numId w:val="253"/>
              </w:numPr>
              <w:spacing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Zagrożenie konty</w:t>
            </w:r>
            <w:r w:rsidR="00DC69EA">
              <w:rPr>
                <w:rFonts w:ascii="Arial" w:hAnsi="Arial" w:cs="Arial"/>
                <w:color w:val="000000" w:themeColor="text1"/>
                <w:sz w:val="22"/>
                <w:szCs w:val="22"/>
              </w:rPr>
              <w:t>nuacją procesów depopulacyjnych</w:t>
            </w:r>
          </w:p>
          <w:p w14:paraId="347B0527" w14:textId="77777777" w:rsidR="0014581E" w:rsidRPr="009B78DA" w:rsidRDefault="0014581E" w:rsidP="00E1143F">
            <w:pPr>
              <w:pStyle w:val="Akapitzlist"/>
              <w:numPr>
                <w:ilvl w:val="0"/>
                <w:numId w:val="253"/>
              </w:numPr>
              <w:spacing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Uzależnienie od inwestycji centralnych</w:t>
            </w:r>
          </w:p>
          <w:p w14:paraId="6E817AEA" w14:textId="77777777" w:rsidR="0014581E" w:rsidRPr="009B78DA" w:rsidRDefault="0014581E" w:rsidP="00E1143F">
            <w:pPr>
              <w:pStyle w:val="Akapitzlist"/>
              <w:numPr>
                <w:ilvl w:val="0"/>
                <w:numId w:val="253"/>
              </w:numPr>
              <w:spacing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Zagrożenie wykluczeniem transportowym</w:t>
            </w:r>
          </w:p>
        </w:tc>
      </w:tr>
    </w:tbl>
    <w:p w14:paraId="54088469" w14:textId="7BF5A7BE" w:rsidR="006415B4" w:rsidRPr="009B78DA" w:rsidRDefault="00CA2BD5" w:rsidP="00083F2B">
      <w:pPr>
        <w:spacing w:before="40" w:after="0" w:line="288" w:lineRule="auto"/>
        <w:jc w:val="both"/>
        <w:rPr>
          <w:rFonts w:ascii="Arial" w:hAnsi="Arial" w:cs="Arial"/>
          <w:color w:val="000000" w:themeColor="text1"/>
          <w:sz w:val="22"/>
          <w:szCs w:val="22"/>
        </w:rPr>
      </w:pPr>
      <w:r w:rsidRPr="009B78DA">
        <w:rPr>
          <w:rFonts w:ascii="Arial" w:hAnsi="Arial" w:cs="Arial"/>
          <w:color w:val="000000" w:themeColor="text1"/>
          <w:sz w:val="22"/>
          <w:szCs w:val="22"/>
        </w:rPr>
        <w:t>Źródło: Opracowanie własne.</w:t>
      </w:r>
    </w:p>
    <w:p w14:paraId="2DA118F5" w14:textId="1C929C8F" w:rsidR="0007194B" w:rsidRPr="00083F2B" w:rsidRDefault="0007194B" w:rsidP="00083F2B">
      <w:pPr>
        <w:pStyle w:val="Legenda"/>
        <w:keepNext/>
        <w:jc w:val="both"/>
        <w:rPr>
          <w:rFonts w:ascii="Arial" w:hAnsi="Arial" w:cs="Arial"/>
          <w:i w:val="0"/>
          <w:color w:val="000000" w:themeColor="text1"/>
          <w:sz w:val="22"/>
          <w:szCs w:val="22"/>
        </w:rPr>
      </w:pPr>
      <w:bookmarkStart w:id="240" w:name="_Toc146785685"/>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Schemat dla wariantu 1. Maksymalizacji pozycji konkurencyjnej regionu</w:t>
      </w:r>
      <w:bookmarkEnd w:id="240"/>
    </w:p>
    <w:p w14:paraId="4BFD05DB" w14:textId="72585345" w:rsidR="006415B4" w:rsidRPr="009B78DA" w:rsidRDefault="006415B4" w:rsidP="003F293E">
      <w:pPr>
        <w:spacing w:after="0" w:line="288"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17F6791" wp14:editId="1732F8F9">
            <wp:extent cx="3038475" cy="3932512"/>
            <wp:effectExtent l="0" t="0" r="0" b="0"/>
            <wp:docPr id="73" name="Obraz 73" descr="Województwo podkarpackie w tym: środek główny zaznaczony w centralnej części, ośrodki subregionalne (bieguny wzrostu) oraz inne ośrodki. Ponadto pokazane są komunikacyjne powiązania główne w kierunkach Wschód, Zachód, Północ Południe i Północny –Zachód oraz komunikacyjne powiązania II rzędu w kierunkach od środka Północny - Zachód, Północny - Wschód, Południowy - Wschód, Południowy - Zachód. Pokazane są również komunikacyjne powiazania III rzędu" title="Rysunek 56 Schemat dla wariantu 1. Maksymalizacji pozycji konkurencyjnej regio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Obraz 73"/>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061349" cy="3962116"/>
                    </a:xfrm>
                    <a:prstGeom prst="rect">
                      <a:avLst/>
                    </a:prstGeom>
                  </pic:spPr>
                </pic:pic>
              </a:graphicData>
            </a:graphic>
          </wp:inline>
        </w:drawing>
      </w:r>
    </w:p>
    <w:p w14:paraId="5B88448E" w14:textId="3B760BFF" w:rsidR="0014581E" w:rsidRPr="009B78DA" w:rsidRDefault="006415B4" w:rsidP="00DC69EA">
      <w:pPr>
        <w:spacing w:after="120" w:line="288" w:lineRule="auto"/>
        <w:jc w:val="center"/>
        <w:rPr>
          <w:rFonts w:ascii="Arial" w:hAnsi="Arial" w:cs="Arial"/>
          <w:color w:val="000000" w:themeColor="text1"/>
          <w:sz w:val="22"/>
          <w:szCs w:val="22"/>
        </w:rPr>
      </w:pPr>
      <w:r w:rsidRPr="009B78DA">
        <w:rPr>
          <w:rFonts w:ascii="Arial" w:hAnsi="Arial" w:cs="Arial"/>
          <w:color w:val="000000" w:themeColor="text1"/>
          <w:sz w:val="22"/>
          <w:szCs w:val="22"/>
        </w:rPr>
        <w:t>Źródło: Opracowanie własne.</w:t>
      </w:r>
    </w:p>
    <w:p w14:paraId="3E916621" w14:textId="2BF61395" w:rsidR="0014581E" w:rsidRPr="009B78DA" w:rsidRDefault="0014581E" w:rsidP="00DC69EA">
      <w:pPr>
        <w:spacing w:after="0" w:line="288" w:lineRule="auto"/>
        <w:rPr>
          <w:rFonts w:ascii="Arial" w:hAnsi="Arial" w:cs="Arial"/>
          <w:color w:val="000000" w:themeColor="text1"/>
          <w:sz w:val="22"/>
          <w:szCs w:val="22"/>
        </w:rPr>
      </w:pPr>
      <w:r w:rsidRPr="009B78DA">
        <w:rPr>
          <w:rFonts w:ascii="Arial" w:hAnsi="Arial" w:cs="Arial"/>
          <w:b/>
          <w:color w:val="000000" w:themeColor="text1"/>
          <w:sz w:val="22"/>
          <w:szCs w:val="22"/>
        </w:rPr>
        <w:t>Wariant 2. Równoważenia rozwoju na poziomie lokalnym</w:t>
      </w:r>
    </w:p>
    <w:p w14:paraId="5CC9C761" w14:textId="0B59717D" w:rsidR="00ED21AB" w:rsidRPr="009B78DA" w:rsidRDefault="0014581E" w:rsidP="00DC69EA">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Wariant opiera się na założeniu, że podniesieni</w:t>
      </w:r>
      <w:r w:rsidR="001A258C"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standard</w:t>
      </w:r>
      <w:r w:rsidR="001A258C" w:rsidRPr="009B78DA">
        <w:rPr>
          <w:rFonts w:ascii="Arial" w:hAnsi="Arial" w:cs="Arial"/>
          <w:color w:val="000000" w:themeColor="text1"/>
          <w:sz w:val="22"/>
          <w:szCs w:val="22"/>
        </w:rPr>
        <w:t>u</w:t>
      </w:r>
      <w:r w:rsidRPr="009B78DA">
        <w:rPr>
          <w:rFonts w:ascii="Arial" w:hAnsi="Arial" w:cs="Arial"/>
          <w:color w:val="000000" w:themeColor="text1"/>
          <w:sz w:val="22"/>
          <w:szCs w:val="22"/>
        </w:rPr>
        <w:t xml:space="preserve"> obsługi transportowej, przy jednoczesnym wspieraniu rozwoju gospodarczego może się przyczynić do zatrzymania niekorzystnych tendencji demograficznych, w tym odpływu migracyjnego. Dlatego </w:t>
      </w:r>
      <w:r w:rsidR="001A258C" w:rsidRPr="009B78DA">
        <w:rPr>
          <w:rFonts w:ascii="Arial" w:hAnsi="Arial" w:cs="Arial"/>
          <w:color w:val="000000" w:themeColor="text1"/>
          <w:sz w:val="22"/>
          <w:szCs w:val="22"/>
        </w:rPr>
        <w:t>będzie miała</w:t>
      </w:r>
      <w:r w:rsidRPr="009B78DA">
        <w:rPr>
          <w:rFonts w:ascii="Arial" w:hAnsi="Arial" w:cs="Arial"/>
          <w:color w:val="000000" w:themeColor="text1"/>
          <w:sz w:val="22"/>
          <w:szCs w:val="22"/>
        </w:rPr>
        <w:t xml:space="preserve"> miejsce koncentracja na działaniach inwestycyjnych i organizacyjnych rozłożonych równomiernie na całym obszarze województwa. Wspierane b</w:t>
      </w:r>
      <w:r w:rsidR="001A258C" w:rsidRPr="009B78DA">
        <w:rPr>
          <w:rFonts w:ascii="Arial" w:hAnsi="Arial" w:cs="Arial"/>
          <w:color w:val="000000" w:themeColor="text1"/>
          <w:sz w:val="22"/>
          <w:szCs w:val="22"/>
        </w:rPr>
        <w:t>ędą</w:t>
      </w:r>
      <w:r w:rsidRPr="009B78DA">
        <w:rPr>
          <w:rFonts w:ascii="Arial" w:hAnsi="Arial" w:cs="Arial"/>
          <w:color w:val="000000" w:themeColor="text1"/>
          <w:sz w:val="22"/>
          <w:szCs w:val="22"/>
        </w:rPr>
        <w:t xml:space="preserve"> liczne, rozproszone terytorialnie mniejsze inwestycje. Duże znaczenie </w:t>
      </w:r>
      <w:r w:rsidR="001A62DC" w:rsidRPr="009B78DA">
        <w:rPr>
          <w:rFonts w:ascii="Arial" w:hAnsi="Arial" w:cs="Arial"/>
          <w:color w:val="000000" w:themeColor="text1"/>
          <w:sz w:val="22"/>
          <w:szCs w:val="22"/>
        </w:rPr>
        <w:t>będzie mieć</w:t>
      </w:r>
      <w:r w:rsidRPr="009B78DA">
        <w:rPr>
          <w:rFonts w:ascii="Arial" w:hAnsi="Arial" w:cs="Arial"/>
          <w:color w:val="000000" w:themeColor="text1"/>
          <w:sz w:val="22"/>
          <w:szCs w:val="22"/>
        </w:rPr>
        <w:t xml:space="preserve"> lepsza organizacja transportu, zwłaszcza publicznego, w oparciu o poziom powiatowy. Wszystkie miasta powiatowe </w:t>
      </w:r>
      <w:r w:rsidR="001A258C" w:rsidRPr="009B78DA">
        <w:rPr>
          <w:rFonts w:ascii="Arial" w:hAnsi="Arial" w:cs="Arial"/>
          <w:color w:val="000000" w:themeColor="text1"/>
          <w:sz w:val="22"/>
          <w:szCs w:val="22"/>
        </w:rPr>
        <w:t>będą</w:t>
      </w:r>
      <w:r w:rsidRPr="009B78DA">
        <w:rPr>
          <w:rFonts w:ascii="Arial" w:hAnsi="Arial" w:cs="Arial"/>
          <w:color w:val="000000" w:themeColor="text1"/>
          <w:sz w:val="22"/>
          <w:szCs w:val="22"/>
        </w:rPr>
        <w:t xml:space="preserve"> ze sobą powiązane dobrej jakości drogami oraz systemem transportu publicznego. Na niektórych odcinkach peryferyjnych powsta</w:t>
      </w:r>
      <w:r w:rsidR="001A258C" w:rsidRPr="009B78DA">
        <w:rPr>
          <w:rFonts w:ascii="Arial" w:hAnsi="Arial" w:cs="Arial"/>
          <w:color w:val="000000" w:themeColor="text1"/>
          <w:sz w:val="22"/>
          <w:szCs w:val="22"/>
        </w:rPr>
        <w:t>ną</w:t>
      </w:r>
      <w:r w:rsidRPr="009B78DA">
        <w:rPr>
          <w:rFonts w:ascii="Arial" w:hAnsi="Arial" w:cs="Arial"/>
          <w:color w:val="000000" w:themeColor="text1"/>
          <w:sz w:val="22"/>
          <w:szCs w:val="22"/>
        </w:rPr>
        <w:t xml:space="preserve"> nowe linie kolejowe. Transport publiczny rozwijany </w:t>
      </w:r>
      <w:r w:rsidR="001A258C"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także w strefach sezonowego ruchu turystycznego oraz w obszarach funkcjonalnych wszystkich miast powiatowych. Priorytetem </w:t>
      </w:r>
      <w:r w:rsidR="001A258C"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przeciwdziałanie wykluczeniu transportowemu oraz możliwie najlepszy dostęp do usług pożytku publicznego</w:t>
      </w:r>
      <w:r w:rsidR="001A62DC"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zwłaszcza na poziomie lokalnym. Zakłada się istnienie lokalnych rynków pracy, w czym pomocne jest rozwijanie sieci dróg lokalnych spełniających wymogi nośności (ułatwienia do podejmowania działalności gospodarczej w strefach peryferyjnych). Na obszarach zagrożonych wykluczeniem transportowym zapewniony </w:t>
      </w:r>
      <w:r w:rsidR="001A62DC"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transport autobusowy, niezależnie od </w:t>
      </w:r>
      <w:r w:rsidR="00DC69EA">
        <w:rPr>
          <w:rFonts w:ascii="Arial" w:hAnsi="Arial" w:cs="Arial"/>
          <w:color w:val="000000" w:themeColor="text1"/>
          <w:sz w:val="22"/>
          <w:szCs w:val="22"/>
        </w:rPr>
        <w:t>liczby potencjalnych pasażerów.</w:t>
      </w:r>
    </w:p>
    <w:p w14:paraId="7BB98119" w14:textId="01637093" w:rsidR="0014581E" w:rsidRPr="009B78DA" w:rsidRDefault="0014581E" w:rsidP="00DC69EA">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Istotnym elementem działań transportowych </w:t>
      </w:r>
      <w:r w:rsidR="001A258C"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także poprawa bezpieczeństwa ruchu drogowego na wszystkich trasach, realizowana przez spowalnianie ruchu, budowę infrastruktury dla pieszych i rowerzystów, a także budowę bezkolizyjnych przejazdów kolejowych.</w:t>
      </w:r>
    </w:p>
    <w:p w14:paraId="5C8210F8" w14:textId="63FDBBE1" w:rsidR="00CA2BD5" w:rsidRPr="00DC69EA" w:rsidRDefault="0014581E" w:rsidP="00DC69EA">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u w:val="single"/>
        </w:rPr>
        <w:t>Miarami realizacji</w:t>
      </w:r>
      <w:r w:rsidRPr="009B78DA">
        <w:rPr>
          <w:rFonts w:ascii="Arial" w:hAnsi="Arial" w:cs="Arial"/>
          <w:color w:val="000000" w:themeColor="text1"/>
          <w:sz w:val="22"/>
          <w:szCs w:val="22"/>
        </w:rPr>
        <w:t xml:space="preserve"> takiego wariantu (wskaźnikami ewaluacyjnymi) są m.in.: czasy dojazdu transportem publicznym do najbliższego miasta powiatowego, liczba pasażerów przewiezionych w transporcie publicznym, długość wybudowanych i/lub zmodernizowanych dróg wojewódzkich i lokalnych, w tym długość obwodnic, długość ścieżek rowerowych wzdłuż dróg zamiejskich (w tym wojewódzkich), liczba rozwiązań spowalniających ruch drogowy, </w:t>
      </w:r>
      <w:r w:rsidR="00DC69EA">
        <w:rPr>
          <w:rFonts w:ascii="Arial" w:hAnsi="Arial" w:cs="Arial"/>
          <w:color w:val="000000" w:themeColor="text1"/>
          <w:sz w:val="22"/>
          <w:szCs w:val="22"/>
        </w:rPr>
        <w:t>długość wybudowanych chodników.</w:t>
      </w:r>
    </w:p>
    <w:p w14:paraId="672BD09F" w14:textId="27A90A1E" w:rsidR="0007194B" w:rsidRPr="009B78DA" w:rsidRDefault="0007194B" w:rsidP="00DC69EA">
      <w:pPr>
        <w:pStyle w:val="Legenda"/>
        <w:keepNext/>
        <w:spacing w:after="120"/>
        <w:rPr>
          <w:rFonts w:ascii="Arial" w:hAnsi="Arial" w:cs="Arial"/>
          <w:i w:val="0"/>
          <w:color w:val="000000" w:themeColor="text1"/>
          <w:sz w:val="22"/>
          <w:szCs w:val="22"/>
        </w:rPr>
      </w:pPr>
      <w:bookmarkStart w:id="241" w:name="_Toc146785748"/>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lang w:eastAsia="en-US"/>
        </w:rPr>
        <w:t>Główne zalety i wady dla wariantu 2.</w:t>
      </w:r>
      <w:bookmarkEnd w:id="241"/>
    </w:p>
    <w:tbl>
      <w:tblPr>
        <w:tblStyle w:val="Tabela-Siatka"/>
        <w:tblW w:w="0" w:type="auto"/>
        <w:tblLook w:val="04A0" w:firstRow="1" w:lastRow="0" w:firstColumn="1" w:lastColumn="0" w:noHBand="0" w:noVBand="1"/>
        <w:tblCaption w:val="Tabela 18 Główne zalety i wady dla wariantu 2."/>
        <w:tblDescription w:val="Tabela zawiera Główne zalety wariantu i Główne wady wariantu"/>
      </w:tblPr>
      <w:tblGrid>
        <w:gridCol w:w="4533"/>
        <w:gridCol w:w="4529"/>
      </w:tblGrid>
      <w:tr w:rsidR="006F4FD2" w:rsidRPr="009B78DA" w14:paraId="3CC8C3E7" w14:textId="77777777" w:rsidTr="0099520C">
        <w:trPr>
          <w:tblHeader/>
        </w:trPr>
        <w:tc>
          <w:tcPr>
            <w:tcW w:w="4533" w:type="dxa"/>
            <w:shd w:val="clear" w:color="auto" w:fill="DEEAF6" w:themeFill="accent1" w:themeFillTint="33"/>
          </w:tcPr>
          <w:p w14:paraId="1EDDC463" w14:textId="77777777" w:rsidR="0014581E" w:rsidRPr="009B78DA" w:rsidRDefault="0014581E" w:rsidP="00DC69EA">
            <w:pPr>
              <w:spacing w:line="288" w:lineRule="auto"/>
              <w:rPr>
                <w:rFonts w:ascii="Arial" w:hAnsi="Arial" w:cs="Arial"/>
                <w:color w:val="000000" w:themeColor="text1"/>
                <w:sz w:val="22"/>
                <w:szCs w:val="22"/>
              </w:rPr>
            </w:pPr>
            <w:r w:rsidRPr="009B78DA">
              <w:rPr>
                <w:rFonts w:ascii="Arial" w:hAnsi="Arial" w:cs="Arial"/>
                <w:color w:val="000000" w:themeColor="text1"/>
                <w:sz w:val="22"/>
                <w:szCs w:val="22"/>
              </w:rPr>
              <w:t>Główne zalety wariantu</w:t>
            </w:r>
          </w:p>
        </w:tc>
        <w:tc>
          <w:tcPr>
            <w:tcW w:w="4529" w:type="dxa"/>
            <w:shd w:val="clear" w:color="auto" w:fill="DEEAF6" w:themeFill="accent1" w:themeFillTint="33"/>
          </w:tcPr>
          <w:p w14:paraId="3CC3C0D0" w14:textId="77777777" w:rsidR="0014581E" w:rsidRPr="009B78DA" w:rsidRDefault="0014581E" w:rsidP="00DC69EA">
            <w:pPr>
              <w:spacing w:line="288" w:lineRule="auto"/>
              <w:rPr>
                <w:rFonts w:ascii="Arial" w:hAnsi="Arial" w:cs="Arial"/>
                <w:color w:val="000000" w:themeColor="text1"/>
                <w:sz w:val="22"/>
                <w:szCs w:val="22"/>
              </w:rPr>
            </w:pPr>
            <w:r w:rsidRPr="009B78DA">
              <w:rPr>
                <w:rFonts w:ascii="Arial" w:hAnsi="Arial" w:cs="Arial"/>
                <w:color w:val="000000" w:themeColor="text1"/>
                <w:sz w:val="22"/>
                <w:szCs w:val="22"/>
              </w:rPr>
              <w:t>Główne wady wariantu</w:t>
            </w:r>
          </w:p>
        </w:tc>
      </w:tr>
      <w:tr w:rsidR="006F4FD2" w:rsidRPr="009B78DA" w14:paraId="6AA68009" w14:textId="77777777" w:rsidTr="00CA2BD5">
        <w:tc>
          <w:tcPr>
            <w:tcW w:w="4533" w:type="dxa"/>
          </w:tcPr>
          <w:p w14:paraId="7D1054AC" w14:textId="77777777" w:rsidR="0014581E" w:rsidRPr="009B78DA" w:rsidRDefault="0014581E" w:rsidP="00DC69EA">
            <w:pPr>
              <w:pStyle w:val="Akapitzlist"/>
              <w:numPr>
                <w:ilvl w:val="0"/>
                <w:numId w:val="254"/>
              </w:numPr>
              <w:spacing w:line="288"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Oczekiwane wsparcie ze strony licznych władz lokalnych</w:t>
            </w:r>
          </w:p>
          <w:p w14:paraId="768D4FEE" w14:textId="77777777" w:rsidR="0014581E" w:rsidRPr="009B78DA" w:rsidRDefault="0014581E" w:rsidP="00DC69EA">
            <w:pPr>
              <w:pStyle w:val="Akapitzlist"/>
              <w:numPr>
                <w:ilvl w:val="0"/>
                <w:numId w:val="254"/>
              </w:numPr>
              <w:spacing w:line="288"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Większa partycypacja społeczna przy kształtowaniu projektów</w:t>
            </w:r>
          </w:p>
          <w:p w14:paraId="26404AA2" w14:textId="77777777" w:rsidR="0014581E" w:rsidRPr="009B78DA" w:rsidRDefault="0014581E" w:rsidP="00DC69EA">
            <w:pPr>
              <w:pStyle w:val="Akapitzlist"/>
              <w:numPr>
                <w:ilvl w:val="0"/>
                <w:numId w:val="254"/>
              </w:numPr>
              <w:spacing w:line="288"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Poprawa jakości życia w regionach peryferyjnych</w:t>
            </w:r>
          </w:p>
          <w:p w14:paraId="0B7BF55B" w14:textId="77777777" w:rsidR="0014581E" w:rsidRPr="009B78DA" w:rsidRDefault="0014581E" w:rsidP="00DC69EA">
            <w:pPr>
              <w:pStyle w:val="Akapitzlist"/>
              <w:numPr>
                <w:ilvl w:val="0"/>
                <w:numId w:val="254"/>
              </w:numPr>
              <w:spacing w:line="288"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Wzrost bezpieczeństwa ruchu </w:t>
            </w:r>
          </w:p>
          <w:p w14:paraId="2D8068FE" w14:textId="77777777" w:rsidR="0014581E" w:rsidRPr="009B78DA" w:rsidRDefault="0014581E" w:rsidP="00DC69EA">
            <w:pPr>
              <w:pStyle w:val="Akapitzlist"/>
              <w:numPr>
                <w:ilvl w:val="0"/>
                <w:numId w:val="254"/>
              </w:numPr>
              <w:spacing w:line="288"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Przeciwdziałanie polaryzacji wewnętrznej w regionie</w:t>
            </w:r>
          </w:p>
        </w:tc>
        <w:tc>
          <w:tcPr>
            <w:tcW w:w="4529" w:type="dxa"/>
          </w:tcPr>
          <w:p w14:paraId="3248B64F" w14:textId="27719B79" w:rsidR="0014581E" w:rsidRPr="009B78DA" w:rsidRDefault="0014581E" w:rsidP="00DC69EA">
            <w:pPr>
              <w:pStyle w:val="Akapitzlist"/>
              <w:numPr>
                <w:ilvl w:val="0"/>
                <w:numId w:val="252"/>
              </w:numPr>
              <w:spacing w:line="288"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Rozproszenie środków, trudność </w:t>
            </w:r>
            <w:r w:rsidR="00DC69EA">
              <w:rPr>
                <w:rFonts w:ascii="Arial" w:hAnsi="Arial" w:cs="Arial"/>
                <w:color w:val="000000" w:themeColor="text1"/>
                <w:sz w:val="22"/>
                <w:szCs w:val="22"/>
              </w:rPr>
              <w:br/>
            </w:r>
            <w:r w:rsidRPr="009B78DA">
              <w:rPr>
                <w:rFonts w:ascii="Arial" w:hAnsi="Arial" w:cs="Arial"/>
                <w:color w:val="000000" w:themeColor="text1"/>
                <w:sz w:val="22"/>
                <w:szCs w:val="22"/>
              </w:rPr>
              <w:t>w realizacji dużych przedsięwzięć</w:t>
            </w:r>
          </w:p>
          <w:p w14:paraId="2A86CCF7" w14:textId="77777777" w:rsidR="0014581E" w:rsidRPr="009B78DA" w:rsidRDefault="0014581E" w:rsidP="00DC69EA">
            <w:pPr>
              <w:pStyle w:val="Akapitzlist"/>
              <w:numPr>
                <w:ilvl w:val="0"/>
                <w:numId w:val="252"/>
              </w:numPr>
              <w:spacing w:line="288"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Duże koszty niektórych inwestycji (kolej)</w:t>
            </w:r>
          </w:p>
          <w:p w14:paraId="1071F886" w14:textId="77777777" w:rsidR="0014581E" w:rsidRPr="009B78DA" w:rsidRDefault="0014581E" w:rsidP="00DC69EA">
            <w:pPr>
              <w:pStyle w:val="Akapitzlist"/>
              <w:numPr>
                <w:ilvl w:val="0"/>
                <w:numId w:val="252"/>
              </w:numPr>
              <w:spacing w:line="288"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Zagrożenie osłabieniem wkładu transportu w ogólną konwergencję regionu</w:t>
            </w:r>
          </w:p>
          <w:p w14:paraId="7F57E985" w14:textId="77777777" w:rsidR="0014581E" w:rsidRPr="009B78DA" w:rsidRDefault="0014581E" w:rsidP="00DC69EA">
            <w:pPr>
              <w:pStyle w:val="Akapitzlist"/>
              <w:numPr>
                <w:ilvl w:val="0"/>
                <w:numId w:val="252"/>
              </w:numPr>
              <w:spacing w:line="288"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Ryzyko przeskalowania niektórych inwestycji lokalnych</w:t>
            </w:r>
          </w:p>
        </w:tc>
      </w:tr>
    </w:tbl>
    <w:p w14:paraId="07A426B3" w14:textId="60AF78FB" w:rsidR="00CA2BD5" w:rsidRPr="009B78DA" w:rsidRDefault="00CA2BD5" w:rsidP="00DC69EA">
      <w:pPr>
        <w:spacing w:before="120" w:after="0" w:line="288" w:lineRule="auto"/>
        <w:rPr>
          <w:rFonts w:ascii="Arial" w:hAnsi="Arial" w:cs="Arial"/>
          <w:color w:val="000000" w:themeColor="text1"/>
          <w:sz w:val="22"/>
          <w:szCs w:val="22"/>
        </w:rPr>
      </w:pPr>
      <w:r w:rsidRPr="009B78DA">
        <w:rPr>
          <w:rFonts w:ascii="Arial" w:hAnsi="Arial" w:cs="Arial"/>
          <w:color w:val="000000" w:themeColor="text1"/>
          <w:sz w:val="22"/>
          <w:szCs w:val="22"/>
        </w:rPr>
        <w:t>Źródło: Opracowanie własne.</w:t>
      </w:r>
    </w:p>
    <w:p w14:paraId="0C663FAA" w14:textId="1F0EA4F9" w:rsidR="0007194B" w:rsidRPr="009B78DA" w:rsidRDefault="0007194B" w:rsidP="00DC69EA">
      <w:pPr>
        <w:pStyle w:val="Legenda"/>
        <w:keepNext/>
        <w:spacing w:before="120" w:after="120"/>
        <w:rPr>
          <w:rFonts w:ascii="Arial" w:hAnsi="Arial" w:cs="Arial"/>
          <w:i w:val="0"/>
          <w:color w:val="000000" w:themeColor="text1"/>
          <w:sz w:val="22"/>
          <w:szCs w:val="22"/>
        </w:rPr>
      </w:pPr>
      <w:bookmarkStart w:id="242" w:name="_Toc146785686"/>
      <w:bookmarkStart w:id="243" w:name="_Hlk92701689"/>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57</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Schemat dla wariantu 2. Równoważenia rozwoju na poziomie lokalnym</w:t>
      </w:r>
      <w:bookmarkEnd w:id="242"/>
    </w:p>
    <w:p w14:paraId="6AAFEE46" w14:textId="3B24756F" w:rsidR="003F293E" w:rsidRPr="009B78DA" w:rsidRDefault="005151A8" w:rsidP="003F293E">
      <w:pPr>
        <w:jc w:val="center"/>
        <w:rPr>
          <w:color w:val="000000" w:themeColor="text1"/>
        </w:rPr>
      </w:pPr>
      <w:r w:rsidRPr="009B78DA">
        <w:rPr>
          <w:noProof/>
          <w:color w:val="000000" w:themeColor="text1"/>
        </w:rPr>
        <w:drawing>
          <wp:inline distT="0" distB="0" distL="0" distR="0" wp14:anchorId="00B9FAFF" wp14:editId="40886A1D">
            <wp:extent cx="3038400" cy="3931200"/>
            <wp:effectExtent l="0" t="0" r="0" b="0"/>
            <wp:docPr id="14" name="Obraz 14" descr="Województwo podkarpackie w tym: środek główny zaznaczony w centralnej części, ośrodki subregionalne (bieguny wzrostu) i inne oraz inne ośrodki. Pokazane są również komunikacyjne powiazania główne, II rzędu i III rzędu" title="Rysunek 57 Schemat dla wariantu 2. Równoważenia rozwoju na poziomie lokal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38400" cy="3931200"/>
                    </a:xfrm>
                    <a:prstGeom prst="rect">
                      <a:avLst/>
                    </a:prstGeom>
                  </pic:spPr>
                </pic:pic>
              </a:graphicData>
            </a:graphic>
          </wp:inline>
        </w:drawing>
      </w:r>
    </w:p>
    <w:p w14:paraId="47583C41" w14:textId="7B419DAC" w:rsidR="00DC69EA" w:rsidRDefault="003F293E" w:rsidP="00DC69EA">
      <w:pPr>
        <w:spacing w:after="0" w:line="288" w:lineRule="auto"/>
        <w:jc w:val="center"/>
        <w:rPr>
          <w:rFonts w:ascii="Arial" w:hAnsi="Arial" w:cs="Arial"/>
          <w:color w:val="000000" w:themeColor="text1"/>
          <w:sz w:val="22"/>
          <w:szCs w:val="22"/>
        </w:rPr>
      </w:pPr>
      <w:r w:rsidRPr="009B78DA">
        <w:rPr>
          <w:rFonts w:ascii="Arial" w:hAnsi="Arial" w:cs="Arial"/>
          <w:color w:val="000000" w:themeColor="text1"/>
          <w:sz w:val="22"/>
          <w:szCs w:val="22"/>
        </w:rPr>
        <w:t>Źródło: Opracowanie własne.</w:t>
      </w:r>
      <w:bookmarkEnd w:id="243"/>
    </w:p>
    <w:p w14:paraId="1F4AC8CC" w14:textId="77777777" w:rsidR="00DC69EA" w:rsidRDefault="00DC69EA">
      <w:pPr>
        <w:rPr>
          <w:rFonts w:ascii="Arial" w:hAnsi="Arial" w:cs="Arial"/>
          <w:color w:val="000000" w:themeColor="text1"/>
          <w:sz w:val="22"/>
          <w:szCs w:val="22"/>
        </w:rPr>
      </w:pPr>
      <w:r>
        <w:rPr>
          <w:rFonts w:ascii="Arial" w:hAnsi="Arial" w:cs="Arial"/>
          <w:color w:val="000000" w:themeColor="text1"/>
          <w:sz w:val="22"/>
          <w:szCs w:val="22"/>
        </w:rPr>
        <w:br w:type="page"/>
      </w:r>
    </w:p>
    <w:p w14:paraId="7611FA5E" w14:textId="3C5032C8" w:rsidR="0014581E" w:rsidRPr="009B78DA" w:rsidRDefault="0014581E" w:rsidP="00DC69EA">
      <w:pPr>
        <w:spacing w:after="0" w:line="288" w:lineRule="auto"/>
        <w:rPr>
          <w:rFonts w:ascii="Arial" w:hAnsi="Arial" w:cs="Arial"/>
          <w:color w:val="000000" w:themeColor="text1"/>
          <w:sz w:val="22"/>
          <w:szCs w:val="22"/>
        </w:rPr>
      </w:pPr>
      <w:r w:rsidRPr="009B78DA">
        <w:rPr>
          <w:rFonts w:ascii="Arial" w:hAnsi="Arial" w:cs="Arial"/>
          <w:b/>
          <w:color w:val="000000" w:themeColor="text1"/>
          <w:sz w:val="22"/>
          <w:szCs w:val="22"/>
        </w:rPr>
        <w:t>Wariant 3. Skokowego przesunięcia gałęziowego, na rzecz minimalizacji kosztów klimatycznych</w:t>
      </w:r>
      <w:r w:rsidRPr="009B78DA">
        <w:rPr>
          <w:rFonts w:ascii="Arial" w:hAnsi="Arial" w:cs="Arial"/>
          <w:color w:val="000000" w:themeColor="text1"/>
          <w:sz w:val="22"/>
          <w:szCs w:val="22"/>
        </w:rPr>
        <w:t xml:space="preserve"> </w:t>
      </w:r>
      <w:r w:rsidRPr="009B78DA">
        <w:rPr>
          <w:rFonts w:ascii="Arial" w:hAnsi="Arial" w:cs="Arial"/>
          <w:b/>
          <w:color w:val="000000" w:themeColor="text1"/>
          <w:sz w:val="22"/>
          <w:szCs w:val="22"/>
        </w:rPr>
        <w:t>i</w:t>
      </w:r>
      <w:r w:rsidRPr="009B78DA">
        <w:rPr>
          <w:rFonts w:ascii="Arial" w:hAnsi="Arial" w:cs="Arial"/>
          <w:color w:val="000000" w:themeColor="text1"/>
          <w:sz w:val="22"/>
          <w:szCs w:val="22"/>
        </w:rPr>
        <w:t xml:space="preserve"> </w:t>
      </w:r>
      <w:r w:rsidRPr="009B78DA">
        <w:rPr>
          <w:rFonts w:ascii="Arial" w:hAnsi="Arial" w:cs="Arial"/>
          <w:b/>
          <w:color w:val="000000" w:themeColor="text1"/>
          <w:sz w:val="22"/>
          <w:szCs w:val="22"/>
        </w:rPr>
        <w:t>środowiskowych.</w:t>
      </w:r>
      <w:r w:rsidRPr="009B78DA">
        <w:rPr>
          <w:rFonts w:ascii="Arial" w:hAnsi="Arial" w:cs="Arial"/>
          <w:color w:val="000000" w:themeColor="text1"/>
          <w:sz w:val="22"/>
          <w:szCs w:val="22"/>
        </w:rPr>
        <w:t xml:space="preserve"> </w:t>
      </w:r>
    </w:p>
    <w:p w14:paraId="41AAA949" w14:textId="4AF4778B" w:rsidR="00ED21AB" w:rsidRPr="009B78DA" w:rsidRDefault="0014581E" w:rsidP="00DC69EA">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Wariant nakierowany jest na możliwie najszybsze przekształcenia w strukturze transportu na rzecz gałęzi bardziej przyjaznych środowisku oraz klimatowi. Największymi działaniami </w:t>
      </w:r>
      <w:r w:rsidR="001A62DC" w:rsidRPr="009B78DA">
        <w:rPr>
          <w:rFonts w:ascii="Arial" w:hAnsi="Arial" w:cs="Arial"/>
          <w:color w:val="000000" w:themeColor="text1"/>
          <w:sz w:val="22"/>
          <w:szCs w:val="22"/>
        </w:rPr>
        <w:t>będą</w:t>
      </w:r>
      <w:r w:rsidRPr="009B78DA">
        <w:rPr>
          <w:rFonts w:ascii="Arial" w:hAnsi="Arial" w:cs="Arial"/>
          <w:color w:val="000000" w:themeColor="text1"/>
          <w:sz w:val="22"/>
          <w:szCs w:val="22"/>
        </w:rPr>
        <w:t xml:space="preserve"> zakrojone na dużą skalę inwestycje kolejowe. Powsta</w:t>
      </w:r>
      <w:r w:rsidR="004C1920" w:rsidRPr="009B78DA">
        <w:rPr>
          <w:rFonts w:ascii="Arial" w:hAnsi="Arial" w:cs="Arial"/>
          <w:color w:val="000000" w:themeColor="text1"/>
          <w:sz w:val="22"/>
          <w:szCs w:val="22"/>
        </w:rPr>
        <w:t>ną</w:t>
      </w:r>
      <w:r w:rsidRPr="009B78DA">
        <w:rPr>
          <w:rFonts w:ascii="Arial" w:hAnsi="Arial" w:cs="Arial"/>
          <w:color w:val="000000" w:themeColor="text1"/>
          <w:sz w:val="22"/>
          <w:szCs w:val="22"/>
        </w:rPr>
        <w:t xml:space="preserve"> nowe linie (w tym tzw. szprychy CPK)</w:t>
      </w:r>
      <w:r w:rsidR="004C1920"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zapewniające dostęp do większości ośrodków powiatowych regionu. Inne trasy </w:t>
      </w:r>
      <w:r w:rsidR="004C1920" w:rsidRPr="009B78DA">
        <w:rPr>
          <w:rFonts w:ascii="Arial" w:hAnsi="Arial" w:cs="Arial"/>
          <w:color w:val="000000" w:themeColor="text1"/>
          <w:sz w:val="22"/>
          <w:szCs w:val="22"/>
        </w:rPr>
        <w:t>będą</w:t>
      </w:r>
      <w:r w:rsidRPr="009B78DA">
        <w:rPr>
          <w:rFonts w:ascii="Arial" w:hAnsi="Arial" w:cs="Arial"/>
          <w:color w:val="000000" w:themeColor="text1"/>
          <w:sz w:val="22"/>
          <w:szCs w:val="22"/>
        </w:rPr>
        <w:t xml:space="preserve"> elektryfikowane. Zorganizowana zosta</w:t>
      </w:r>
      <w:r w:rsidR="004C1920" w:rsidRPr="009B78DA">
        <w:rPr>
          <w:rFonts w:ascii="Arial" w:hAnsi="Arial" w:cs="Arial"/>
          <w:color w:val="000000" w:themeColor="text1"/>
          <w:sz w:val="22"/>
          <w:szCs w:val="22"/>
        </w:rPr>
        <w:t>nie</w:t>
      </w:r>
      <w:r w:rsidRPr="009B78DA">
        <w:rPr>
          <w:rFonts w:ascii="Arial" w:hAnsi="Arial" w:cs="Arial"/>
          <w:color w:val="000000" w:themeColor="text1"/>
          <w:sz w:val="22"/>
          <w:szCs w:val="22"/>
        </w:rPr>
        <w:t xml:space="preserve"> stała obsługa kolejowa </w:t>
      </w:r>
      <w:r w:rsidR="00DC69EA">
        <w:rPr>
          <w:rFonts w:ascii="Arial" w:hAnsi="Arial" w:cs="Arial"/>
          <w:color w:val="000000" w:themeColor="text1"/>
          <w:sz w:val="22"/>
          <w:szCs w:val="22"/>
        </w:rPr>
        <w:br/>
      </w:r>
      <w:r w:rsidRPr="009B78DA">
        <w:rPr>
          <w:rFonts w:ascii="Arial" w:hAnsi="Arial" w:cs="Arial"/>
          <w:color w:val="000000" w:themeColor="text1"/>
          <w:sz w:val="22"/>
          <w:szCs w:val="22"/>
        </w:rPr>
        <w:t xml:space="preserve">z zapewnioną wysoką częstotliwością kursów (minimum 8 par na dobę) na wszystkich liniach. Transport kolejowy </w:t>
      </w:r>
      <w:r w:rsidR="004C1920"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zintegrowany z transportem autobusowym pod względem rozkładowym, taryfowym i organizacyjnym. Na terenach zagrożonych wykluczeniem transportowym komunikację zapewni</w:t>
      </w:r>
      <w:r w:rsidR="004C1920" w:rsidRPr="009B78DA">
        <w:rPr>
          <w:rFonts w:ascii="Arial" w:hAnsi="Arial" w:cs="Arial"/>
          <w:color w:val="000000" w:themeColor="text1"/>
          <w:sz w:val="22"/>
          <w:szCs w:val="22"/>
        </w:rPr>
        <w:t>ą</w:t>
      </w:r>
      <w:r w:rsidRPr="009B78DA">
        <w:rPr>
          <w:rFonts w:ascii="Arial" w:hAnsi="Arial" w:cs="Arial"/>
          <w:color w:val="000000" w:themeColor="text1"/>
          <w:sz w:val="22"/>
          <w:szCs w:val="22"/>
        </w:rPr>
        <w:t xml:space="preserve"> autobusy lub lokalnie rozwiązania alternatywne (</w:t>
      </w:r>
      <w:r w:rsidR="004C1920" w:rsidRPr="009B78DA">
        <w:rPr>
          <w:rFonts w:ascii="Arial" w:hAnsi="Arial" w:cs="Arial"/>
          <w:color w:val="000000" w:themeColor="text1"/>
          <w:sz w:val="22"/>
          <w:szCs w:val="22"/>
        </w:rPr>
        <w:t xml:space="preserve">typu </w:t>
      </w:r>
      <w:r w:rsidRPr="009B78DA">
        <w:rPr>
          <w:rFonts w:ascii="Arial" w:hAnsi="Arial" w:cs="Arial"/>
          <w:color w:val="000000" w:themeColor="text1"/>
          <w:sz w:val="22"/>
          <w:szCs w:val="22"/>
        </w:rPr>
        <w:t>car</w:t>
      </w:r>
      <w:r w:rsidR="00E959F4" w:rsidRPr="009B78DA">
        <w:rPr>
          <w:rFonts w:ascii="Arial" w:hAnsi="Arial" w:cs="Arial"/>
          <w:color w:val="000000" w:themeColor="text1"/>
          <w:sz w:val="22"/>
          <w:szCs w:val="22"/>
        </w:rPr>
        <w:t>-</w:t>
      </w:r>
      <w:r w:rsidRPr="009B78DA">
        <w:rPr>
          <w:rFonts w:ascii="Arial" w:hAnsi="Arial" w:cs="Arial"/>
          <w:color w:val="000000" w:themeColor="text1"/>
          <w:sz w:val="22"/>
          <w:szCs w:val="22"/>
        </w:rPr>
        <w:t>sharing</w:t>
      </w:r>
      <w:r w:rsidR="004C1920"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r w:rsidR="00A16A47" w:rsidRPr="009B78DA">
        <w:rPr>
          <w:rFonts w:ascii="Arial" w:hAnsi="Arial" w:cs="Arial"/>
          <w:color w:val="000000" w:themeColor="text1"/>
          <w:sz w:val="22"/>
          <w:szCs w:val="22"/>
        </w:rPr>
        <w:t>car</w:t>
      </w:r>
      <w:r w:rsidR="00E959F4" w:rsidRPr="009B78DA">
        <w:rPr>
          <w:rFonts w:ascii="Arial" w:hAnsi="Arial" w:cs="Arial"/>
          <w:color w:val="000000" w:themeColor="text1"/>
          <w:sz w:val="22"/>
          <w:szCs w:val="22"/>
        </w:rPr>
        <w:t>-</w:t>
      </w:r>
      <w:r w:rsidR="00A16A47" w:rsidRPr="009B78DA">
        <w:rPr>
          <w:rFonts w:ascii="Arial" w:hAnsi="Arial" w:cs="Arial"/>
          <w:color w:val="000000" w:themeColor="text1"/>
          <w:sz w:val="22"/>
          <w:szCs w:val="22"/>
        </w:rPr>
        <w:t xml:space="preserve"> pooling </w:t>
      </w:r>
      <w:r w:rsidRPr="009B78DA">
        <w:rPr>
          <w:rFonts w:ascii="Arial" w:hAnsi="Arial" w:cs="Arial"/>
          <w:color w:val="000000" w:themeColor="text1"/>
          <w:sz w:val="22"/>
          <w:szCs w:val="22"/>
        </w:rPr>
        <w:t>itp.). Cały park autobusowy zosta</w:t>
      </w:r>
      <w:r w:rsidR="004C1920" w:rsidRPr="009B78DA">
        <w:rPr>
          <w:rFonts w:ascii="Arial" w:hAnsi="Arial" w:cs="Arial"/>
          <w:color w:val="000000" w:themeColor="text1"/>
          <w:sz w:val="22"/>
          <w:szCs w:val="22"/>
        </w:rPr>
        <w:t>nie</w:t>
      </w:r>
      <w:r w:rsidRPr="009B78DA">
        <w:rPr>
          <w:rFonts w:ascii="Arial" w:hAnsi="Arial" w:cs="Arial"/>
          <w:color w:val="000000" w:themeColor="text1"/>
          <w:sz w:val="22"/>
          <w:szCs w:val="22"/>
        </w:rPr>
        <w:t xml:space="preserve"> wymieniony na zeroemisyjny. Wzdłuż głównych dróg powsta</w:t>
      </w:r>
      <w:r w:rsidR="004C1920" w:rsidRPr="009B78DA">
        <w:rPr>
          <w:rFonts w:ascii="Arial" w:hAnsi="Arial" w:cs="Arial"/>
          <w:color w:val="000000" w:themeColor="text1"/>
          <w:sz w:val="22"/>
          <w:szCs w:val="22"/>
        </w:rPr>
        <w:t>ną</w:t>
      </w:r>
      <w:r w:rsidRPr="009B78DA">
        <w:rPr>
          <w:rFonts w:ascii="Arial" w:hAnsi="Arial" w:cs="Arial"/>
          <w:color w:val="000000" w:themeColor="text1"/>
          <w:sz w:val="22"/>
          <w:szCs w:val="22"/>
        </w:rPr>
        <w:t xml:space="preserve"> stacje ładowania pojazdów elektrycznych. Wjazd pojazdów spalinowych do Rzeszowa i kilku innych miast zosta</w:t>
      </w:r>
      <w:r w:rsidR="004C1920" w:rsidRPr="009B78DA">
        <w:rPr>
          <w:rFonts w:ascii="Arial" w:hAnsi="Arial" w:cs="Arial"/>
          <w:color w:val="000000" w:themeColor="text1"/>
          <w:sz w:val="22"/>
          <w:szCs w:val="22"/>
        </w:rPr>
        <w:t>nie</w:t>
      </w:r>
      <w:r w:rsidRPr="009B78DA">
        <w:rPr>
          <w:rFonts w:ascii="Arial" w:hAnsi="Arial" w:cs="Arial"/>
          <w:color w:val="000000" w:themeColor="text1"/>
          <w:sz w:val="22"/>
          <w:szCs w:val="22"/>
        </w:rPr>
        <w:t xml:space="preserve"> ograniczony. Prowadzona </w:t>
      </w:r>
      <w:r w:rsidR="004C1920"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restrykcyjna polityka parkingowa. Inwestycje drogowe ograniczone zosta</w:t>
      </w:r>
      <w:r w:rsidR="004C1920" w:rsidRPr="009B78DA">
        <w:rPr>
          <w:rFonts w:ascii="Arial" w:hAnsi="Arial" w:cs="Arial"/>
          <w:color w:val="000000" w:themeColor="text1"/>
          <w:sz w:val="22"/>
          <w:szCs w:val="22"/>
        </w:rPr>
        <w:t>ną</w:t>
      </w:r>
      <w:r w:rsidRPr="009B78DA">
        <w:rPr>
          <w:rFonts w:ascii="Arial" w:hAnsi="Arial" w:cs="Arial"/>
          <w:color w:val="000000" w:themeColor="text1"/>
          <w:sz w:val="22"/>
          <w:szCs w:val="22"/>
        </w:rPr>
        <w:t xml:space="preserve"> do lokalnych prac modernizacyjnych oraz do budowy obwodnic upłynniających ruch tranzytowy. Rozbudowywana </w:t>
      </w:r>
      <w:r w:rsidR="004C1920"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sieć zamiejskich ścieżek rowerowych, a w miastach (także </w:t>
      </w:r>
      <w:r w:rsidR="00DC69EA">
        <w:rPr>
          <w:rFonts w:ascii="Arial" w:hAnsi="Arial" w:cs="Arial"/>
          <w:color w:val="000000" w:themeColor="text1"/>
          <w:sz w:val="22"/>
          <w:szCs w:val="22"/>
        </w:rPr>
        <w:br/>
      </w:r>
      <w:r w:rsidRPr="009B78DA">
        <w:rPr>
          <w:rFonts w:ascii="Arial" w:hAnsi="Arial" w:cs="Arial"/>
          <w:color w:val="000000" w:themeColor="text1"/>
          <w:sz w:val="22"/>
          <w:szCs w:val="22"/>
        </w:rPr>
        <w:t>w średniej wielkości MOF) powsta</w:t>
      </w:r>
      <w:r w:rsidR="004C1920" w:rsidRPr="009B78DA">
        <w:rPr>
          <w:rFonts w:ascii="Arial" w:hAnsi="Arial" w:cs="Arial"/>
          <w:color w:val="000000" w:themeColor="text1"/>
          <w:sz w:val="22"/>
          <w:szCs w:val="22"/>
        </w:rPr>
        <w:t>ną</w:t>
      </w:r>
      <w:r w:rsidRPr="009B78DA">
        <w:rPr>
          <w:rFonts w:ascii="Arial" w:hAnsi="Arial" w:cs="Arial"/>
          <w:color w:val="000000" w:themeColor="text1"/>
          <w:sz w:val="22"/>
          <w:szCs w:val="22"/>
        </w:rPr>
        <w:t xml:space="preserve"> system</w:t>
      </w:r>
      <w:r w:rsidR="001A62DC" w:rsidRPr="009B78DA">
        <w:rPr>
          <w:rFonts w:ascii="Arial" w:hAnsi="Arial" w:cs="Arial"/>
          <w:color w:val="000000" w:themeColor="text1"/>
          <w:sz w:val="22"/>
          <w:szCs w:val="22"/>
        </w:rPr>
        <w:t>y</w:t>
      </w:r>
      <w:r w:rsidRPr="009B78DA">
        <w:rPr>
          <w:rFonts w:ascii="Arial" w:hAnsi="Arial" w:cs="Arial"/>
          <w:color w:val="000000" w:themeColor="text1"/>
          <w:sz w:val="22"/>
          <w:szCs w:val="22"/>
        </w:rPr>
        <w:t xml:space="preserve"> rower</w:t>
      </w:r>
      <w:r w:rsidR="001A62DC" w:rsidRPr="009B78DA">
        <w:rPr>
          <w:rFonts w:ascii="Arial" w:hAnsi="Arial" w:cs="Arial"/>
          <w:color w:val="000000" w:themeColor="text1"/>
          <w:sz w:val="22"/>
          <w:szCs w:val="22"/>
        </w:rPr>
        <w:t>ów</w:t>
      </w:r>
      <w:r w:rsidRPr="009B78DA">
        <w:rPr>
          <w:rFonts w:ascii="Arial" w:hAnsi="Arial" w:cs="Arial"/>
          <w:color w:val="000000" w:themeColor="text1"/>
          <w:sz w:val="22"/>
          <w:szCs w:val="22"/>
        </w:rPr>
        <w:t xml:space="preserve"> publiczn</w:t>
      </w:r>
      <w:r w:rsidR="001A62DC" w:rsidRPr="009B78DA">
        <w:rPr>
          <w:rFonts w:ascii="Arial" w:hAnsi="Arial" w:cs="Arial"/>
          <w:color w:val="000000" w:themeColor="text1"/>
          <w:sz w:val="22"/>
          <w:szCs w:val="22"/>
        </w:rPr>
        <w:t>ych</w:t>
      </w:r>
      <w:r w:rsidRPr="009B78DA">
        <w:rPr>
          <w:rFonts w:ascii="Arial" w:hAnsi="Arial" w:cs="Arial"/>
          <w:color w:val="000000" w:themeColor="text1"/>
          <w:sz w:val="22"/>
          <w:szCs w:val="22"/>
        </w:rPr>
        <w:t>, w tym elektryczn</w:t>
      </w:r>
      <w:r w:rsidR="004C1920" w:rsidRPr="009B78DA">
        <w:rPr>
          <w:rFonts w:ascii="Arial" w:hAnsi="Arial" w:cs="Arial"/>
          <w:color w:val="000000" w:themeColor="text1"/>
          <w:sz w:val="22"/>
          <w:szCs w:val="22"/>
        </w:rPr>
        <w:t>ych</w:t>
      </w:r>
      <w:r w:rsidRPr="009B78DA">
        <w:rPr>
          <w:rFonts w:ascii="Arial" w:hAnsi="Arial" w:cs="Arial"/>
          <w:color w:val="000000" w:themeColor="text1"/>
          <w:sz w:val="22"/>
          <w:szCs w:val="22"/>
        </w:rPr>
        <w:t>.</w:t>
      </w:r>
    </w:p>
    <w:p w14:paraId="21EB9229" w14:textId="21A446EC" w:rsidR="00ED21AB" w:rsidRPr="00DC69EA" w:rsidRDefault="0014581E" w:rsidP="00DC69EA">
      <w:pPr>
        <w:spacing w:after="12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Ruch towarowy tranzytowy </w:t>
      </w:r>
      <w:r w:rsidR="004C1920"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w maksymalnym stopniu przekierowany do transportu kolejowego. Rozbudowane zosta</w:t>
      </w:r>
      <w:r w:rsidR="004C1920" w:rsidRPr="009B78DA">
        <w:rPr>
          <w:rFonts w:ascii="Arial" w:hAnsi="Arial" w:cs="Arial"/>
          <w:color w:val="000000" w:themeColor="text1"/>
          <w:sz w:val="22"/>
          <w:szCs w:val="22"/>
        </w:rPr>
        <w:t>ną</w:t>
      </w:r>
      <w:r w:rsidRPr="009B78DA">
        <w:rPr>
          <w:rFonts w:ascii="Arial" w:hAnsi="Arial" w:cs="Arial"/>
          <w:color w:val="000000" w:themeColor="text1"/>
          <w:sz w:val="22"/>
          <w:szCs w:val="22"/>
        </w:rPr>
        <w:t xml:space="preserve"> terminale intermodalne na granicy z Ukrain</w:t>
      </w:r>
      <w:r w:rsidR="006B21E4" w:rsidRPr="009B78DA">
        <w:rPr>
          <w:rFonts w:ascii="Arial" w:hAnsi="Arial" w:cs="Arial"/>
          <w:color w:val="000000" w:themeColor="text1"/>
          <w:sz w:val="22"/>
          <w:szCs w:val="22"/>
        </w:rPr>
        <w:t>ą</w:t>
      </w:r>
      <w:r w:rsidRPr="009B78DA">
        <w:rPr>
          <w:rFonts w:ascii="Arial" w:hAnsi="Arial" w:cs="Arial"/>
          <w:color w:val="000000" w:themeColor="text1"/>
          <w:sz w:val="22"/>
          <w:szCs w:val="22"/>
        </w:rPr>
        <w:t xml:space="preserve"> oraz wewnątrz regionu. Lotnisko Rzeszów-Jasionka skupia</w:t>
      </w:r>
      <w:r w:rsidR="004C1920" w:rsidRPr="009B78DA">
        <w:rPr>
          <w:rFonts w:ascii="Arial" w:hAnsi="Arial" w:cs="Arial"/>
          <w:color w:val="000000" w:themeColor="text1"/>
          <w:sz w:val="22"/>
          <w:szCs w:val="22"/>
        </w:rPr>
        <w:t>ć</w:t>
      </w:r>
      <w:r w:rsidRPr="009B78DA">
        <w:rPr>
          <w:rFonts w:ascii="Arial" w:hAnsi="Arial" w:cs="Arial"/>
          <w:color w:val="000000" w:themeColor="text1"/>
          <w:sz w:val="22"/>
          <w:szCs w:val="22"/>
        </w:rPr>
        <w:t xml:space="preserve"> się </w:t>
      </w:r>
      <w:r w:rsidR="004C1920" w:rsidRPr="009B78DA">
        <w:rPr>
          <w:rFonts w:ascii="Arial" w:hAnsi="Arial" w:cs="Arial"/>
          <w:color w:val="000000" w:themeColor="text1"/>
          <w:sz w:val="22"/>
          <w:szCs w:val="22"/>
        </w:rPr>
        <w:t xml:space="preserve">będzie </w:t>
      </w:r>
      <w:r w:rsidRPr="009B78DA">
        <w:rPr>
          <w:rFonts w:ascii="Arial" w:hAnsi="Arial" w:cs="Arial"/>
          <w:color w:val="000000" w:themeColor="text1"/>
          <w:sz w:val="22"/>
          <w:szCs w:val="22"/>
        </w:rPr>
        <w:t xml:space="preserve">na obsłudze ruchu międzynarodowego. Rozwój sieci kolejowej </w:t>
      </w:r>
      <w:r w:rsidR="004C1920" w:rsidRPr="009B78DA">
        <w:rPr>
          <w:rFonts w:ascii="Arial" w:hAnsi="Arial" w:cs="Arial"/>
          <w:color w:val="000000" w:themeColor="text1"/>
          <w:sz w:val="22"/>
          <w:szCs w:val="22"/>
        </w:rPr>
        <w:t>z</w:t>
      </w:r>
      <w:r w:rsidRPr="009B78DA">
        <w:rPr>
          <w:rFonts w:ascii="Arial" w:hAnsi="Arial" w:cs="Arial"/>
          <w:color w:val="000000" w:themeColor="text1"/>
          <w:sz w:val="22"/>
          <w:szCs w:val="22"/>
        </w:rPr>
        <w:t>redukuje atrakcyjność przelotów krajowych.</w:t>
      </w:r>
    </w:p>
    <w:p w14:paraId="3C46B432" w14:textId="31853088" w:rsidR="00ED21AB" w:rsidRPr="00DC69EA" w:rsidRDefault="0014581E" w:rsidP="00DC69EA">
      <w:pPr>
        <w:spacing w:after="40" w:line="288" w:lineRule="auto"/>
        <w:rPr>
          <w:rFonts w:ascii="Arial" w:hAnsi="Arial" w:cs="Arial"/>
          <w:color w:val="000000" w:themeColor="text1"/>
          <w:sz w:val="22"/>
          <w:szCs w:val="22"/>
        </w:rPr>
      </w:pPr>
      <w:r w:rsidRPr="009B78DA">
        <w:rPr>
          <w:rFonts w:ascii="Arial" w:hAnsi="Arial" w:cs="Arial"/>
          <w:color w:val="000000" w:themeColor="text1"/>
          <w:sz w:val="22"/>
          <w:szCs w:val="22"/>
          <w:u w:val="single"/>
        </w:rPr>
        <w:t>Miarami realizacji</w:t>
      </w:r>
      <w:r w:rsidRPr="009B78DA">
        <w:rPr>
          <w:rFonts w:ascii="Arial" w:hAnsi="Arial" w:cs="Arial"/>
          <w:color w:val="000000" w:themeColor="text1"/>
          <w:sz w:val="22"/>
          <w:szCs w:val="22"/>
        </w:rPr>
        <w:t xml:space="preserve"> takiego wariantu (wskaźnikami ewaluacyjnymi) są m.in.: struktura gałęziowa przewozów pasażerskich i towarowych, poziom emisji CO2 (ogółem </w:t>
      </w:r>
      <w:r w:rsidR="00DC69EA">
        <w:rPr>
          <w:rFonts w:ascii="Arial" w:hAnsi="Arial" w:cs="Arial"/>
          <w:color w:val="000000" w:themeColor="text1"/>
          <w:sz w:val="22"/>
          <w:szCs w:val="22"/>
        </w:rPr>
        <w:br/>
      </w:r>
      <w:r w:rsidRPr="009B78DA">
        <w:rPr>
          <w:rFonts w:ascii="Arial" w:hAnsi="Arial" w:cs="Arial"/>
          <w:color w:val="000000" w:themeColor="text1"/>
          <w:sz w:val="22"/>
          <w:szCs w:val="22"/>
        </w:rPr>
        <w:t xml:space="preserve">i w wybranych miastach) oraz liczba dni ze smogiem w wybranych miastach, porównanie wskaźników dostępności i czasów przejazdu w transporcie drogowym i kolejowym </w:t>
      </w:r>
      <w:r w:rsidR="00DC69EA">
        <w:rPr>
          <w:rFonts w:ascii="Arial" w:hAnsi="Arial" w:cs="Arial"/>
          <w:color w:val="000000" w:themeColor="text1"/>
          <w:sz w:val="22"/>
          <w:szCs w:val="22"/>
        </w:rPr>
        <w:br/>
      </w:r>
      <w:r w:rsidRPr="009B78DA">
        <w:rPr>
          <w:rFonts w:ascii="Arial" w:hAnsi="Arial" w:cs="Arial"/>
          <w:color w:val="000000" w:themeColor="text1"/>
          <w:sz w:val="22"/>
          <w:szCs w:val="22"/>
        </w:rPr>
        <w:t xml:space="preserve">(w relacjach wewnętrznych i zewnętrznych regionu), udział transportu publicznego </w:t>
      </w:r>
      <w:r w:rsidR="00DC69EA">
        <w:rPr>
          <w:rFonts w:ascii="Arial" w:hAnsi="Arial" w:cs="Arial"/>
          <w:color w:val="000000" w:themeColor="text1"/>
          <w:sz w:val="22"/>
          <w:szCs w:val="22"/>
        </w:rPr>
        <w:br/>
      </w:r>
      <w:r w:rsidRPr="009B78DA">
        <w:rPr>
          <w:rFonts w:ascii="Arial" w:hAnsi="Arial" w:cs="Arial"/>
          <w:color w:val="000000" w:themeColor="text1"/>
          <w:sz w:val="22"/>
          <w:szCs w:val="22"/>
        </w:rPr>
        <w:t xml:space="preserve">w przewozach w obrębie </w:t>
      </w:r>
      <w:r w:rsidR="004E2F79" w:rsidRPr="009B78DA">
        <w:rPr>
          <w:rFonts w:ascii="Arial" w:hAnsi="Arial" w:cs="Arial"/>
          <w:color w:val="000000" w:themeColor="text1"/>
          <w:sz w:val="22"/>
          <w:szCs w:val="22"/>
        </w:rPr>
        <w:t>ROF/MOF</w:t>
      </w:r>
      <w:r w:rsidRPr="009B78DA">
        <w:rPr>
          <w:rFonts w:ascii="Arial" w:hAnsi="Arial" w:cs="Arial"/>
          <w:color w:val="000000" w:themeColor="text1"/>
          <w:sz w:val="22"/>
          <w:szCs w:val="22"/>
        </w:rPr>
        <w:t xml:space="preserve"> oraz ogółem, długość wybudowanych oraz zmodernizowanych (zelektryfikowanych) linii kolejowych, liczba pasażerów przewiezionych </w:t>
      </w:r>
      <w:r w:rsidR="00DC69EA">
        <w:rPr>
          <w:rFonts w:ascii="Arial" w:hAnsi="Arial" w:cs="Arial"/>
          <w:color w:val="000000" w:themeColor="text1"/>
          <w:sz w:val="22"/>
          <w:szCs w:val="22"/>
        </w:rPr>
        <w:br/>
      </w:r>
      <w:r w:rsidRPr="009B78DA">
        <w:rPr>
          <w:rFonts w:ascii="Arial" w:hAnsi="Arial" w:cs="Arial"/>
          <w:color w:val="000000" w:themeColor="text1"/>
          <w:sz w:val="22"/>
          <w:szCs w:val="22"/>
        </w:rPr>
        <w:t>w transporcie publicznym, udział zeroemisyjnego taboru autobusowego, długość wybudowanych ścieżek rowerowych, długość wybudowanych obwodnic drogowych, liczba stref o ograniczonym ruchu drogowym, liczba ogólnodostępnych ładowarek dla pojazdów elektrycznych.</w:t>
      </w:r>
    </w:p>
    <w:p w14:paraId="7FB7FD43" w14:textId="7FE15408" w:rsidR="0007194B" w:rsidRPr="009B78DA" w:rsidRDefault="0007194B" w:rsidP="00DC69EA">
      <w:pPr>
        <w:pStyle w:val="Legenda"/>
        <w:keepNext/>
        <w:spacing w:after="40"/>
        <w:rPr>
          <w:rFonts w:ascii="Arial" w:hAnsi="Arial" w:cs="Arial"/>
          <w:i w:val="0"/>
          <w:color w:val="000000" w:themeColor="text1"/>
          <w:sz w:val="22"/>
          <w:szCs w:val="22"/>
        </w:rPr>
      </w:pPr>
      <w:bookmarkStart w:id="244" w:name="_Toc146785749"/>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19</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lang w:eastAsia="en-US"/>
        </w:rPr>
        <w:t>Główne zalety i wady dla wariantu 3.</w:t>
      </w:r>
      <w:bookmarkEnd w:id="244"/>
    </w:p>
    <w:tbl>
      <w:tblPr>
        <w:tblStyle w:val="Tabela-Siatka"/>
        <w:tblW w:w="9209" w:type="dxa"/>
        <w:tblLook w:val="04A0" w:firstRow="1" w:lastRow="0" w:firstColumn="1" w:lastColumn="0" w:noHBand="0" w:noVBand="1"/>
        <w:tblCaption w:val="Tabela 19 Główne zalety i wady dla wariantu 3."/>
        <w:tblDescription w:val="Tabela zawiera Główne zalety wariantu i Główne wady wariantu"/>
      </w:tblPr>
      <w:tblGrid>
        <w:gridCol w:w="4106"/>
        <w:gridCol w:w="5103"/>
      </w:tblGrid>
      <w:tr w:rsidR="006F4FD2" w:rsidRPr="009B78DA" w14:paraId="513305B3" w14:textId="77777777" w:rsidTr="0099520C">
        <w:trPr>
          <w:tblHeader/>
        </w:trPr>
        <w:tc>
          <w:tcPr>
            <w:tcW w:w="4106" w:type="dxa"/>
            <w:shd w:val="clear" w:color="auto" w:fill="DEEAF6" w:themeFill="accent1" w:themeFillTint="33"/>
          </w:tcPr>
          <w:p w14:paraId="4A306297" w14:textId="77777777" w:rsidR="0014581E" w:rsidRPr="009B78DA" w:rsidRDefault="0014581E" w:rsidP="00736A44">
            <w:pPr>
              <w:spacing w:line="288" w:lineRule="auto"/>
              <w:jc w:val="both"/>
              <w:rPr>
                <w:rFonts w:ascii="Arial" w:hAnsi="Arial" w:cs="Arial"/>
                <w:color w:val="000000" w:themeColor="text1"/>
                <w:sz w:val="22"/>
                <w:szCs w:val="22"/>
              </w:rPr>
            </w:pPr>
            <w:r w:rsidRPr="009B78DA">
              <w:rPr>
                <w:rFonts w:ascii="Arial" w:hAnsi="Arial" w:cs="Arial"/>
                <w:color w:val="000000" w:themeColor="text1"/>
                <w:sz w:val="22"/>
                <w:szCs w:val="22"/>
              </w:rPr>
              <w:t>Główne zalety wariantu</w:t>
            </w:r>
          </w:p>
        </w:tc>
        <w:tc>
          <w:tcPr>
            <w:tcW w:w="5103" w:type="dxa"/>
            <w:shd w:val="clear" w:color="auto" w:fill="DEEAF6" w:themeFill="accent1" w:themeFillTint="33"/>
          </w:tcPr>
          <w:p w14:paraId="3D4312BF" w14:textId="77777777" w:rsidR="0014581E" w:rsidRPr="009B78DA" w:rsidRDefault="0014581E" w:rsidP="00736A44">
            <w:pPr>
              <w:spacing w:line="288" w:lineRule="auto"/>
              <w:jc w:val="both"/>
              <w:rPr>
                <w:rFonts w:ascii="Arial" w:hAnsi="Arial" w:cs="Arial"/>
                <w:color w:val="000000" w:themeColor="text1"/>
                <w:sz w:val="22"/>
                <w:szCs w:val="22"/>
              </w:rPr>
            </w:pPr>
            <w:r w:rsidRPr="009B78DA">
              <w:rPr>
                <w:rFonts w:ascii="Arial" w:hAnsi="Arial" w:cs="Arial"/>
                <w:color w:val="000000" w:themeColor="text1"/>
                <w:sz w:val="22"/>
                <w:szCs w:val="22"/>
              </w:rPr>
              <w:t>Główne wady wariantu</w:t>
            </w:r>
          </w:p>
        </w:tc>
      </w:tr>
      <w:tr w:rsidR="006F4FD2" w:rsidRPr="009B78DA" w14:paraId="714FAEA6" w14:textId="77777777" w:rsidTr="000470C4">
        <w:tc>
          <w:tcPr>
            <w:tcW w:w="4106" w:type="dxa"/>
          </w:tcPr>
          <w:p w14:paraId="2D6E757A" w14:textId="77777777" w:rsidR="0014581E" w:rsidRPr="009B78DA" w:rsidRDefault="0014581E" w:rsidP="00DC69EA">
            <w:pPr>
              <w:pStyle w:val="Akapitzlist"/>
              <w:numPr>
                <w:ilvl w:val="0"/>
                <w:numId w:val="250"/>
              </w:numPr>
              <w:spacing w:line="288" w:lineRule="auto"/>
              <w:ind w:left="318" w:hanging="318"/>
              <w:contextualSpacing w:val="0"/>
              <w:rPr>
                <w:rFonts w:ascii="Arial" w:hAnsi="Arial" w:cs="Arial"/>
                <w:color w:val="000000" w:themeColor="text1"/>
                <w:sz w:val="22"/>
                <w:szCs w:val="22"/>
              </w:rPr>
            </w:pPr>
            <w:r w:rsidRPr="009B78DA">
              <w:rPr>
                <w:rFonts w:ascii="Arial" w:hAnsi="Arial" w:cs="Arial"/>
                <w:color w:val="000000" w:themeColor="text1"/>
                <w:sz w:val="22"/>
                <w:szCs w:val="22"/>
              </w:rPr>
              <w:t>Możliwość szybkiej redukcji emisji CO2, zwłaszcza w dużych miastach</w:t>
            </w:r>
          </w:p>
          <w:p w14:paraId="019D8DCF" w14:textId="77777777" w:rsidR="0014581E" w:rsidRPr="009B78DA" w:rsidRDefault="0014581E" w:rsidP="00DC69EA">
            <w:pPr>
              <w:pStyle w:val="Akapitzlist"/>
              <w:numPr>
                <w:ilvl w:val="0"/>
                <w:numId w:val="250"/>
              </w:numPr>
              <w:spacing w:line="288" w:lineRule="auto"/>
              <w:ind w:left="318" w:hanging="318"/>
              <w:contextualSpacing w:val="0"/>
              <w:rPr>
                <w:rFonts w:ascii="Arial" w:hAnsi="Arial" w:cs="Arial"/>
                <w:color w:val="000000" w:themeColor="text1"/>
                <w:sz w:val="22"/>
                <w:szCs w:val="22"/>
              </w:rPr>
            </w:pPr>
            <w:r w:rsidRPr="009B78DA">
              <w:rPr>
                <w:rFonts w:ascii="Arial" w:hAnsi="Arial" w:cs="Arial"/>
                <w:color w:val="000000" w:themeColor="text1"/>
                <w:sz w:val="22"/>
                <w:szCs w:val="22"/>
              </w:rPr>
              <w:t>Wzrost znaczenia mobilności aktywnej</w:t>
            </w:r>
          </w:p>
          <w:p w14:paraId="1455F26D" w14:textId="77777777" w:rsidR="0014581E" w:rsidRPr="009B78DA" w:rsidRDefault="0014581E" w:rsidP="00DC69EA">
            <w:pPr>
              <w:pStyle w:val="Akapitzlist"/>
              <w:numPr>
                <w:ilvl w:val="0"/>
                <w:numId w:val="250"/>
              </w:numPr>
              <w:spacing w:line="288" w:lineRule="auto"/>
              <w:ind w:left="318" w:hanging="318"/>
              <w:contextualSpacing w:val="0"/>
              <w:rPr>
                <w:rFonts w:ascii="Arial" w:hAnsi="Arial" w:cs="Arial"/>
                <w:color w:val="000000" w:themeColor="text1"/>
                <w:sz w:val="22"/>
                <w:szCs w:val="22"/>
              </w:rPr>
            </w:pPr>
            <w:r w:rsidRPr="009B78DA">
              <w:rPr>
                <w:rFonts w:ascii="Arial" w:hAnsi="Arial" w:cs="Arial"/>
                <w:color w:val="000000" w:themeColor="text1"/>
                <w:sz w:val="22"/>
                <w:szCs w:val="22"/>
              </w:rPr>
              <w:t>Ograniczenie roli ciężkiego tranzytu drogowego</w:t>
            </w:r>
          </w:p>
          <w:p w14:paraId="40420A3A" w14:textId="77777777" w:rsidR="0014581E" w:rsidRPr="009B78DA" w:rsidRDefault="0014581E" w:rsidP="00DC69EA">
            <w:pPr>
              <w:pStyle w:val="Akapitzlist"/>
              <w:numPr>
                <w:ilvl w:val="0"/>
                <w:numId w:val="250"/>
              </w:numPr>
              <w:spacing w:line="288" w:lineRule="auto"/>
              <w:ind w:left="318" w:hanging="318"/>
              <w:contextualSpacing w:val="0"/>
              <w:rPr>
                <w:rFonts w:ascii="Arial" w:hAnsi="Arial" w:cs="Arial"/>
                <w:color w:val="000000" w:themeColor="text1"/>
                <w:sz w:val="22"/>
                <w:szCs w:val="22"/>
              </w:rPr>
            </w:pPr>
            <w:r w:rsidRPr="009B78DA">
              <w:rPr>
                <w:rFonts w:ascii="Arial" w:hAnsi="Arial" w:cs="Arial"/>
                <w:color w:val="000000" w:themeColor="text1"/>
                <w:sz w:val="22"/>
                <w:szCs w:val="22"/>
              </w:rPr>
              <w:t>Zwiększenie atrakcyjności turystycznej</w:t>
            </w:r>
          </w:p>
        </w:tc>
        <w:tc>
          <w:tcPr>
            <w:tcW w:w="5103" w:type="dxa"/>
          </w:tcPr>
          <w:p w14:paraId="408F351D" w14:textId="77777777" w:rsidR="0014581E" w:rsidRPr="009B78DA" w:rsidRDefault="0014581E" w:rsidP="00DC69EA">
            <w:pPr>
              <w:pStyle w:val="Akapitzlist"/>
              <w:numPr>
                <w:ilvl w:val="0"/>
                <w:numId w:val="249"/>
              </w:numPr>
              <w:spacing w:line="288" w:lineRule="auto"/>
              <w:ind w:left="171" w:hanging="284"/>
              <w:contextualSpacing w:val="0"/>
              <w:rPr>
                <w:rFonts w:ascii="Arial" w:hAnsi="Arial" w:cs="Arial"/>
                <w:color w:val="000000" w:themeColor="text1"/>
                <w:sz w:val="22"/>
                <w:szCs w:val="22"/>
              </w:rPr>
            </w:pPr>
            <w:r w:rsidRPr="009B78DA">
              <w:rPr>
                <w:rFonts w:ascii="Arial" w:hAnsi="Arial" w:cs="Arial"/>
                <w:color w:val="000000" w:themeColor="text1"/>
                <w:sz w:val="22"/>
                <w:szCs w:val="22"/>
              </w:rPr>
              <w:t>Bardzo duże koszty budowy infrastruktury kolejowej</w:t>
            </w:r>
          </w:p>
          <w:p w14:paraId="50F57A31" w14:textId="77777777" w:rsidR="0014581E" w:rsidRPr="009B78DA" w:rsidRDefault="0014581E" w:rsidP="00DC69EA">
            <w:pPr>
              <w:pStyle w:val="Akapitzlist"/>
              <w:numPr>
                <w:ilvl w:val="0"/>
                <w:numId w:val="249"/>
              </w:numPr>
              <w:spacing w:line="288" w:lineRule="auto"/>
              <w:ind w:left="171" w:hanging="284"/>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Bardzo duże koszty utrzymania systemu </w:t>
            </w:r>
          </w:p>
          <w:p w14:paraId="745D8FC6" w14:textId="77777777" w:rsidR="0014581E" w:rsidRPr="009B78DA" w:rsidRDefault="0014581E" w:rsidP="00DC69EA">
            <w:pPr>
              <w:pStyle w:val="Akapitzlist"/>
              <w:numPr>
                <w:ilvl w:val="0"/>
                <w:numId w:val="249"/>
              </w:numPr>
              <w:spacing w:line="288" w:lineRule="auto"/>
              <w:ind w:left="171" w:hanging="284"/>
              <w:contextualSpacing w:val="0"/>
              <w:rPr>
                <w:rFonts w:ascii="Arial" w:hAnsi="Arial" w:cs="Arial"/>
                <w:color w:val="000000" w:themeColor="text1"/>
                <w:sz w:val="22"/>
                <w:szCs w:val="22"/>
              </w:rPr>
            </w:pPr>
            <w:r w:rsidRPr="009B78DA">
              <w:rPr>
                <w:rFonts w:ascii="Arial" w:hAnsi="Arial" w:cs="Arial"/>
                <w:color w:val="000000" w:themeColor="text1"/>
                <w:sz w:val="22"/>
                <w:szCs w:val="22"/>
              </w:rPr>
              <w:t>Ryzyko przeskalowania inwestycji kolejowych</w:t>
            </w:r>
          </w:p>
          <w:p w14:paraId="4461A74D" w14:textId="77777777" w:rsidR="0014581E" w:rsidRPr="009B78DA" w:rsidRDefault="0014581E" w:rsidP="00DC69EA">
            <w:pPr>
              <w:pStyle w:val="Akapitzlist"/>
              <w:numPr>
                <w:ilvl w:val="0"/>
                <w:numId w:val="249"/>
              </w:numPr>
              <w:spacing w:line="288" w:lineRule="auto"/>
              <w:ind w:left="171" w:hanging="284"/>
              <w:contextualSpacing w:val="0"/>
              <w:rPr>
                <w:rFonts w:ascii="Arial" w:hAnsi="Arial" w:cs="Arial"/>
                <w:color w:val="000000" w:themeColor="text1"/>
                <w:sz w:val="22"/>
                <w:szCs w:val="22"/>
              </w:rPr>
            </w:pPr>
            <w:r w:rsidRPr="009B78DA">
              <w:rPr>
                <w:rFonts w:ascii="Arial" w:hAnsi="Arial" w:cs="Arial"/>
                <w:color w:val="000000" w:themeColor="text1"/>
                <w:sz w:val="22"/>
                <w:szCs w:val="22"/>
              </w:rPr>
              <w:t>Uzależnienie od inwestycji i działań centralnych</w:t>
            </w:r>
          </w:p>
          <w:p w14:paraId="2D2E382A" w14:textId="77777777" w:rsidR="0014581E" w:rsidRPr="009B78DA" w:rsidRDefault="0014581E" w:rsidP="00DC69EA">
            <w:pPr>
              <w:pStyle w:val="Akapitzlist"/>
              <w:numPr>
                <w:ilvl w:val="0"/>
                <w:numId w:val="249"/>
              </w:numPr>
              <w:spacing w:line="288" w:lineRule="auto"/>
              <w:ind w:left="171" w:hanging="284"/>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Bardzo niewielki efekt ograniczenia emisji na terenach słabo zaludnionych </w:t>
            </w:r>
          </w:p>
          <w:p w14:paraId="715BFEED" w14:textId="7D938ECF" w:rsidR="000470C4" w:rsidRPr="009B78DA" w:rsidRDefault="000470C4" w:rsidP="00DC69EA">
            <w:pPr>
              <w:pStyle w:val="Akapitzlist"/>
              <w:numPr>
                <w:ilvl w:val="0"/>
                <w:numId w:val="249"/>
              </w:numPr>
              <w:spacing w:line="288" w:lineRule="auto"/>
              <w:ind w:left="171" w:hanging="284"/>
              <w:contextualSpacing w:val="0"/>
              <w:rPr>
                <w:rFonts w:ascii="Arial" w:hAnsi="Arial" w:cs="Arial"/>
                <w:color w:val="000000" w:themeColor="text1"/>
                <w:sz w:val="22"/>
                <w:szCs w:val="22"/>
              </w:rPr>
            </w:pPr>
            <w:r w:rsidRPr="009B78DA">
              <w:rPr>
                <w:rFonts w:ascii="Arial" w:hAnsi="Arial" w:cs="Arial"/>
                <w:color w:val="000000" w:themeColor="text1"/>
                <w:sz w:val="22"/>
                <w:szCs w:val="22"/>
              </w:rPr>
              <w:t>Presja ze strony JST i mieszkańców, użytkowników dróg</w:t>
            </w:r>
          </w:p>
        </w:tc>
      </w:tr>
    </w:tbl>
    <w:p w14:paraId="3B4A7264" w14:textId="77777777" w:rsidR="00CA2BD5" w:rsidRPr="009B78DA" w:rsidRDefault="00CA2BD5" w:rsidP="00F21C4A">
      <w:pPr>
        <w:spacing w:before="40" w:after="0" w:line="288" w:lineRule="auto"/>
        <w:rPr>
          <w:rFonts w:ascii="Arial" w:hAnsi="Arial" w:cs="Arial"/>
          <w:color w:val="000000" w:themeColor="text1"/>
          <w:sz w:val="22"/>
          <w:szCs w:val="22"/>
        </w:rPr>
      </w:pPr>
      <w:r w:rsidRPr="009B78DA">
        <w:rPr>
          <w:rFonts w:ascii="Arial" w:hAnsi="Arial" w:cs="Arial"/>
          <w:color w:val="000000" w:themeColor="text1"/>
          <w:sz w:val="22"/>
          <w:szCs w:val="22"/>
        </w:rPr>
        <w:t>Źródło: Opracowanie własne.</w:t>
      </w:r>
    </w:p>
    <w:p w14:paraId="5FCC5361" w14:textId="3CD978A7" w:rsidR="0007194B" w:rsidRPr="009B78DA" w:rsidRDefault="0007194B" w:rsidP="00F21C4A">
      <w:pPr>
        <w:pStyle w:val="Legenda"/>
        <w:keepNext/>
        <w:rPr>
          <w:rFonts w:ascii="Arial" w:hAnsi="Arial" w:cs="Arial"/>
          <w:i w:val="0"/>
          <w:color w:val="000000" w:themeColor="text1"/>
          <w:sz w:val="22"/>
          <w:szCs w:val="22"/>
        </w:rPr>
      </w:pPr>
      <w:bookmarkStart w:id="245" w:name="_Toc146785687"/>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Schemat dla wariantu 3. Skokowego przesunięcia gałęziowego, na rzecz minimalizacji kosztów klimatycznych i środowiskowych.</w:t>
      </w:r>
      <w:bookmarkEnd w:id="245"/>
    </w:p>
    <w:p w14:paraId="16684E06" w14:textId="42EE07AC" w:rsidR="003F293E" w:rsidRPr="009B78DA" w:rsidRDefault="003F293E" w:rsidP="003F293E">
      <w:pPr>
        <w:jc w:val="center"/>
        <w:rPr>
          <w:color w:val="000000" w:themeColor="text1"/>
        </w:rPr>
      </w:pPr>
      <w:r w:rsidRPr="009B78DA">
        <w:rPr>
          <w:noProof/>
          <w:color w:val="000000" w:themeColor="text1"/>
        </w:rPr>
        <w:drawing>
          <wp:inline distT="0" distB="0" distL="0" distR="0" wp14:anchorId="40A92E3F" wp14:editId="73C000FD">
            <wp:extent cx="3038400" cy="3931200"/>
            <wp:effectExtent l="0" t="0" r="0" b="0"/>
            <wp:docPr id="75" name="Obraz 75" descr="Województwo podkarpackie w tym: środek główny zaznaczony w centralnej części, ośrodki subregionalne (bieguny wzrostu) oraz inne ośrodki. Ponadto pokazane są komunikacyjne powiązania główne w kierunkach Wschód, Zachód, Północ Południe i Północny –Zachód oraz komunikacyjne powiązania II rzędu w kierunkach od środka Północny - Zachód, Północny - Wschód, Południowy - Wschód, Południowy - Zachód. Pokazane są również komunikacyjne powiazania III rzędu" title="Rysunek 58 Schemat dla wariantu 3. Skokowego przesunięcia gałęziowego, na rzecz minimalizacji kosztów klimatycznych i środowiskowy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Obraz 75"/>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038400" cy="3931200"/>
                    </a:xfrm>
                    <a:prstGeom prst="rect">
                      <a:avLst/>
                    </a:prstGeom>
                  </pic:spPr>
                </pic:pic>
              </a:graphicData>
            </a:graphic>
          </wp:inline>
        </w:drawing>
      </w:r>
    </w:p>
    <w:p w14:paraId="5023986E" w14:textId="7C9C2F2F" w:rsidR="003F293E" w:rsidRPr="009B78DA" w:rsidRDefault="003F293E" w:rsidP="00F21C4A">
      <w:pPr>
        <w:spacing w:after="120" w:line="288" w:lineRule="auto"/>
        <w:jc w:val="center"/>
        <w:rPr>
          <w:rFonts w:ascii="Arial" w:hAnsi="Arial" w:cs="Arial"/>
          <w:color w:val="000000" w:themeColor="text1"/>
          <w:sz w:val="22"/>
          <w:szCs w:val="22"/>
        </w:rPr>
      </w:pPr>
      <w:r w:rsidRPr="009B78DA">
        <w:rPr>
          <w:rFonts w:ascii="Arial" w:hAnsi="Arial" w:cs="Arial"/>
          <w:color w:val="000000" w:themeColor="text1"/>
          <w:sz w:val="22"/>
          <w:szCs w:val="22"/>
        </w:rPr>
        <w:t>Źródło: Opracowanie własne.</w:t>
      </w:r>
    </w:p>
    <w:p w14:paraId="57CF6FEF" w14:textId="193CD59E" w:rsidR="0014581E" w:rsidRPr="009B78DA" w:rsidRDefault="0014581E" w:rsidP="00F21C4A">
      <w:pPr>
        <w:spacing w:after="0" w:line="288" w:lineRule="auto"/>
        <w:rPr>
          <w:rFonts w:ascii="Arial" w:hAnsi="Arial" w:cs="Arial"/>
          <w:color w:val="000000" w:themeColor="text1"/>
          <w:sz w:val="22"/>
          <w:szCs w:val="22"/>
        </w:rPr>
      </w:pPr>
      <w:r w:rsidRPr="009B78DA">
        <w:rPr>
          <w:rFonts w:ascii="Arial" w:hAnsi="Arial" w:cs="Arial"/>
          <w:b/>
          <w:color w:val="000000" w:themeColor="text1"/>
          <w:sz w:val="22"/>
          <w:szCs w:val="22"/>
        </w:rPr>
        <w:t>Wariant 4. Równomiernego rozwoju multimodalnego</w:t>
      </w:r>
    </w:p>
    <w:p w14:paraId="0979D66D" w14:textId="7F907DAE" w:rsidR="00ED21AB" w:rsidRPr="009B78DA" w:rsidRDefault="0014581E" w:rsidP="00F21C4A">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Założeniem wariantu jest wyważenie maksymalizacji efektów zarówno w zakresie poprawy dostępności (wewnętrznej i zewnętrznej), jak </w:t>
      </w:r>
      <w:r w:rsidR="004C1920" w:rsidRPr="009B78DA">
        <w:rPr>
          <w:rFonts w:ascii="Arial" w:hAnsi="Arial" w:cs="Arial"/>
          <w:color w:val="000000" w:themeColor="text1"/>
          <w:sz w:val="22"/>
          <w:szCs w:val="22"/>
        </w:rPr>
        <w:t>i</w:t>
      </w:r>
      <w:r w:rsidRPr="009B78DA">
        <w:rPr>
          <w:rFonts w:ascii="Arial" w:hAnsi="Arial" w:cs="Arial"/>
          <w:color w:val="000000" w:themeColor="text1"/>
          <w:sz w:val="22"/>
          <w:szCs w:val="22"/>
        </w:rPr>
        <w:t xml:space="preserve"> pod względem uciążliwości transportu dla środowiska i klimatu, z uwzględnieniem realnej sytuacji demograficznej, ekonomicznej oraz instytucjonalnej (rozkład kompetencji). Dlatego wariant zakłada oparcie rozwoju sieci transportowej o bieguny wzrostu wyznaczone w </w:t>
      </w:r>
      <w:r w:rsidRPr="009B78DA">
        <w:rPr>
          <w:rFonts w:ascii="Arial" w:hAnsi="Arial" w:cs="Arial"/>
          <w:i/>
          <w:iCs/>
          <w:color w:val="000000" w:themeColor="text1"/>
          <w:sz w:val="22"/>
          <w:szCs w:val="22"/>
        </w:rPr>
        <w:t>Strategii Rozwoju Województwa – Podkarpackie 2030</w:t>
      </w:r>
      <w:r w:rsidRPr="009B78DA">
        <w:rPr>
          <w:rFonts w:ascii="Arial" w:hAnsi="Arial" w:cs="Arial"/>
          <w:color w:val="000000" w:themeColor="text1"/>
          <w:sz w:val="22"/>
          <w:szCs w:val="22"/>
        </w:rPr>
        <w:t xml:space="preserve">. Są to poza Rzeszowem, miasta średnie, dla których utrzymanie funkcji oraz mieszkańców jest kluczowe dla zapewnienia województwu podstawowej siatki usług publicznych. Dlatego inwestycje zarówno drogowe, jak i kolejowe </w:t>
      </w:r>
      <w:r w:rsidR="00A9775F" w:rsidRPr="009B78DA">
        <w:rPr>
          <w:rFonts w:ascii="Arial" w:hAnsi="Arial" w:cs="Arial"/>
          <w:color w:val="000000" w:themeColor="text1"/>
          <w:sz w:val="22"/>
          <w:szCs w:val="22"/>
        </w:rPr>
        <w:t>będą mieć</w:t>
      </w:r>
      <w:r w:rsidRPr="009B78DA">
        <w:rPr>
          <w:rFonts w:ascii="Arial" w:hAnsi="Arial" w:cs="Arial"/>
          <w:color w:val="000000" w:themeColor="text1"/>
          <w:sz w:val="22"/>
          <w:szCs w:val="22"/>
        </w:rPr>
        <w:t xml:space="preserve"> na celu w pierwszej kolejności powiązanie tych miast ze sobą oraz w układach zewnętrznych (szczególnie z Warszawą, Krakowem, Kielcami i Lublinem). Oznacza to budowę lub modernizację ciągów dróg wojewódzkich uzupełniających sieć krajową oraz dowiązujących ośrodki do sieci TEN-T. W przypadku sieci kolejowej, szczególnie istotna </w:t>
      </w:r>
      <w:r w:rsidR="00A9775F"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modernizacja linii oraz budowa brakujących łączników pozwalających na skrócenie przejazdów między miastami. Ocena racjonalności inwestycji kolejowych opiera</w:t>
      </w:r>
      <w:r w:rsidR="00A9775F" w:rsidRPr="009B78DA">
        <w:rPr>
          <w:rFonts w:ascii="Arial" w:hAnsi="Arial" w:cs="Arial"/>
          <w:color w:val="000000" w:themeColor="text1"/>
          <w:sz w:val="22"/>
          <w:szCs w:val="22"/>
        </w:rPr>
        <w:t>ć</w:t>
      </w:r>
      <w:r w:rsidRPr="009B78DA">
        <w:rPr>
          <w:rFonts w:ascii="Arial" w:hAnsi="Arial" w:cs="Arial"/>
          <w:color w:val="000000" w:themeColor="text1"/>
          <w:sz w:val="22"/>
          <w:szCs w:val="22"/>
        </w:rPr>
        <w:t xml:space="preserve"> się </w:t>
      </w:r>
      <w:r w:rsidR="00A9775F" w:rsidRPr="009B78DA">
        <w:rPr>
          <w:rFonts w:ascii="Arial" w:hAnsi="Arial" w:cs="Arial"/>
          <w:color w:val="000000" w:themeColor="text1"/>
          <w:sz w:val="22"/>
          <w:szCs w:val="22"/>
        </w:rPr>
        <w:t xml:space="preserve">będzie </w:t>
      </w:r>
      <w:r w:rsidRPr="009B78DA">
        <w:rPr>
          <w:rFonts w:ascii="Arial" w:hAnsi="Arial" w:cs="Arial"/>
          <w:color w:val="000000" w:themeColor="text1"/>
          <w:sz w:val="22"/>
          <w:szCs w:val="22"/>
        </w:rPr>
        <w:t>na oczekiwanym efekcie w zakresie przesunięcia gałęziowego. Da</w:t>
      </w:r>
      <w:r w:rsidR="00A9775F" w:rsidRPr="009B78DA">
        <w:rPr>
          <w:rFonts w:ascii="Arial" w:hAnsi="Arial" w:cs="Arial"/>
          <w:color w:val="000000" w:themeColor="text1"/>
          <w:sz w:val="22"/>
          <w:szCs w:val="22"/>
        </w:rPr>
        <w:t>wać to będzie</w:t>
      </w:r>
      <w:r w:rsidRPr="009B78DA">
        <w:rPr>
          <w:rFonts w:ascii="Arial" w:hAnsi="Arial" w:cs="Arial"/>
          <w:color w:val="000000" w:themeColor="text1"/>
          <w:sz w:val="22"/>
          <w:szCs w:val="22"/>
        </w:rPr>
        <w:t xml:space="preserve"> preferencje do działań na liniach magistralnych oraz w obrębie metropolii rzeszowskiej (PKA). Na terenach słabiej zaludnionych transport publiczny </w:t>
      </w:r>
      <w:r w:rsidR="00A9775F" w:rsidRPr="009B78DA">
        <w:rPr>
          <w:rFonts w:ascii="Arial" w:hAnsi="Arial" w:cs="Arial"/>
          <w:color w:val="000000" w:themeColor="text1"/>
          <w:sz w:val="22"/>
          <w:szCs w:val="22"/>
        </w:rPr>
        <w:t>będzie mógł</w:t>
      </w:r>
      <w:r w:rsidRPr="009B78DA">
        <w:rPr>
          <w:rFonts w:ascii="Arial" w:hAnsi="Arial" w:cs="Arial"/>
          <w:color w:val="000000" w:themeColor="text1"/>
          <w:sz w:val="22"/>
          <w:szCs w:val="22"/>
        </w:rPr>
        <w:t xml:space="preserve"> być zapewniony dzięki komunikacji autobusowej (z taborem zero lub niskoemisyjnym). Na obszarach najbardziej peryferyjnych o rozproszonym osadnictwie rozwiązaniem </w:t>
      </w:r>
      <w:r w:rsidR="00A9775F" w:rsidRPr="009B78DA">
        <w:rPr>
          <w:rFonts w:ascii="Arial" w:hAnsi="Arial" w:cs="Arial"/>
          <w:color w:val="000000" w:themeColor="text1"/>
          <w:sz w:val="22"/>
          <w:szCs w:val="22"/>
        </w:rPr>
        <w:t>będą</w:t>
      </w:r>
      <w:r w:rsidRPr="009B78DA">
        <w:rPr>
          <w:rFonts w:ascii="Arial" w:hAnsi="Arial" w:cs="Arial"/>
          <w:color w:val="000000" w:themeColor="text1"/>
          <w:sz w:val="22"/>
          <w:szCs w:val="22"/>
        </w:rPr>
        <w:t xml:space="preserve"> alternatywne formy transportu (</w:t>
      </w:r>
      <w:r w:rsidR="00A9775F" w:rsidRPr="009B78DA">
        <w:rPr>
          <w:rFonts w:ascii="Arial" w:hAnsi="Arial" w:cs="Arial"/>
          <w:color w:val="000000" w:themeColor="text1"/>
          <w:sz w:val="22"/>
          <w:szCs w:val="22"/>
        </w:rPr>
        <w:t xml:space="preserve">typu </w:t>
      </w:r>
      <w:r w:rsidRPr="009B78DA">
        <w:rPr>
          <w:rFonts w:ascii="Arial" w:hAnsi="Arial" w:cs="Arial"/>
          <w:color w:val="000000" w:themeColor="text1"/>
          <w:sz w:val="22"/>
          <w:szCs w:val="22"/>
        </w:rPr>
        <w:t xml:space="preserve">autobus na życzenie, </w:t>
      </w:r>
      <w:r w:rsidRPr="009B78DA">
        <w:rPr>
          <w:rFonts w:ascii="Arial" w:hAnsi="Arial" w:cs="Arial"/>
          <w:i/>
          <w:color w:val="000000" w:themeColor="text1"/>
          <w:sz w:val="22"/>
          <w:szCs w:val="22"/>
        </w:rPr>
        <w:t>car</w:t>
      </w:r>
      <w:r w:rsidR="00E959F4" w:rsidRPr="009B78DA">
        <w:rPr>
          <w:rFonts w:ascii="Arial" w:hAnsi="Arial" w:cs="Arial"/>
          <w:i/>
          <w:color w:val="000000" w:themeColor="text1"/>
          <w:sz w:val="22"/>
          <w:szCs w:val="22"/>
        </w:rPr>
        <w:t>-</w:t>
      </w:r>
      <w:r w:rsidRPr="009B78DA">
        <w:rPr>
          <w:rFonts w:ascii="Arial" w:hAnsi="Arial" w:cs="Arial"/>
          <w:i/>
          <w:color w:val="000000" w:themeColor="text1"/>
          <w:sz w:val="22"/>
          <w:szCs w:val="22"/>
        </w:rPr>
        <w:t xml:space="preserve"> sharing, car</w:t>
      </w:r>
      <w:r w:rsidR="00E959F4" w:rsidRPr="009B78DA">
        <w:rPr>
          <w:rFonts w:ascii="Arial" w:hAnsi="Arial" w:cs="Arial"/>
          <w:i/>
          <w:color w:val="000000" w:themeColor="text1"/>
          <w:sz w:val="22"/>
          <w:szCs w:val="22"/>
        </w:rPr>
        <w:t>-</w:t>
      </w:r>
      <w:r w:rsidRPr="009B78DA">
        <w:rPr>
          <w:rFonts w:ascii="Arial" w:hAnsi="Arial" w:cs="Arial"/>
          <w:i/>
          <w:color w:val="000000" w:themeColor="text1"/>
          <w:sz w:val="22"/>
          <w:szCs w:val="22"/>
        </w:rPr>
        <w:t>pooling</w:t>
      </w:r>
      <w:r w:rsidR="00A9775F" w:rsidRPr="009B78DA">
        <w:rPr>
          <w:rFonts w:ascii="Arial" w:hAnsi="Arial" w:cs="Arial"/>
          <w:i/>
          <w:color w:val="000000" w:themeColor="text1"/>
          <w:sz w:val="22"/>
          <w:szCs w:val="22"/>
        </w:rPr>
        <w:t>, itp.</w:t>
      </w:r>
      <w:r w:rsidR="00F21C4A">
        <w:rPr>
          <w:rFonts w:ascii="Arial" w:hAnsi="Arial" w:cs="Arial"/>
          <w:color w:val="000000" w:themeColor="text1"/>
          <w:sz w:val="22"/>
          <w:szCs w:val="22"/>
        </w:rPr>
        <w:t>).</w:t>
      </w:r>
    </w:p>
    <w:p w14:paraId="1F4858C2" w14:textId="1FCE6D21" w:rsidR="0014581E" w:rsidRPr="009B78DA" w:rsidRDefault="0014581E" w:rsidP="00F21C4A">
      <w:pPr>
        <w:spacing w:after="0" w:line="288"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Ograniczenia dla ruchu samochodów spalinowych, przy jednoczesnych preferencjach dla transportu publicznego wprowadzane </w:t>
      </w:r>
      <w:r w:rsidR="00A9775F" w:rsidRPr="009B78DA">
        <w:rPr>
          <w:rFonts w:ascii="Arial" w:hAnsi="Arial" w:cs="Arial"/>
          <w:color w:val="000000" w:themeColor="text1"/>
          <w:sz w:val="22"/>
          <w:szCs w:val="22"/>
        </w:rPr>
        <w:t>będą</w:t>
      </w:r>
      <w:r w:rsidRPr="009B78DA">
        <w:rPr>
          <w:rFonts w:ascii="Arial" w:hAnsi="Arial" w:cs="Arial"/>
          <w:color w:val="000000" w:themeColor="text1"/>
          <w:sz w:val="22"/>
          <w:szCs w:val="22"/>
        </w:rPr>
        <w:t xml:space="preserve"> jedynie w </w:t>
      </w:r>
      <w:r w:rsidR="00C00D13" w:rsidRPr="009B78DA">
        <w:rPr>
          <w:rFonts w:ascii="Arial" w:hAnsi="Arial" w:cs="Arial"/>
          <w:color w:val="000000" w:themeColor="text1"/>
          <w:sz w:val="22"/>
          <w:szCs w:val="22"/>
        </w:rPr>
        <w:t>ROF</w:t>
      </w:r>
      <w:r w:rsidRPr="009B78DA">
        <w:rPr>
          <w:rFonts w:ascii="Arial" w:hAnsi="Arial" w:cs="Arial"/>
          <w:color w:val="000000" w:themeColor="text1"/>
          <w:sz w:val="22"/>
          <w:szCs w:val="22"/>
        </w:rPr>
        <w:t xml:space="preserve"> (gdzie ich efekt może być największy). W pozostałych MOF transport publiczny </w:t>
      </w:r>
      <w:r w:rsidR="00A9775F"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także wspierany. Wspierany </w:t>
      </w:r>
      <w:r w:rsidR="00A9775F"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także rozwój infrastruktury dla pojazdów elektrycznych. Jednak z uwagi na charakter osadnictwa oraz policentryczny układ rynku pracy, za najbardziej efektywny sposób ograniczania emisji i kongestii w Rzeszowie i innych MOF przyjmuje się rozwiązania multimodalne zachęcające do przesiadania się na transport publiczny (park and ride, bike and ride). Preferowane </w:t>
      </w:r>
      <w:r w:rsidR="00A9775F"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także powstawanie ścieżek rower</w:t>
      </w:r>
      <w:r w:rsidR="00F21C4A">
        <w:rPr>
          <w:rFonts w:ascii="Arial" w:hAnsi="Arial" w:cs="Arial"/>
          <w:color w:val="000000" w:themeColor="text1"/>
          <w:sz w:val="22"/>
          <w:szCs w:val="22"/>
        </w:rPr>
        <w:t>owych przy drogach zamiejskich.</w:t>
      </w:r>
    </w:p>
    <w:p w14:paraId="402E5EFD" w14:textId="6177DAB0" w:rsidR="00F346CE" w:rsidRPr="009B78DA" w:rsidRDefault="00F346CE" w:rsidP="00F21C4A">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rPr>
        <w:t>Koncentracja działań na wzmacnianiu subregionalnych biegunów wzrostu jest tym bardziej racjonalna w warunkach prognozowanych spadków dojazdu do pracy w większości powiatów.</w:t>
      </w:r>
    </w:p>
    <w:p w14:paraId="4D610B50" w14:textId="326FC951" w:rsidR="0014581E" w:rsidRPr="009B78DA" w:rsidRDefault="0014581E" w:rsidP="00F21C4A">
      <w:pPr>
        <w:spacing w:after="120" w:line="288" w:lineRule="auto"/>
        <w:rPr>
          <w:rFonts w:ascii="Arial" w:hAnsi="Arial" w:cs="Arial"/>
          <w:color w:val="000000" w:themeColor="text1"/>
          <w:sz w:val="22"/>
          <w:szCs w:val="22"/>
        </w:rPr>
      </w:pPr>
      <w:r w:rsidRPr="009B78DA">
        <w:rPr>
          <w:rFonts w:ascii="Arial" w:hAnsi="Arial" w:cs="Arial"/>
          <w:color w:val="000000" w:themeColor="text1"/>
          <w:sz w:val="22"/>
          <w:szCs w:val="22"/>
          <w:u w:val="single"/>
        </w:rPr>
        <w:t>Miarami realizacji</w:t>
      </w:r>
      <w:r w:rsidRPr="009B78DA">
        <w:rPr>
          <w:rFonts w:ascii="Arial" w:hAnsi="Arial" w:cs="Arial"/>
          <w:color w:val="000000" w:themeColor="text1"/>
          <w:sz w:val="22"/>
          <w:szCs w:val="22"/>
        </w:rPr>
        <w:t xml:space="preserve"> takiego wariantu (wskaźnikami ewaluacyjnymi) są m.in.: długość nowych i/lub zmodernizowanych dróg i linii kolejowych które bezpośrednio łączą MOF w regionie, długość dróg wojewódzkich o określonej nośności, długość linii kolejowych o określonej prędkości technicznej, liczba węzłów przesiadkowych multimodalnych, czas dojazdu do Rzeszowa oraz innych MOF z miast powiatowych, czas dojazdu między MOF (transport indywidualny i zbiorowy), integracja rozkładowa i biletowa transportu publicznego w </w:t>
      </w:r>
      <w:r w:rsidR="00C00D13" w:rsidRPr="009B78DA">
        <w:rPr>
          <w:rFonts w:ascii="Arial" w:hAnsi="Arial" w:cs="Arial"/>
          <w:color w:val="000000" w:themeColor="text1"/>
          <w:sz w:val="22"/>
          <w:szCs w:val="22"/>
        </w:rPr>
        <w:t>ROF</w:t>
      </w:r>
      <w:r w:rsidRPr="009B78DA">
        <w:rPr>
          <w:rFonts w:ascii="Arial" w:hAnsi="Arial" w:cs="Arial"/>
          <w:color w:val="000000" w:themeColor="text1"/>
          <w:sz w:val="22"/>
          <w:szCs w:val="22"/>
        </w:rPr>
        <w:t xml:space="preserve"> oraz w innych MOF, struktura gałęziowa przewozów pasażerskich i towarowych, poziom emisji CO2 (w wybranych miastach) oraz liczba dni ze smogiem w wybranych MOF, udział transportu publicznego w przewozach w obrębie MOF, długość zmodernizowanych (zelektryfikowanych) linii kolejowych, długość wybudowanych ścieżek rowerowych, długość wybudowanych obwodnic drogowych.</w:t>
      </w:r>
    </w:p>
    <w:p w14:paraId="3BDC47C3" w14:textId="04D04778" w:rsidR="004F5E7C" w:rsidRPr="009B78DA" w:rsidRDefault="004F5E7C" w:rsidP="00F21C4A">
      <w:pPr>
        <w:pStyle w:val="Legenda"/>
        <w:keepNext/>
        <w:rPr>
          <w:rFonts w:ascii="Arial" w:hAnsi="Arial" w:cs="Arial"/>
          <w:i w:val="0"/>
          <w:color w:val="000000" w:themeColor="text1"/>
          <w:sz w:val="22"/>
          <w:szCs w:val="22"/>
        </w:rPr>
      </w:pPr>
      <w:bookmarkStart w:id="246" w:name="_Toc146785750"/>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20</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r w:rsidRPr="009B78DA">
        <w:rPr>
          <w:rFonts w:ascii="Arial" w:hAnsi="Arial" w:cs="Arial"/>
          <w:i w:val="0"/>
          <w:color w:val="000000" w:themeColor="text1"/>
          <w:sz w:val="22"/>
          <w:szCs w:val="22"/>
          <w:lang w:eastAsia="en-US"/>
        </w:rPr>
        <w:t>Główne zalety i wady dla wariantu 4.</w:t>
      </w:r>
      <w:bookmarkEnd w:id="246"/>
    </w:p>
    <w:tbl>
      <w:tblPr>
        <w:tblStyle w:val="Tabela-Siatka"/>
        <w:tblW w:w="0" w:type="auto"/>
        <w:tblLook w:val="04A0" w:firstRow="1" w:lastRow="0" w:firstColumn="1" w:lastColumn="0" w:noHBand="0" w:noVBand="1"/>
        <w:tblCaption w:val="Tabela 20 Główne zalety i wady dla wariantu 4."/>
        <w:tblDescription w:val="Tabela zawiera Główne zalety wariantu i Główne wady wariantu"/>
      </w:tblPr>
      <w:tblGrid>
        <w:gridCol w:w="5382"/>
        <w:gridCol w:w="3680"/>
      </w:tblGrid>
      <w:tr w:rsidR="006F4FD2" w:rsidRPr="009B78DA" w14:paraId="6F98D512" w14:textId="77777777" w:rsidTr="0099520C">
        <w:trPr>
          <w:tblHeader/>
        </w:trPr>
        <w:tc>
          <w:tcPr>
            <w:tcW w:w="5382" w:type="dxa"/>
            <w:shd w:val="clear" w:color="auto" w:fill="DEEAF6" w:themeFill="accent1" w:themeFillTint="33"/>
          </w:tcPr>
          <w:p w14:paraId="1B2D8EE7" w14:textId="77777777" w:rsidR="0014581E" w:rsidRPr="009B78DA" w:rsidRDefault="0014581E" w:rsidP="00736A44">
            <w:pPr>
              <w:spacing w:line="288" w:lineRule="auto"/>
              <w:jc w:val="both"/>
              <w:rPr>
                <w:rFonts w:ascii="Arial" w:hAnsi="Arial" w:cs="Arial"/>
                <w:color w:val="000000" w:themeColor="text1"/>
                <w:sz w:val="22"/>
                <w:szCs w:val="22"/>
              </w:rPr>
            </w:pPr>
            <w:r w:rsidRPr="009B78DA">
              <w:rPr>
                <w:rFonts w:ascii="Arial" w:hAnsi="Arial" w:cs="Arial"/>
                <w:color w:val="000000" w:themeColor="text1"/>
                <w:sz w:val="22"/>
                <w:szCs w:val="22"/>
              </w:rPr>
              <w:t>Główne zalety wariantu</w:t>
            </w:r>
          </w:p>
        </w:tc>
        <w:tc>
          <w:tcPr>
            <w:tcW w:w="3680" w:type="dxa"/>
            <w:shd w:val="clear" w:color="auto" w:fill="DEEAF6" w:themeFill="accent1" w:themeFillTint="33"/>
          </w:tcPr>
          <w:p w14:paraId="3DCFFFE5" w14:textId="77777777" w:rsidR="0014581E" w:rsidRPr="009B78DA" w:rsidRDefault="0014581E" w:rsidP="00736A44">
            <w:pPr>
              <w:spacing w:line="288" w:lineRule="auto"/>
              <w:jc w:val="both"/>
              <w:rPr>
                <w:rFonts w:ascii="Arial" w:hAnsi="Arial" w:cs="Arial"/>
                <w:color w:val="000000" w:themeColor="text1"/>
                <w:sz w:val="22"/>
                <w:szCs w:val="22"/>
              </w:rPr>
            </w:pPr>
            <w:r w:rsidRPr="009B78DA">
              <w:rPr>
                <w:rFonts w:ascii="Arial" w:hAnsi="Arial" w:cs="Arial"/>
                <w:color w:val="000000" w:themeColor="text1"/>
                <w:sz w:val="22"/>
                <w:szCs w:val="22"/>
              </w:rPr>
              <w:t>Główne wady wariantu</w:t>
            </w:r>
          </w:p>
        </w:tc>
      </w:tr>
      <w:tr w:rsidR="006F4FD2" w:rsidRPr="009B78DA" w14:paraId="15DF7874" w14:textId="77777777" w:rsidTr="00ED21AB">
        <w:tc>
          <w:tcPr>
            <w:tcW w:w="5382" w:type="dxa"/>
          </w:tcPr>
          <w:p w14:paraId="55330E6C" w14:textId="101932BD" w:rsidR="0014581E" w:rsidRPr="009B78DA" w:rsidRDefault="0014581E" w:rsidP="00E1143F">
            <w:pPr>
              <w:pStyle w:val="Akapitzlist"/>
              <w:numPr>
                <w:ilvl w:val="0"/>
                <w:numId w:val="251"/>
              </w:numPr>
              <w:spacing w:line="288" w:lineRule="auto"/>
              <w:ind w:left="318" w:hanging="284"/>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Koncentracja działań ograniczających emisję </w:t>
            </w:r>
            <w:r w:rsidR="00F21C4A">
              <w:rPr>
                <w:rFonts w:ascii="Arial" w:hAnsi="Arial" w:cs="Arial"/>
                <w:color w:val="000000" w:themeColor="text1"/>
                <w:sz w:val="22"/>
                <w:szCs w:val="22"/>
              </w:rPr>
              <w:br/>
            </w:r>
            <w:r w:rsidRPr="009B78DA">
              <w:rPr>
                <w:rFonts w:ascii="Arial" w:hAnsi="Arial" w:cs="Arial"/>
                <w:color w:val="000000" w:themeColor="text1"/>
                <w:sz w:val="22"/>
                <w:szCs w:val="22"/>
              </w:rPr>
              <w:t>w miejscach gdzie są one najbardziej efektywne</w:t>
            </w:r>
          </w:p>
          <w:p w14:paraId="22BD1AE1" w14:textId="77777777" w:rsidR="0014581E" w:rsidRPr="009B78DA" w:rsidRDefault="0014581E" w:rsidP="00E1143F">
            <w:pPr>
              <w:pStyle w:val="Akapitzlist"/>
              <w:numPr>
                <w:ilvl w:val="0"/>
                <w:numId w:val="251"/>
              </w:numPr>
              <w:spacing w:line="288" w:lineRule="auto"/>
              <w:ind w:left="318" w:hanging="284"/>
              <w:contextualSpacing w:val="0"/>
              <w:rPr>
                <w:rFonts w:ascii="Arial" w:hAnsi="Arial" w:cs="Arial"/>
                <w:color w:val="000000" w:themeColor="text1"/>
                <w:sz w:val="22"/>
                <w:szCs w:val="22"/>
              </w:rPr>
            </w:pPr>
            <w:r w:rsidRPr="009B78DA">
              <w:rPr>
                <w:rFonts w:ascii="Arial" w:hAnsi="Arial" w:cs="Arial"/>
                <w:color w:val="000000" w:themeColor="text1"/>
                <w:sz w:val="22"/>
                <w:szCs w:val="22"/>
              </w:rPr>
              <w:t>Dobra obsługa policentrycznej i rozproszonej sieci osadniczej regionu</w:t>
            </w:r>
          </w:p>
          <w:p w14:paraId="4BBCF4D1" w14:textId="77777777" w:rsidR="0014581E" w:rsidRPr="009B78DA" w:rsidRDefault="0014581E" w:rsidP="00E1143F">
            <w:pPr>
              <w:pStyle w:val="Akapitzlist"/>
              <w:numPr>
                <w:ilvl w:val="0"/>
                <w:numId w:val="251"/>
              </w:numPr>
              <w:spacing w:line="288" w:lineRule="auto"/>
              <w:ind w:left="318" w:hanging="284"/>
              <w:contextualSpacing w:val="0"/>
              <w:rPr>
                <w:rFonts w:ascii="Arial" w:hAnsi="Arial" w:cs="Arial"/>
                <w:color w:val="000000" w:themeColor="text1"/>
                <w:sz w:val="22"/>
                <w:szCs w:val="22"/>
              </w:rPr>
            </w:pPr>
            <w:r w:rsidRPr="009B78DA">
              <w:rPr>
                <w:rFonts w:ascii="Arial" w:hAnsi="Arial" w:cs="Arial"/>
                <w:color w:val="000000" w:themeColor="text1"/>
                <w:sz w:val="22"/>
                <w:szCs w:val="22"/>
              </w:rPr>
              <w:t>Przeciwdziałanie polaryzacji wewnętrznej bez nadmiernego rozpraszania środków</w:t>
            </w:r>
          </w:p>
          <w:p w14:paraId="0C1D239F" w14:textId="31BC3635" w:rsidR="0014581E" w:rsidRPr="009B78DA" w:rsidRDefault="0014581E" w:rsidP="00E1143F">
            <w:pPr>
              <w:pStyle w:val="Akapitzlist"/>
              <w:numPr>
                <w:ilvl w:val="0"/>
                <w:numId w:val="251"/>
              </w:numPr>
              <w:spacing w:line="288" w:lineRule="auto"/>
              <w:ind w:left="318" w:hanging="284"/>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Uwzględnienie uwarunkowań regionalnych </w:t>
            </w:r>
            <w:r w:rsidR="00F21C4A">
              <w:rPr>
                <w:rFonts w:ascii="Arial" w:hAnsi="Arial" w:cs="Arial"/>
                <w:color w:val="000000" w:themeColor="text1"/>
                <w:sz w:val="22"/>
                <w:szCs w:val="22"/>
              </w:rPr>
              <w:br/>
            </w:r>
            <w:r w:rsidRPr="009B78DA">
              <w:rPr>
                <w:rFonts w:ascii="Arial" w:hAnsi="Arial" w:cs="Arial"/>
                <w:color w:val="000000" w:themeColor="text1"/>
                <w:sz w:val="22"/>
                <w:szCs w:val="22"/>
              </w:rPr>
              <w:t>i lokalnych w zakresie sieci osadniczej i modeli mobilności mieszkańców</w:t>
            </w:r>
          </w:p>
        </w:tc>
        <w:tc>
          <w:tcPr>
            <w:tcW w:w="3680" w:type="dxa"/>
          </w:tcPr>
          <w:p w14:paraId="54EC358B" w14:textId="3DE61EC7" w:rsidR="0014581E" w:rsidRPr="009B78DA" w:rsidRDefault="0014581E" w:rsidP="00E1143F">
            <w:pPr>
              <w:pStyle w:val="Akapitzlist"/>
              <w:numPr>
                <w:ilvl w:val="0"/>
                <w:numId w:val="251"/>
              </w:numPr>
              <w:spacing w:line="288"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Ryzyko przeskalowania inwestycji w niektórych </w:t>
            </w:r>
            <w:r w:rsidR="00C00D13" w:rsidRPr="009B78DA">
              <w:rPr>
                <w:rFonts w:ascii="Arial" w:hAnsi="Arial" w:cs="Arial"/>
                <w:color w:val="000000" w:themeColor="text1"/>
                <w:sz w:val="22"/>
                <w:szCs w:val="22"/>
              </w:rPr>
              <w:t>ROF/MOF</w:t>
            </w:r>
          </w:p>
          <w:p w14:paraId="04CF0AD6" w14:textId="77777777" w:rsidR="0014581E" w:rsidRPr="009B78DA" w:rsidRDefault="0014581E" w:rsidP="00E1143F">
            <w:pPr>
              <w:pStyle w:val="Akapitzlist"/>
              <w:numPr>
                <w:ilvl w:val="0"/>
                <w:numId w:val="251"/>
              </w:numPr>
              <w:spacing w:line="288" w:lineRule="auto"/>
              <w:rPr>
                <w:rFonts w:ascii="Arial" w:hAnsi="Arial" w:cs="Arial"/>
                <w:color w:val="000000" w:themeColor="text1"/>
                <w:sz w:val="22"/>
                <w:szCs w:val="22"/>
              </w:rPr>
            </w:pPr>
            <w:r w:rsidRPr="009B78DA">
              <w:rPr>
                <w:rFonts w:ascii="Arial" w:hAnsi="Arial" w:cs="Arial"/>
                <w:color w:val="000000" w:themeColor="text1"/>
                <w:sz w:val="22"/>
                <w:szCs w:val="22"/>
              </w:rPr>
              <w:t>Częściowe uzależnienie od inwestycji centralnych</w:t>
            </w:r>
          </w:p>
        </w:tc>
      </w:tr>
    </w:tbl>
    <w:p w14:paraId="559E7F4D" w14:textId="3F5B0FC1" w:rsidR="00216379" w:rsidRPr="009B78DA" w:rsidRDefault="00CA2BD5" w:rsidP="00F21C4A">
      <w:pPr>
        <w:spacing w:before="120" w:after="0" w:line="288" w:lineRule="auto"/>
        <w:jc w:val="both"/>
        <w:rPr>
          <w:rFonts w:ascii="Arial" w:hAnsi="Arial" w:cs="Arial"/>
          <w:color w:val="000000" w:themeColor="text1"/>
          <w:sz w:val="22"/>
          <w:szCs w:val="22"/>
        </w:rPr>
      </w:pPr>
      <w:r w:rsidRPr="009B78DA">
        <w:rPr>
          <w:rFonts w:ascii="Arial" w:hAnsi="Arial" w:cs="Arial"/>
          <w:color w:val="000000" w:themeColor="text1"/>
          <w:sz w:val="22"/>
          <w:szCs w:val="22"/>
        </w:rPr>
        <w:t>Źródło: Opracowanie własne.</w:t>
      </w:r>
    </w:p>
    <w:p w14:paraId="5BEEE0ED" w14:textId="153B39DB" w:rsidR="004F5E7C" w:rsidRPr="009B78DA" w:rsidRDefault="004F5E7C" w:rsidP="00F21C4A">
      <w:pPr>
        <w:pStyle w:val="Legenda"/>
        <w:keepNext/>
        <w:rPr>
          <w:rFonts w:ascii="Arial" w:hAnsi="Arial" w:cs="Arial"/>
          <w:i w:val="0"/>
          <w:color w:val="000000" w:themeColor="text1"/>
          <w:sz w:val="22"/>
          <w:szCs w:val="22"/>
        </w:rPr>
      </w:pPr>
      <w:bookmarkStart w:id="247" w:name="_Toc146785688"/>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59</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Schemat dla wariantu 4. Równomiernego rozwoju multimodalnego</w:t>
      </w:r>
      <w:bookmarkEnd w:id="247"/>
    </w:p>
    <w:p w14:paraId="28012521" w14:textId="6D7FDAD7" w:rsidR="003F293E" w:rsidRPr="009B78DA" w:rsidRDefault="003F293E" w:rsidP="003F293E">
      <w:pPr>
        <w:jc w:val="center"/>
        <w:rPr>
          <w:color w:val="000000" w:themeColor="text1"/>
        </w:rPr>
      </w:pPr>
      <w:r w:rsidRPr="009B78DA">
        <w:rPr>
          <w:noProof/>
          <w:color w:val="000000" w:themeColor="text1"/>
        </w:rPr>
        <w:drawing>
          <wp:inline distT="0" distB="0" distL="0" distR="0" wp14:anchorId="5CFB643D" wp14:editId="431BE169">
            <wp:extent cx="3038400" cy="3931200"/>
            <wp:effectExtent l="0" t="0" r="0" b="0"/>
            <wp:docPr id="76" name="Obraz 76" descr="Województwo podkarpackie w tym: środek główny zaznaczony w centralnej części, ośrodki subregionalne (bieguny wzrostu) oraz inne ośrodki. Ponadto pokazane są komunikacyjne powiązania główne w kierunkach Wschód, Zachód, Północ Południe i Północny –Zachód oraz komunikacyjne powiązania II rzędu w kierunkach od środka Północny - Zachód, Północny - Wschód, Południowy - Wschód, Południowy - Zachód. Pokazane są również komunikacyjne powiazania III rzędu" title="Rysunek 59 Schemat dla wariantu 4. Równomiernego rozwoju multimodal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Obraz 76"/>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038400" cy="3931200"/>
                    </a:xfrm>
                    <a:prstGeom prst="rect">
                      <a:avLst/>
                    </a:prstGeom>
                  </pic:spPr>
                </pic:pic>
              </a:graphicData>
            </a:graphic>
          </wp:inline>
        </w:drawing>
      </w:r>
    </w:p>
    <w:p w14:paraId="615AA420" w14:textId="05E9BB4B" w:rsidR="00F87C73" w:rsidRPr="00F21C4A" w:rsidRDefault="003F293E" w:rsidP="00F21C4A">
      <w:pPr>
        <w:spacing w:after="0" w:line="288" w:lineRule="auto"/>
        <w:jc w:val="center"/>
        <w:rPr>
          <w:rFonts w:ascii="Arial" w:hAnsi="Arial" w:cs="Arial"/>
          <w:color w:val="000000" w:themeColor="text1"/>
          <w:sz w:val="22"/>
          <w:szCs w:val="22"/>
        </w:rPr>
      </w:pPr>
      <w:r w:rsidRPr="009B78DA">
        <w:rPr>
          <w:rFonts w:ascii="Arial" w:hAnsi="Arial" w:cs="Arial"/>
          <w:color w:val="000000" w:themeColor="text1"/>
          <w:sz w:val="22"/>
          <w:szCs w:val="22"/>
        </w:rPr>
        <w:t>Źródło: Opracowanie własne.</w:t>
      </w:r>
      <w:bookmarkStart w:id="248" w:name="_Hlk88146988"/>
    </w:p>
    <w:p w14:paraId="191D489E" w14:textId="7D1E3D3A" w:rsidR="004F5E7C" w:rsidRPr="009B78DA" w:rsidRDefault="004F5E7C" w:rsidP="004F5E7C">
      <w:pPr>
        <w:pStyle w:val="Legenda"/>
        <w:keepNext/>
        <w:rPr>
          <w:rFonts w:ascii="Arial" w:hAnsi="Arial" w:cs="Arial"/>
          <w:i w:val="0"/>
          <w:color w:val="000000" w:themeColor="text1"/>
          <w:sz w:val="22"/>
          <w:szCs w:val="22"/>
        </w:rPr>
      </w:pPr>
      <w:bookmarkStart w:id="249" w:name="_Toc146785751"/>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Wzajemna relacja pomiędzy zdiagnozowanymi problemami bazowymi oraz proponowanymi wariantami</w:t>
      </w:r>
      <w:bookmarkEnd w:id="249"/>
    </w:p>
    <w:tbl>
      <w:tblPr>
        <w:tblStyle w:val="Tabela-Siatka"/>
        <w:tblW w:w="5000" w:type="pct"/>
        <w:tblLook w:val="04A0" w:firstRow="1" w:lastRow="0" w:firstColumn="1" w:lastColumn="0" w:noHBand="0" w:noVBand="1"/>
        <w:tblCaption w:val="Tabela 21 Wzajemna relacja pomiędzy zdiagnozowanymi problemami bazowymi oraz proponowanymi wariantami"/>
      </w:tblPr>
      <w:tblGrid>
        <w:gridCol w:w="2067"/>
        <w:gridCol w:w="1625"/>
        <w:gridCol w:w="1843"/>
        <w:gridCol w:w="1733"/>
        <w:gridCol w:w="1794"/>
      </w:tblGrid>
      <w:tr w:rsidR="006F4FD2" w:rsidRPr="00F21C4A" w14:paraId="460FB592" w14:textId="77777777" w:rsidTr="00F21C4A">
        <w:trPr>
          <w:tblHeader/>
        </w:trPr>
        <w:tc>
          <w:tcPr>
            <w:tcW w:w="1160" w:type="pct"/>
            <w:shd w:val="clear" w:color="auto" w:fill="DEEAF6" w:themeFill="accent1" w:themeFillTint="33"/>
          </w:tcPr>
          <w:bookmarkEnd w:id="248"/>
          <w:p w14:paraId="2741201D" w14:textId="354A2EAD" w:rsidR="000B6A76" w:rsidRPr="00F21C4A" w:rsidRDefault="0014581E" w:rsidP="00F21C4A">
            <w:pPr>
              <w:spacing w:line="288" w:lineRule="auto"/>
              <w:jc w:val="center"/>
              <w:rPr>
                <w:rFonts w:ascii="Arial" w:hAnsi="Arial" w:cs="Arial"/>
                <w:color w:val="000000" w:themeColor="text1"/>
                <w:sz w:val="22"/>
                <w:szCs w:val="22"/>
              </w:rPr>
            </w:pPr>
            <w:r w:rsidRPr="00F21C4A">
              <w:rPr>
                <w:rFonts w:ascii="Arial" w:hAnsi="Arial" w:cs="Arial"/>
                <w:color w:val="000000" w:themeColor="text1"/>
                <w:sz w:val="22"/>
                <w:szCs w:val="22"/>
              </w:rPr>
              <w:t>Problemy bazowe</w:t>
            </w:r>
          </w:p>
        </w:tc>
        <w:tc>
          <w:tcPr>
            <w:tcW w:w="916" w:type="pct"/>
            <w:shd w:val="clear" w:color="auto" w:fill="DEEAF6" w:themeFill="accent1" w:themeFillTint="33"/>
          </w:tcPr>
          <w:p w14:paraId="0879B335" w14:textId="635F5BF3" w:rsidR="0014581E" w:rsidRPr="00F21C4A" w:rsidRDefault="0014581E" w:rsidP="00736A44">
            <w:pPr>
              <w:spacing w:line="288" w:lineRule="auto"/>
              <w:jc w:val="center"/>
              <w:rPr>
                <w:rFonts w:ascii="Arial" w:hAnsi="Arial" w:cs="Arial"/>
                <w:color w:val="000000" w:themeColor="text1"/>
                <w:sz w:val="22"/>
                <w:szCs w:val="22"/>
              </w:rPr>
            </w:pPr>
            <w:r w:rsidRPr="00F21C4A">
              <w:rPr>
                <w:rFonts w:ascii="Arial" w:hAnsi="Arial" w:cs="Arial"/>
                <w:color w:val="000000" w:themeColor="text1"/>
                <w:sz w:val="22"/>
                <w:szCs w:val="22"/>
              </w:rPr>
              <w:t>Wariant 1</w:t>
            </w:r>
          </w:p>
        </w:tc>
        <w:tc>
          <w:tcPr>
            <w:tcW w:w="989" w:type="pct"/>
            <w:shd w:val="clear" w:color="auto" w:fill="DEEAF6" w:themeFill="accent1" w:themeFillTint="33"/>
          </w:tcPr>
          <w:p w14:paraId="3FDCB459" w14:textId="1EE6F2FC" w:rsidR="0014581E" w:rsidRPr="00F21C4A" w:rsidRDefault="0014581E" w:rsidP="00736A44">
            <w:pPr>
              <w:spacing w:line="288" w:lineRule="auto"/>
              <w:jc w:val="center"/>
              <w:rPr>
                <w:rFonts w:ascii="Arial" w:hAnsi="Arial" w:cs="Arial"/>
                <w:color w:val="000000" w:themeColor="text1"/>
                <w:sz w:val="22"/>
                <w:szCs w:val="22"/>
              </w:rPr>
            </w:pPr>
            <w:r w:rsidRPr="00F21C4A">
              <w:rPr>
                <w:rFonts w:ascii="Arial" w:hAnsi="Arial" w:cs="Arial"/>
                <w:color w:val="000000" w:themeColor="text1"/>
                <w:sz w:val="22"/>
                <w:szCs w:val="22"/>
              </w:rPr>
              <w:t>Wariant 2</w:t>
            </w:r>
          </w:p>
        </w:tc>
        <w:tc>
          <w:tcPr>
            <w:tcW w:w="959" w:type="pct"/>
            <w:shd w:val="clear" w:color="auto" w:fill="DEEAF6" w:themeFill="accent1" w:themeFillTint="33"/>
          </w:tcPr>
          <w:p w14:paraId="10FF87BC" w14:textId="4BBA7879" w:rsidR="0014581E" w:rsidRPr="00F21C4A" w:rsidRDefault="0014581E" w:rsidP="00736A44">
            <w:pPr>
              <w:spacing w:line="288" w:lineRule="auto"/>
              <w:jc w:val="center"/>
              <w:rPr>
                <w:rFonts w:ascii="Arial" w:hAnsi="Arial" w:cs="Arial"/>
                <w:color w:val="000000" w:themeColor="text1"/>
                <w:sz w:val="22"/>
                <w:szCs w:val="22"/>
              </w:rPr>
            </w:pPr>
            <w:r w:rsidRPr="00F21C4A">
              <w:rPr>
                <w:rFonts w:ascii="Arial" w:hAnsi="Arial" w:cs="Arial"/>
                <w:color w:val="000000" w:themeColor="text1"/>
                <w:sz w:val="22"/>
                <w:szCs w:val="22"/>
              </w:rPr>
              <w:t>Wariant 3</w:t>
            </w:r>
          </w:p>
        </w:tc>
        <w:tc>
          <w:tcPr>
            <w:tcW w:w="976" w:type="pct"/>
            <w:shd w:val="clear" w:color="auto" w:fill="DEEAF6" w:themeFill="accent1" w:themeFillTint="33"/>
          </w:tcPr>
          <w:p w14:paraId="36070320" w14:textId="36A90B0A" w:rsidR="0014581E" w:rsidRPr="00F21C4A" w:rsidRDefault="0014581E" w:rsidP="00736A44">
            <w:pPr>
              <w:spacing w:line="288" w:lineRule="auto"/>
              <w:jc w:val="center"/>
              <w:rPr>
                <w:rFonts w:ascii="Arial" w:hAnsi="Arial" w:cs="Arial"/>
                <w:color w:val="000000" w:themeColor="text1"/>
                <w:sz w:val="22"/>
                <w:szCs w:val="22"/>
              </w:rPr>
            </w:pPr>
            <w:r w:rsidRPr="00F21C4A">
              <w:rPr>
                <w:rFonts w:ascii="Arial" w:hAnsi="Arial" w:cs="Arial"/>
                <w:color w:val="000000" w:themeColor="text1"/>
                <w:sz w:val="22"/>
                <w:szCs w:val="22"/>
              </w:rPr>
              <w:t>Wariant 4</w:t>
            </w:r>
          </w:p>
        </w:tc>
      </w:tr>
      <w:tr w:rsidR="006F4FD2" w:rsidRPr="00F21C4A" w14:paraId="6A30903A" w14:textId="77777777" w:rsidTr="00F21C4A">
        <w:tc>
          <w:tcPr>
            <w:tcW w:w="1160" w:type="pct"/>
          </w:tcPr>
          <w:p w14:paraId="63B57ECC" w14:textId="501DE27A"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A: Utrzymanie </w:t>
            </w:r>
            <w:r w:rsidR="00F21C4A">
              <w:rPr>
                <w:rFonts w:ascii="Arial" w:hAnsi="Arial" w:cs="Arial"/>
                <w:color w:val="000000" w:themeColor="text1"/>
                <w:sz w:val="22"/>
                <w:szCs w:val="22"/>
              </w:rPr>
              <w:br/>
            </w:r>
            <w:r w:rsidRPr="00F21C4A">
              <w:rPr>
                <w:rFonts w:ascii="Arial" w:hAnsi="Arial" w:cs="Arial"/>
                <w:color w:val="000000" w:themeColor="text1"/>
                <w:sz w:val="22"/>
                <w:szCs w:val="22"/>
              </w:rPr>
              <w:t xml:space="preserve">i wzmocnienie podstaw transportowych dla rozwoju gospodarczego województwa, </w:t>
            </w:r>
            <w:r w:rsidR="00F21C4A">
              <w:rPr>
                <w:rFonts w:ascii="Arial" w:hAnsi="Arial" w:cs="Arial"/>
                <w:color w:val="000000" w:themeColor="text1"/>
                <w:sz w:val="22"/>
                <w:szCs w:val="22"/>
              </w:rPr>
              <w:br/>
            </w:r>
            <w:r w:rsidRPr="00F21C4A">
              <w:rPr>
                <w:rFonts w:ascii="Arial" w:hAnsi="Arial" w:cs="Arial"/>
                <w:color w:val="000000" w:themeColor="text1"/>
                <w:sz w:val="22"/>
                <w:szCs w:val="22"/>
              </w:rPr>
              <w:t xml:space="preserve">w tym integracja infrastrukturalna oraz organizacyjna systemu transportowego </w:t>
            </w:r>
            <w:r w:rsidR="00F21C4A">
              <w:rPr>
                <w:rFonts w:ascii="Arial" w:hAnsi="Arial" w:cs="Arial"/>
                <w:color w:val="000000" w:themeColor="text1"/>
                <w:sz w:val="22"/>
                <w:szCs w:val="22"/>
              </w:rPr>
              <w:br/>
            </w:r>
            <w:r w:rsidRPr="00F21C4A">
              <w:rPr>
                <w:rFonts w:ascii="Arial" w:hAnsi="Arial" w:cs="Arial"/>
                <w:color w:val="000000" w:themeColor="text1"/>
                <w:sz w:val="22"/>
                <w:szCs w:val="22"/>
              </w:rPr>
              <w:t xml:space="preserve">w układzie zewnętrznym </w:t>
            </w:r>
            <w:r w:rsidR="00F21C4A">
              <w:rPr>
                <w:rFonts w:ascii="Arial" w:hAnsi="Arial" w:cs="Arial"/>
                <w:color w:val="000000" w:themeColor="text1"/>
                <w:sz w:val="22"/>
                <w:szCs w:val="22"/>
              </w:rPr>
              <w:br/>
            </w:r>
            <w:r w:rsidRPr="00F21C4A">
              <w:rPr>
                <w:rFonts w:ascii="Arial" w:hAnsi="Arial" w:cs="Arial"/>
                <w:color w:val="000000" w:themeColor="text1"/>
                <w:sz w:val="22"/>
                <w:szCs w:val="22"/>
              </w:rPr>
              <w:t>i wewnętrznym</w:t>
            </w:r>
          </w:p>
        </w:tc>
        <w:tc>
          <w:tcPr>
            <w:tcW w:w="916" w:type="pct"/>
          </w:tcPr>
          <w:p w14:paraId="44CE535E" w14:textId="5306A22F"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Bardzo silny wkład w rozwiązanie problemu bazowego, popraw</w:t>
            </w:r>
            <w:r w:rsidR="00F21C4A">
              <w:rPr>
                <w:rFonts w:ascii="Arial" w:hAnsi="Arial" w:cs="Arial"/>
                <w:color w:val="000000" w:themeColor="text1"/>
                <w:sz w:val="22"/>
                <w:szCs w:val="22"/>
              </w:rPr>
              <w:t>a pozycji regionu, konwergencja</w:t>
            </w:r>
          </w:p>
          <w:p w14:paraId="3A610F45"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(5)</w:t>
            </w:r>
          </w:p>
        </w:tc>
        <w:tc>
          <w:tcPr>
            <w:tcW w:w="989" w:type="pct"/>
          </w:tcPr>
          <w:p w14:paraId="3893A6E7" w14:textId="151BBB88"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Słaby wkład </w:t>
            </w:r>
            <w:r w:rsidR="00F21C4A">
              <w:rPr>
                <w:rFonts w:ascii="Arial" w:hAnsi="Arial" w:cs="Arial"/>
                <w:color w:val="000000" w:themeColor="text1"/>
                <w:sz w:val="22"/>
                <w:szCs w:val="22"/>
              </w:rPr>
              <w:br/>
            </w:r>
            <w:r w:rsidRPr="00F21C4A">
              <w:rPr>
                <w:rFonts w:ascii="Arial" w:hAnsi="Arial" w:cs="Arial"/>
                <w:color w:val="000000" w:themeColor="text1"/>
                <w:sz w:val="22"/>
                <w:szCs w:val="22"/>
              </w:rPr>
              <w:t>w rozwiązanie problemu, brak inwestycji pozycjonujących region jako całość w Polsce i Europie, poprawa integracji wewnętrznej regionu</w:t>
            </w:r>
          </w:p>
          <w:p w14:paraId="1376C7C8"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(2)</w:t>
            </w:r>
          </w:p>
        </w:tc>
        <w:tc>
          <w:tcPr>
            <w:tcW w:w="959" w:type="pct"/>
          </w:tcPr>
          <w:p w14:paraId="4EDB11A8" w14:textId="369B6B6A"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Wkład </w:t>
            </w:r>
            <w:r w:rsidR="00F21C4A">
              <w:rPr>
                <w:rFonts w:ascii="Arial" w:hAnsi="Arial" w:cs="Arial"/>
                <w:color w:val="000000" w:themeColor="text1"/>
                <w:sz w:val="22"/>
                <w:szCs w:val="22"/>
              </w:rPr>
              <w:br/>
            </w:r>
            <w:r w:rsidRPr="00F21C4A">
              <w:rPr>
                <w:rFonts w:ascii="Arial" w:hAnsi="Arial" w:cs="Arial"/>
                <w:color w:val="000000" w:themeColor="text1"/>
                <w:sz w:val="22"/>
                <w:szCs w:val="22"/>
              </w:rPr>
              <w:t xml:space="preserve">w rozwiązanie problemu </w:t>
            </w:r>
            <w:r w:rsidR="00F21C4A">
              <w:rPr>
                <w:rFonts w:ascii="Arial" w:hAnsi="Arial" w:cs="Arial"/>
                <w:color w:val="000000" w:themeColor="text1"/>
                <w:sz w:val="22"/>
                <w:szCs w:val="22"/>
              </w:rPr>
              <w:br/>
            </w:r>
            <w:r w:rsidRPr="00F21C4A">
              <w:rPr>
                <w:rFonts w:ascii="Arial" w:hAnsi="Arial" w:cs="Arial"/>
                <w:color w:val="000000" w:themeColor="text1"/>
                <w:sz w:val="22"/>
                <w:szCs w:val="22"/>
              </w:rPr>
              <w:t xml:space="preserve">w zakresie transportu kolejowego </w:t>
            </w:r>
            <w:r w:rsidR="00F21C4A">
              <w:rPr>
                <w:rFonts w:ascii="Arial" w:hAnsi="Arial" w:cs="Arial"/>
                <w:color w:val="000000" w:themeColor="text1"/>
                <w:sz w:val="22"/>
                <w:szCs w:val="22"/>
              </w:rPr>
              <w:br/>
            </w:r>
            <w:r w:rsidRPr="00F21C4A">
              <w:rPr>
                <w:rFonts w:ascii="Arial" w:hAnsi="Arial" w:cs="Arial"/>
                <w:color w:val="000000" w:themeColor="text1"/>
                <w:sz w:val="22"/>
                <w:szCs w:val="22"/>
              </w:rPr>
              <w:t>i towarowego intermodalnego</w:t>
            </w:r>
          </w:p>
          <w:p w14:paraId="4541373E"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(3)</w:t>
            </w:r>
          </w:p>
        </w:tc>
        <w:tc>
          <w:tcPr>
            <w:tcW w:w="976" w:type="pct"/>
          </w:tcPr>
          <w:p w14:paraId="71F11DDC" w14:textId="6265F302"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Wkład </w:t>
            </w:r>
            <w:r w:rsidR="00F21C4A">
              <w:rPr>
                <w:rFonts w:ascii="Arial" w:hAnsi="Arial" w:cs="Arial"/>
                <w:color w:val="000000" w:themeColor="text1"/>
                <w:sz w:val="22"/>
                <w:szCs w:val="22"/>
              </w:rPr>
              <w:br/>
            </w:r>
            <w:r w:rsidRPr="00F21C4A">
              <w:rPr>
                <w:rFonts w:ascii="Arial" w:hAnsi="Arial" w:cs="Arial"/>
                <w:color w:val="000000" w:themeColor="text1"/>
                <w:sz w:val="22"/>
                <w:szCs w:val="22"/>
              </w:rPr>
              <w:t xml:space="preserve">w rozwiązanie problemu poprzez lepsze dowiązanie </w:t>
            </w:r>
            <w:r w:rsidR="00C00D13" w:rsidRPr="00F21C4A">
              <w:rPr>
                <w:rFonts w:ascii="Arial" w:hAnsi="Arial" w:cs="Arial"/>
                <w:color w:val="000000" w:themeColor="text1"/>
                <w:sz w:val="22"/>
                <w:szCs w:val="22"/>
              </w:rPr>
              <w:t>ROF/MOF</w:t>
            </w:r>
            <w:r w:rsidRPr="00F21C4A">
              <w:rPr>
                <w:rFonts w:ascii="Arial" w:hAnsi="Arial" w:cs="Arial"/>
                <w:color w:val="000000" w:themeColor="text1"/>
                <w:sz w:val="22"/>
                <w:szCs w:val="22"/>
              </w:rPr>
              <w:t xml:space="preserve"> do sieci TEN-T, lepsza integracja wewnętrzna pomiędzy </w:t>
            </w:r>
            <w:r w:rsidR="00C00D13" w:rsidRPr="00F21C4A">
              <w:rPr>
                <w:rFonts w:ascii="Arial" w:hAnsi="Arial" w:cs="Arial"/>
                <w:color w:val="000000" w:themeColor="text1"/>
                <w:sz w:val="22"/>
                <w:szCs w:val="22"/>
              </w:rPr>
              <w:t>ROF/MOF</w:t>
            </w:r>
          </w:p>
          <w:p w14:paraId="4A13870B"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(4)</w:t>
            </w:r>
          </w:p>
        </w:tc>
      </w:tr>
      <w:tr w:rsidR="006F4FD2" w:rsidRPr="00F21C4A" w14:paraId="6DD6670D" w14:textId="77777777" w:rsidTr="00F21C4A">
        <w:tc>
          <w:tcPr>
            <w:tcW w:w="1160" w:type="pct"/>
          </w:tcPr>
          <w:p w14:paraId="6419FC1A" w14:textId="5E6C404E"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B: Podniesienie jakości życia mieszkańców województwa poprzez poprawę dostępności transportowej </w:t>
            </w:r>
            <w:r w:rsidR="0076455A">
              <w:rPr>
                <w:rFonts w:ascii="Arial" w:hAnsi="Arial" w:cs="Arial"/>
                <w:color w:val="000000" w:themeColor="text1"/>
                <w:sz w:val="22"/>
                <w:szCs w:val="22"/>
              </w:rPr>
              <w:br/>
            </w:r>
            <w:r w:rsidRPr="00F21C4A">
              <w:rPr>
                <w:rFonts w:ascii="Arial" w:hAnsi="Arial" w:cs="Arial"/>
                <w:color w:val="000000" w:themeColor="text1"/>
                <w:sz w:val="22"/>
                <w:szCs w:val="22"/>
              </w:rPr>
              <w:t xml:space="preserve">w różnych skalach przestrzennych, </w:t>
            </w:r>
            <w:r w:rsidR="0076455A">
              <w:rPr>
                <w:rFonts w:ascii="Arial" w:hAnsi="Arial" w:cs="Arial"/>
                <w:color w:val="000000" w:themeColor="text1"/>
                <w:sz w:val="22"/>
                <w:szCs w:val="22"/>
              </w:rPr>
              <w:br/>
            </w:r>
            <w:r w:rsidRPr="00F21C4A">
              <w:rPr>
                <w:rFonts w:ascii="Arial" w:hAnsi="Arial" w:cs="Arial"/>
                <w:color w:val="000000" w:themeColor="text1"/>
                <w:sz w:val="22"/>
                <w:szCs w:val="22"/>
              </w:rPr>
              <w:t>z uwzględnieniem zachodzących niekorzystnych procesów demograficznych</w:t>
            </w:r>
          </w:p>
        </w:tc>
        <w:tc>
          <w:tcPr>
            <w:tcW w:w="916" w:type="pct"/>
          </w:tcPr>
          <w:p w14:paraId="53E95506" w14:textId="2A4C3EBB"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Wkład </w:t>
            </w:r>
            <w:r w:rsidR="00F21C4A">
              <w:rPr>
                <w:rFonts w:ascii="Arial" w:hAnsi="Arial" w:cs="Arial"/>
                <w:color w:val="000000" w:themeColor="text1"/>
                <w:sz w:val="22"/>
                <w:szCs w:val="22"/>
              </w:rPr>
              <w:br/>
            </w:r>
            <w:r w:rsidRPr="00F21C4A">
              <w:rPr>
                <w:rFonts w:ascii="Arial" w:hAnsi="Arial" w:cs="Arial"/>
                <w:color w:val="000000" w:themeColor="text1"/>
                <w:sz w:val="22"/>
                <w:szCs w:val="22"/>
              </w:rPr>
              <w:t xml:space="preserve">w rozwiązanie problemu silnie zróżnicowany terytorialnie, wysoki w </w:t>
            </w:r>
            <w:r w:rsidR="00C00D13" w:rsidRPr="00F21C4A">
              <w:rPr>
                <w:rFonts w:ascii="Arial" w:hAnsi="Arial" w:cs="Arial"/>
                <w:color w:val="000000" w:themeColor="text1"/>
                <w:sz w:val="22"/>
                <w:szCs w:val="22"/>
              </w:rPr>
              <w:t>ROF</w:t>
            </w:r>
            <w:r w:rsidRPr="00F21C4A">
              <w:rPr>
                <w:rFonts w:ascii="Arial" w:hAnsi="Arial" w:cs="Arial"/>
                <w:color w:val="000000" w:themeColor="text1"/>
                <w:sz w:val="22"/>
                <w:szCs w:val="22"/>
              </w:rPr>
              <w:t xml:space="preserve"> i niektórych innych MOF, słaby na pozostałych obszarach</w:t>
            </w:r>
          </w:p>
          <w:p w14:paraId="396FB061"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(2)</w:t>
            </w:r>
          </w:p>
        </w:tc>
        <w:tc>
          <w:tcPr>
            <w:tcW w:w="989" w:type="pct"/>
          </w:tcPr>
          <w:p w14:paraId="0CCE53FB" w14:textId="4C44BEA2"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Wkład </w:t>
            </w:r>
            <w:r w:rsidR="00F21C4A">
              <w:rPr>
                <w:rFonts w:ascii="Arial" w:hAnsi="Arial" w:cs="Arial"/>
                <w:color w:val="000000" w:themeColor="text1"/>
                <w:sz w:val="22"/>
                <w:szCs w:val="22"/>
              </w:rPr>
              <w:br/>
            </w:r>
            <w:r w:rsidRPr="00F21C4A">
              <w:rPr>
                <w:rFonts w:ascii="Arial" w:hAnsi="Arial" w:cs="Arial"/>
                <w:color w:val="000000" w:themeColor="text1"/>
                <w:sz w:val="22"/>
                <w:szCs w:val="22"/>
              </w:rPr>
              <w:t>w rozwiązanie problemu znaczący, choć miejscami prawdopodobnie przypadkowy (inwestycje rozproszone, nie zawsze zintegrowane)</w:t>
            </w:r>
          </w:p>
          <w:p w14:paraId="62787662"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(4)</w:t>
            </w:r>
          </w:p>
        </w:tc>
        <w:tc>
          <w:tcPr>
            <w:tcW w:w="959" w:type="pct"/>
          </w:tcPr>
          <w:p w14:paraId="42628244" w14:textId="5D990860"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Wkład </w:t>
            </w:r>
            <w:r w:rsidR="00F21C4A">
              <w:rPr>
                <w:rFonts w:ascii="Arial" w:hAnsi="Arial" w:cs="Arial"/>
                <w:color w:val="000000" w:themeColor="text1"/>
                <w:sz w:val="22"/>
                <w:szCs w:val="22"/>
              </w:rPr>
              <w:br/>
            </w:r>
            <w:r w:rsidRPr="00F21C4A">
              <w:rPr>
                <w:rFonts w:ascii="Arial" w:hAnsi="Arial" w:cs="Arial"/>
                <w:color w:val="000000" w:themeColor="text1"/>
                <w:sz w:val="22"/>
                <w:szCs w:val="22"/>
              </w:rPr>
              <w:t xml:space="preserve">w rozwiązanie problemu znaczny choć nie zawsze uwzględniający specyfikę sieci osadniczej </w:t>
            </w:r>
            <w:r w:rsidR="0076455A">
              <w:rPr>
                <w:rFonts w:ascii="Arial" w:hAnsi="Arial" w:cs="Arial"/>
                <w:color w:val="000000" w:themeColor="text1"/>
                <w:sz w:val="22"/>
                <w:szCs w:val="22"/>
              </w:rPr>
              <w:br/>
            </w:r>
            <w:r w:rsidRPr="00F21C4A">
              <w:rPr>
                <w:rFonts w:ascii="Arial" w:hAnsi="Arial" w:cs="Arial"/>
                <w:color w:val="000000" w:themeColor="text1"/>
                <w:sz w:val="22"/>
                <w:szCs w:val="22"/>
              </w:rPr>
              <w:t>i ścieżek mobilności mieszkańców</w:t>
            </w:r>
          </w:p>
          <w:p w14:paraId="582C3D6C"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(3)</w:t>
            </w:r>
          </w:p>
        </w:tc>
        <w:tc>
          <w:tcPr>
            <w:tcW w:w="976" w:type="pct"/>
          </w:tcPr>
          <w:p w14:paraId="343D4674" w14:textId="6982CE1F"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Wkład </w:t>
            </w:r>
            <w:r w:rsidR="00F21C4A">
              <w:rPr>
                <w:rFonts w:ascii="Arial" w:hAnsi="Arial" w:cs="Arial"/>
                <w:color w:val="000000" w:themeColor="text1"/>
                <w:sz w:val="22"/>
                <w:szCs w:val="22"/>
              </w:rPr>
              <w:br/>
            </w:r>
            <w:r w:rsidRPr="00F21C4A">
              <w:rPr>
                <w:rFonts w:ascii="Arial" w:hAnsi="Arial" w:cs="Arial"/>
                <w:color w:val="000000" w:themeColor="text1"/>
                <w:sz w:val="22"/>
                <w:szCs w:val="22"/>
              </w:rPr>
              <w:t xml:space="preserve">w rozwiązanie problemu znaczny, proporcjonalny do skali potrzeb (sytuacja demograficzna), uwzględniający specyfikę regionu </w:t>
            </w:r>
            <w:r w:rsidR="00F21C4A">
              <w:rPr>
                <w:rFonts w:ascii="Arial" w:hAnsi="Arial" w:cs="Arial"/>
                <w:color w:val="000000" w:themeColor="text1"/>
                <w:sz w:val="22"/>
                <w:szCs w:val="22"/>
              </w:rPr>
              <w:br/>
            </w:r>
            <w:r w:rsidRPr="00F21C4A">
              <w:rPr>
                <w:rFonts w:ascii="Arial" w:hAnsi="Arial" w:cs="Arial"/>
                <w:color w:val="000000" w:themeColor="text1"/>
                <w:sz w:val="22"/>
                <w:szCs w:val="22"/>
              </w:rPr>
              <w:t>i ścieżek mobilności mieszkańców</w:t>
            </w:r>
          </w:p>
          <w:p w14:paraId="2DC4B166"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(4)</w:t>
            </w:r>
          </w:p>
        </w:tc>
      </w:tr>
      <w:tr w:rsidR="006F4FD2" w:rsidRPr="00F21C4A" w14:paraId="59941A9C" w14:textId="77777777" w:rsidTr="00F21C4A">
        <w:tc>
          <w:tcPr>
            <w:tcW w:w="1160" w:type="pct"/>
          </w:tcPr>
          <w:p w14:paraId="553C451F" w14:textId="47FDDEAC"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C: Zmniejszenie negatywnego oddziaływania sektora transportu na szeroko rozumiane środowisko naturalne </w:t>
            </w:r>
            <w:r w:rsidR="0076455A">
              <w:rPr>
                <w:rFonts w:ascii="Arial" w:hAnsi="Arial" w:cs="Arial"/>
                <w:color w:val="000000" w:themeColor="text1"/>
                <w:sz w:val="22"/>
                <w:szCs w:val="22"/>
              </w:rPr>
              <w:br/>
            </w:r>
            <w:r w:rsidRPr="00F21C4A">
              <w:rPr>
                <w:rFonts w:ascii="Arial" w:hAnsi="Arial" w:cs="Arial"/>
                <w:color w:val="000000" w:themeColor="text1"/>
                <w:sz w:val="22"/>
                <w:szCs w:val="22"/>
              </w:rPr>
              <w:t xml:space="preserve">w wymiarze globalnym (zmian klimatycznych) </w:t>
            </w:r>
            <w:r w:rsidR="0076455A">
              <w:rPr>
                <w:rFonts w:ascii="Arial" w:hAnsi="Arial" w:cs="Arial"/>
                <w:color w:val="000000" w:themeColor="text1"/>
                <w:sz w:val="22"/>
                <w:szCs w:val="22"/>
              </w:rPr>
              <w:br/>
            </w:r>
            <w:r w:rsidRPr="00F21C4A">
              <w:rPr>
                <w:rFonts w:ascii="Arial" w:hAnsi="Arial" w:cs="Arial"/>
                <w:color w:val="000000" w:themeColor="text1"/>
                <w:sz w:val="22"/>
                <w:szCs w:val="22"/>
              </w:rPr>
              <w:t>i lokalnym (ochrona, cennych walorów przyrodniczych regionu)</w:t>
            </w:r>
          </w:p>
        </w:tc>
        <w:tc>
          <w:tcPr>
            <w:tcW w:w="916" w:type="pct"/>
          </w:tcPr>
          <w:p w14:paraId="0434A995" w14:textId="321C4041"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Niewielki wkład </w:t>
            </w:r>
            <w:r w:rsidR="00F21C4A">
              <w:rPr>
                <w:rFonts w:ascii="Arial" w:hAnsi="Arial" w:cs="Arial"/>
                <w:color w:val="000000" w:themeColor="text1"/>
                <w:sz w:val="22"/>
                <w:szCs w:val="22"/>
              </w:rPr>
              <w:br/>
            </w:r>
            <w:r w:rsidRPr="00F21C4A">
              <w:rPr>
                <w:rFonts w:ascii="Arial" w:hAnsi="Arial" w:cs="Arial"/>
                <w:color w:val="000000" w:themeColor="text1"/>
                <w:sz w:val="22"/>
                <w:szCs w:val="22"/>
              </w:rPr>
              <w:t xml:space="preserve">w rozwiązanie problemu, ograniczony do zmian modalnych na głównych trasach oraz w </w:t>
            </w:r>
            <w:r w:rsidR="000470C4" w:rsidRPr="00F21C4A">
              <w:rPr>
                <w:rFonts w:ascii="Arial" w:hAnsi="Arial" w:cs="Arial"/>
                <w:color w:val="000000" w:themeColor="text1"/>
                <w:sz w:val="22"/>
                <w:szCs w:val="22"/>
              </w:rPr>
              <w:t>ROF</w:t>
            </w:r>
          </w:p>
          <w:p w14:paraId="735A5B25" w14:textId="04CA16DA"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w:t>
            </w:r>
            <w:r w:rsidR="000470C4" w:rsidRPr="00F21C4A">
              <w:rPr>
                <w:rFonts w:ascii="Arial" w:hAnsi="Arial" w:cs="Arial"/>
                <w:b/>
                <w:color w:val="000000" w:themeColor="text1"/>
                <w:sz w:val="22"/>
                <w:szCs w:val="22"/>
              </w:rPr>
              <w:t>2</w:t>
            </w:r>
            <w:r w:rsidRPr="00F21C4A">
              <w:rPr>
                <w:rFonts w:ascii="Arial" w:hAnsi="Arial" w:cs="Arial"/>
                <w:b/>
                <w:color w:val="000000" w:themeColor="text1"/>
                <w:sz w:val="22"/>
                <w:szCs w:val="22"/>
              </w:rPr>
              <w:t>)</w:t>
            </w:r>
          </w:p>
        </w:tc>
        <w:tc>
          <w:tcPr>
            <w:tcW w:w="989" w:type="pct"/>
          </w:tcPr>
          <w:p w14:paraId="6C67861C" w14:textId="30CB4F86"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Wkład </w:t>
            </w:r>
            <w:r w:rsidR="00F21C4A">
              <w:rPr>
                <w:rFonts w:ascii="Arial" w:hAnsi="Arial" w:cs="Arial"/>
                <w:color w:val="000000" w:themeColor="text1"/>
                <w:sz w:val="22"/>
                <w:szCs w:val="22"/>
              </w:rPr>
              <w:br/>
            </w:r>
            <w:r w:rsidRPr="00F21C4A">
              <w:rPr>
                <w:rFonts w:ascii="Arial" w:hAnsi="Arial" w:cs="Arial"/>
                <w:color w:val="000000" w:themeColor="text1"/>
                <w:sz w:val="22"/>
                <w:szCs w:val="22"/>
              </w:rPr>
              <w:t>w rozwiązanie problemu zauważalny, ale rozproszony, brak koncentracji na głównych obszarach problemowych (skupiskach emisji)</w:t>
            </w:r>
          </w:p>
          <w:p w14:paraId="5A90E11F" w14:textId="78320202"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(3)</w:t>
            </w:r>
            <w:r w:rsidR="00B52BD0" w:rsidRPr="00F21C4A">
              <w:rPr>
                <w:rFonts w:ascii="Arial" w:hAnsi="Arial" w:cs="Arial"/>
                <w:b/>
                <w:color w:val="000000" w:themeColor="text1"/>
                <w:sz w:val="22"/>
                <w:szCs w:val="22"/>
              </w:rPr>
              <w:t xml:space="preserve"> </w:t>
            </w:r>
          </w:p>
        </w:tc>
        <w:tc>
          <w:tcPr>
            <w:tcW w:w="959" w:type="pct"/>
          </w:tcPr>
          <w:p w14:paraId="03195355" w14:textId="3FA84E0E"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Bardzo duży wkład </w:t>
            </w:r>
            <w:r w:rsidR="00F21C4A">
              <w:rPr>
                <w:rFonts w:ascii="Arial" w:hAnsi="Arial" w:cs="Arial"/>
                <w:color w:val="000000" w:themeColor="text1"/>
                <w:sz w:val="22"/>
                <w:szCs w:val="22"/>
              </w:rPr>
              <w:br/>
            </w:r>
            <w:r w:rsidRPr="00F21C4A">
              <w:rPr>
                <w:rFonts w:ascii="Arial" w:hAnsi="Arial" w:cs="Arial"/>
                <w:color w:val="000000" w:themeColor="text1"/>
                <w:sz w:val="22"/>
                <w:szCs w:val="22"/>
              </w:rPr>
              <w:t>w rozwiązanie problemu, szczególnie w zakresie ograniczenia emisji oraz mitygacji zmian klimatu</w:t>
            </w:r>
          </w:p>
          <w:p w14:paraId="7D9E9B06"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(5)</w:t>
            </w:r>
          </w:p>
        </w:tc>
        <w:tc>
          <w:tcPr>
            <w:tcW w:w="976" w:type="pct"/>
          </w:tcPr>
          <w:p w14:paraId="48AE2965" w14:textId="7961FC60"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Duży wkład </w:t>
            </w:r>
            <w:r w:rsidR="00F21C4A">
              <w:rPr>
                <w:rFonts w:ascii="Arial" w:hAnsi="Arial" w:cs="Arial"/>
                <w:color w:val="000000" w:themeColor="text1"/>
                <w:sz w:val="22"/>
                <w:szCs w:val="22"/>
              </w:rPr>
              <w:br/>
            </w:r>
            <w:r w:rsidRPr="00F21C4A">
              <w:rPr>
                <w:rFonts w:ascii="Arial" w:hAnsi="Arial" w:cs="Arial"/>
                <w:color w:val="000000" w:themeColor="text1"/>
                <w:sz w:val="22"/>
                <w:szCs w:val="22"/>
              </w:rPr>
              <w:t xml:space="preserve">w rozwiązanie problemu, uwzględniający specyfikę terytorialną, koncentracja działań </w:t>
            </w:r>
            <w:r w:rsidR="00511BC6">
              <w:rPr>
                <w:rFonts w:ascii="Arial" w:hAnsi="Arial" w:cs="Arial"/>
                <w:color w:val="000000" w:themeColor="text1"/>
                <w:sz w:val="22"/>
                <w:szCs w:val="22"/>
              </w:rPr>
              <w:br/>
            </w:r>
            <w:r w:rsidRPr="00F21C4A">
              <w:rPr>
                <w:rFonts w:ascii="Arial" w:hAnsi="Arial" w:cs="Arial"/>
                <w:color w:val="000000" w:themeColor="text1"/>
                <w:sz w:val="22"/>
                <w:szCs w:val="22"/>
              </w:rPr>
              <w:t>w miejscach, gdzie mogą być one najbardziej efektywne</w:t>
            </w:r>
          </w:p>
          <w:p w14:paraId="5C76EDF8"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(4)</w:t>
            </w:r>
          </w:p>
        </w:tc>
      </w:tr>
      <w:tr w:rsidR="006F4FD2" w:rsidRPr="00F21C4A" w14:paraId="3D054D33" w14:textId="77777777" w:rsidTr="00F21C4A">
        <w:tc>
          <w:tcPr>
            <w:tcW w:w="1160" w:type="pct"/>
          </w:tcPr>
          <w:p w14:paraId="21CDB282" w14:textId="574908C1"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D: Podniesienie poziomu bezpieczeństwa </w:t>
            </w:r>
            <w:r w:rsidR="0076455A">
              <w:rPr>
                <w:rFonts w:ascii="Arial" w:hAnsi="Arial" w:cs="Arial"/>
                <w:color w:val="000000" w:themeColor="text1"/>
                <w:sz w:val="22"/>
                <w:szCs w:val="22"/>
              </w:rPr>
              <w:br/>
            </w:r>
            <w:r w:rsidRPr="00F21C4A">
              <w:rPr>
                <w:rFonts w:ascii="Arial" w:hAnsi="Arial" w:cs="Arial"/>
                <w:color w:val="000000" w:themeColor="text1"/>
                <w:sz w:val="22"/>
                <w:szCs w:val="22"/>
              </w:rPr>
              <w:t>w transporcie</w:t>
            </w:r>
          </w:p>
        </w:tc>
        <w:tc>
          <w:tcPr>
            <w:tcW w:w="916" w:type="pct"/>
          </w:tcPr>
          <w:p w14:paraId="6B45E4EA" w14:textId="2C27E156"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Wkład </w:t>
            </w:r>
            <w:r w:rsidR="00511BC6">
              <w:rPr>
                <w:rFonts w:ascii="Arial" w:hAnsi="Arial" w:cs="Arial"/>
                <w:color w:val="000000" w:themeColor="text1"/>
                <w:sz w:val="22"/>
                <w:szCs w:val="22"/>
              </w:rPr>
              <w:br/>
            </w:r>
            <w:r w:rsidRPr="00F21C4A">
              <w:rPr>
                <w:rFonts w:ascii="Arial" w:hAnsi="Arial" w:cs="Arial"/>
                <w:color w:val="000000" w:themeColor="text1"/>
                <w:sz w:val="22"/>
                <w:szCs w:val="22"/>
              </w:rPr>
              <w:t xml:space="preserve">w rozwiązanie problemu skupiony przestrzennie na głównych trasach oraz w </w:t>
            </w:r>
            <w:r w:rsidR="00C00D13" w:rsidRPr="00F21C4A">
              <w:rPr>
                <w:rFonts w:ascii="Arial" w:hAnsi="Arial" w:cs="Arial"/>
                <w:color w:val="000000" w:themeColor="text1"/>
                <w:sz w:val="22"/>
                <w:szCs w:val="22"/>
              </w:rPr>
              <w:t>ROF</w:t>
            </w:r>
            <w:r w:rsidR="00511BC6">
              <w:rPr>
                <w:rFonts w:ascii="Arial" w:hAnsi="Arial" w:cs="Arial"/>
                <w:color w:val="000000" w:themeColor="text1"/>
                <w:sz w:val="22"/>
                <w:szCs w:val="22"/>
              </w:rPr>
              <w:t xml:space="preserve"> i kilku innych MOF</w:t>
            </w:r>
          </w:p>
          <w:p w14:paraId="736BCDFB"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(2)</w:t>
            </w:r>
          </w:p>
        </w:tc>
        <w:tc>
          <w:tcPr>
            <w:tcW w:w="989" w:type="pct"/>
          </w:tcPr>
          <w:p w14:paraId="09CA0275" w14:textId="125439C3"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Duzy wkład </w:t>
            </w:r>
            <w:r w:rsidR="00511BC6">
              <w:rPr>
                <w:rFonts w:ascii="Arial" w:hAnsi="Arial" w:cs="Arial"/>
                <w:color w:val="000000" w:themeColor="text1"/>
                <w:sz w:val="22"/>
                <w:szCs w:val="22"/>
              </w:rPr>
              <w:br/>
            </w:r>
            <w:r w:rsidRPr="00F21C4A">
              <w:rPr>
                <w:rFonts w:ascii="Arial" w:hAnsi="Arial" w:cs="Arial"/>
                <w:color w:val="000000" w:themeColor="text1"/>
                <w:sz w:val="22"/>
                <w:szCs w:val="22"/>
              </w:rPr>
              <w:t xml:space="preserve">w rozwiązanie problemu poprzez poprawę sytuacji na licznych trasach regionalnych </w:t>
            </w:r>
            <w:r w:rsidR="00511BC6">
              <w:rPr>
                <w:rFonts w:ascii="Arial" w:hAnsi="Arial" w:cs="Arial"/>
                <w:color w:val="000000" w:themeColor="text1"/>
                <w:sz w:val="22"/>
                <w:szCs w:val="22"/>
              </w:rPr>
              <w:br/>
            </w:r>
            <w:r w:rsidRPr="00F21C4A">
              <w:rPr>
                <w:rFonts w:ascii="Arial" w:hAnsi="Arial" w:cs="Arial"/>
                <w:color w:val="000000" w:themeColor="text1"/>
                <w:sz w:val="22"/>
                <w:szCs w:val="22"/>
              </w:rPr>
              <w:t>i lokalnych</w:t>
            </w:r>
          </w:p>
          <w:p w14:paraId="25CD081D"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(4)</w:t>
            </w:r>
          </w:p>
        </w:tc>
        <w:tc>
          <w:tcPr>
            <w:tcW w:w="959" w:type="pct"/>
          </w:tcPr>
          <w:p w14:paraId="45BD108F" w14:textId="77777777"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Wyraźny wkład w rozwiązanie problemu wynikający ze zmian modalnych, ale jednocześnie ograniczony mniejszą skalą inwestycji drogowych</w:t>
            </w:r>
          </w:p>
          <w:p w14:paraId="0131177E" w14:textId="6B692F4C"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w:t>
            </w:r>
            <w:r w:rsidR="003E1890" w:rsidRPr="00F21C4A">
              <w:rPr>
                <w:rFonts w:ascii="Arial" w:hAnsi="Arial" w:cs="Arial"/>
                <w:b/>
                <w:color w:val="000000" w:themeColor="text1"/>
                <w:sz w:val="22"/>
                <w:szCs w:val="22"/>
              </w:rPr>
              <w:t>4</w:t>
            </w:r>
            <w:r w:rsidRPr="00F21C4A">
              <w:rPr>
                <w:rFonts w:ascii="Arial" w:hAnsi="Arial" w:cs="Arial"/>
                <w:b/>
                <w:color w:val="000000" w:themeColor="text1"/>
                <w:sz w:val="22"/>
                <w:szCs w:val="22"/>
              </w:rPr>
              <w:t>)</w:t>
            </w:r>
          </w:p>
        </w:tc>
        <w:tc>
          <w:tcPr>
            <w:tcW w:w="976" w:type="pct"/>
          </w:tcPr>
          <w:p w14:paraId="535EF292" w14:textId="3AB9AD00"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 xml:space="preserve">Istotny wkład </w:t>
            </w:r>
            <w:r w:rsidR="00511BC6">
              <w:rPr>
                <w:rFonts w:ascii="Arial" w:hAnsi="Arial" w:cs="Arial"/>
                <w:color w:val="000000" w:themeColor="text1"/>
                <w:sz w:val="22"/>
                <w:szCs w:val="22"/>
              </w:rPr>
              <w:br/>
            </w:r>
            <w:r w:rsidRPr="00F21C4A">
              <w:rPr>
                <w:rFonts w:ascii="Arial" w:hAnsi="Arial" w:cs="Arial"/>
                <w:color w:val="000000" w:themeColor="text1"/>
                <w:sz w:val="22"/>
                <w:szCs w:val="22"/>
              </w:rPr>
              <w:t xml:space="preserve">w rozwiązanie problemu we wszystkich </w:t>
            </w:r>
            <w:r w:rsidR="00C00D13" w:rsidRPr="00F21C4A">
              <w:rPr>
                <w:rFonts w:ascii="Arial" w:hAnsi="Arial" w:cs="Arial"/>
                <w:color w:val="000000" w:themeColor="text1"/>
                <w:sz w:val="22"/>
                <w:szCs w:val="22"/>
              </w:rPr>
              <w:t>ROF/MOF</w:t>
            </w:r>
            <w:r w:rsidRPr="00F21C4A">
              <w:rPr>
                <w:rFonts w:ascii="Arial" w:hAnsi="Arial" w:cs="Arial"/>
                <w:color w:val="000000" w:themeColor="text1"/>
                <w:sz w:val="22"/>
                <w:szCs w:val="22"/>
              </w:rPr>
              <w:t xml:space="preserve">, </w:t>
            </w:r>
            <w:r w:rsidR="00511BC6">
              <w:rPr>
                <w:rFonts w:ascii="Arial" w:hAnsi="Arial" w:cs="Arial"/>
                <w:color w:val="000000" w:themeColor="text1"/>
                <w:sz w:val="22"/>
                <w:szCs w:val="22"/>
              </w:rPr>
              <w:br/>
            </w:r>
            <w:r w:rsidRPr="00F21C4A">
              <w:rPr>
                <w:rFonts w:ascii="Arial" w:hAnsi="Arial" w:cs="Arial"/>
                <w:color w:val="000000" w:themeColor="text1"/>
                <w:sz w:val="22"/>
                <w:szCs w:val="22"/>
              </w:rPr>
              <w:t xml:space="preserve">a także </w:t>
            </w:r>
            <w:r w:rsidR="0076455A">
              <w:rPr>
                <w:rFonts w:ascii="Arial" w:hAnsi="Arial" w:cs="Arial"/>
                <w:color w:val="000000" w:themeColor="text1"/>
                <w:sz w:val="22"/>
                <w:szCs w:val="22"/>
              </w:rPr>
              <w:br/>
            </w:r>
            <w:r w:rsidRPr="00F21C4A">
              <w:rPr>
                <w:rFonts w:ascii="Arial" w:hAnsi="Arial" w:cs="Arial"/>
                <w:color w:val="000000" w:themeColor="text1"/>
                <w:sz w:val="22"/>
                <w:szCs w:val="22"/>
              </w:rPr>
              <w:t>w ciągach dróg wojewódzkich</w:t>
            </w:r>
          </w:p>
          <w:p w14:paraId="7C8CB4E9" w14:textId="77777777"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(5)</w:t>
            </w:r>
          </w:p>
        </w:tc>
      </w:tr>
      <w:tr w:rsidR="006F4FD2" w:rsidRPr="00F21C4A" w14:paraId="08C88AB1" w14:textId="77777777" w:rsidTr="00F21C4A">
        <w:tc>
          <w:tcPr>
            <w:tcW w:w="1160" w:type="pct"/>
          </w:tcPr>
          <w:p w14:paraId="0F6F6F6D" w14:textId="10FC6D32" w:rsidR="0014581E" w:rsidRPr="00F21C4A" w:rsidRDefault="0014581E" w:rsidP="00736A44">
            <w:pPr>
              <w:spacing w:line="288" w:lineRule="auto"/>
              <w:rPr>
                <w:rFonts w:ascii="Arial" w:hAnsi="Arial" w:cs="Arial"/>
                <w:color w:val="000000" w:themeColor="text1"/>
                <w:sz w:val="22"/>
                <w:szCs w:val="22"/>
              </w:rPr>
            </w:pPr>
            <w:r w:rsidRPr="00F21C4A">
              <w:rPr>
                <w:rFonts w:ascii="Arial" w:hAnsi="Arial" w:cs="Arial"/>
                <w:color w:val="000000" w:themeColor="text1"/>
                <w:sz w:val="22"/>
                <w:szCs w:val="22"/>
              </w:rPr>
              <w:t>Łączna bonitacja</w:t>
            </w:r>
            <w:r w:rsidR="00B52BD0" w:rsidRPr="00F21C4A">
              <w:rPr>
                <w:rFonts w:ascii="Arial" w:hAnsi="Arial" w:cs="Arial"/>
                <w:color w:val="000000" w:themeColor="text1"/>
                <w:sz w:val="22"/>
                <w:szCs w:val="22"/>
              </w:rPr>
              <w:br/>
              <w:t>(określenie bonitacji:</w:t>
            </w:r>
            <w:r w:rsidR="00B52BD0" w:rsidRPr="00F21C4A">
              <w:rPr>
                <w:rFonts w:ascii="Arial" w:hAnsi="Arial" w:cs="Arial"/>
                <w:color w:val="000000" w:themeColor="text1"/>
                <w:sz w:val="22"/>
                <w:szCs w:val="22"/>
              </w:rPr>
              <w:br/>
              <w:t>1- słaba; 5 wysoka)</w:t>
            </w:r>
          </w:p>
        </w:tc>
        <w:tc>
          <w:tcPr>
            <w:tcW w:w="916" w:type="pct"/>
          </w:tcPr>
          <w:p w14:paraId="41127087" w14:textId="15B6B6C6" w:rsidR="0014581E" w:rsidRPr="00F21C4A" w:rsidRDefault="00B52BD0"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11</w:t>
            </w:r>
          </w:p>
        </w:tc>
        <w:tc>
          <w:tcPr>
            <w:tcW w:w="989" w:type="pct"/>
          </w:tcPr>
          <w:p w14:paraId="7B73D344" w14:textId="5A427463"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13</w:t>
            </w:r>
          </w:p>
        </w:tc>
        <w:tc>
          <w:tcPr>
            <w:tcW w:w="959" w:type="pct"/>
          </w:tcPr>
          <w:p w14:paraId="257CCAF2" w14:textId="1D177CF0"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1</w:t>
            </w:r>
            <w:r w:rsidR="003E1890" w:rsidRPr="00F21C4A">
              <w:rPr>
                <w:rFonts w:ascii="Arial" w:hAnsi="Arial" w:cs="Arial"/>
                <w:b/>
                <w:color w:val="000000" w:themeColor="text1"/>
                <w:sz w:val="22"/>
                <w:szCs w:val="22"/>
              </w:rPr>
              <w:t>5</w:t>
            </w:r>
          </w:p>
        </w:tc>
        <w:tc>
          <w:tcPr>
            <w:tcW w:w="976" w:type="pct"/>
          </w:tcPr>
          <w:p w14:paraId="3F82677A" w14:textId="70B72559" w:rsidR="0014581E" w:rsidRPr="00F21C4A" w:rsidRDefault="0014581E" w:rsidP="00736A44">
            <w:pPr>
              <w:spacing w:line="288" w:lineRule="auto"/>
              <w:jc w:val="center"/>
              <w:rPr>
                <w:rFonts w:ascii="Arial" w:hAnsi="Arial" w:cs="Arial"/>
                <w:b/>
                <w:color w:val="000000" w:themeColor="text1"/>
                <w:sz w:val="22"/>
                <w:szCs w:val="22"/>
              </w:rPr>
            </w:pPr>
            <w:r w:rsidRPr="00F21C4A">
              <w:rPr>
                <w:rFonts w:ascii="Arial" w:hAnsi="Arial" w:cs="Arial"/>
                <w:b/>
                <w:color w:val="000000" w:themeColor="text1"/>
                <w:sz w:val="22"/>
                <w:szCs w:val="22"/>
              </w:rPr>
              <w:t>17</w:t>
            </w:r>
          </w:p>
        </w:tc>
      </w:tr>
    </w:tbl>
    <w:p w14:paraId="1CCEFC9A" w14:textId="2B51728A" w:rsidR="00E35A21" w:rsidRPr="009B78DA" w:rsidRDefault="00736A44" w:rsidP="00511BC6">
      <w:pPr>
        <w:spacing w:before="120" w:after="480" w:line="288" w:lineRule="auto"/>
        <w:rPr>
          <w:rFonts w:ascii="Arial" w:hAnsi="Arial" w:cs="Arial"/>
          <w:color w:val="000000" w:themeColor="text1"/>
          <w:sz w:val="22"/>
          <w:szCs w:val="22"/>
        </w:rPr>
      </w:pPr>
      <w:r w:rsidRPr="009B78DA">
        <w:rPr>
          <w:rFonts w:ascii="Arial" w:hAnsi="Arial" w:cs="Arial"/>
          <w:color w:val="000000" w:themeColor="text1"/>
          <w:sz w:val="22"/>
          <w:szCs w:val="22"/>
        </w:rPr>
        <w:t>Źródło: Opracowanie własne.</w:t>
      </w:r>
    </w:p>
    <w:p w14:paraId="214A7D5B" w14:textId="77777777" w:rsidR="00511BC6" w:rsidRPr="009B78DA" w:rsidRDefault="00511BC6" w:rsidP="00511BC6">
      <w:pPr>
        <w:spacing w:before="120" w:after="480" w:line="288" w:lineRule="auto"/>
        <w:rPr>
          <w:rFonts w:ascii="Arial" w:hAnsi="Arial" w:cs="Arial"/>
          <w:b/>
          <w:bCs/>
          <w:color w:val="000000" w:themeColor="text1"/>
          <w:sz w:val="22"/>
          <w:szCs w:val="22"/>
        </w:rPr>
      </w:pPr>
      <w:r w:rsidRPr="009B78DA">
        <w:rPr>
          <w:rFonts w:ascii="Arial" w:hAnsi="Arial" w:cs="Arial"/>
          <w:b/>
          <w:bCs/>
          <w:color w:val="000000" w:themeColor="text1"/>
          <w:sz w:val="22"/>
          <w:szCs w:val="22"/>
        </w:rPr>
        <w:t>Przeprowadzenie porównanie wskazało na wariant 4, jako najbardziej predystynowany do określenia podstaw regionalnej polityki transportowej w najbliższej dekadzie.</w:t>
      </w:r>
    </w:p>
    <w:p w14:paraId="0ED90C68" w14:textId="25C8903D" w:rsidR="00511BC6" w:rsidRDefault="00615E84" w:rsidP="00511BC6">
      <w:pPr>
        <w:spacing w:after="120" w:line="288" w:lineRule="auto"/>
        <w:ind w:firstLine="851"/>
        <w:rPr>
          <w:rFonts w:ascii="Arial" w:hAnsi="Arial" w:cs="Arial"/>
          <w:b/>
          <w:color w:val="000000" w:themeColor="text1"/>
          <w:sz w:val="22"/>
          <w:szCs w:val="22"/>
        </w:rPr>
      </w:pPr>
      <w:r w:rsidRPr="009B78DA">
        <w:rPr>
          <w:rFonts w:ascii="Arial" w:hAnsi="Arial" w:cs="Arial"/>
          <w:b/>
          <w:color w:val="000000" w:themeColor="text1"/>
          <w:sz w:val="22"/>
          <w:szCs w:val="22"/>
        </w:rPr>
        <w:t xml:space="preserve">Dokonywane w ramach PSRT WP wybory inwestycyjne wpisują się w sposób harmonijny w 4 wariant rozwoju. Dobór </w:t>
      </w:r>
      <w:r w:rsidR="00E35A21" w:rsidRPr="009B78DA">
        <w:rPr>
          <w:rFonts w:ascii="Arial" w:hAnsi="Arial" w:cs="Arial"/>
          <w:b/>
          <w:color w:val="000000" w:themeColor="text1"/>
          <w:sz w:val="22"/>
          <w:szCs w:val="22"/>
        </w:rPr>
        <w:t>wojewódzkich projektów transportowych uwzględniających założenia wariantu</w:t>
      </w:r>
      <w:r w:rsidR="00E35A21" w:rsidRPr="009B78DA">
        <w:rPr>
          <w:b/>
          <w:color w:val="000000" w:themeColor="text1"/>
        </w:rPr>
        <w:t xml:space="preserve"> </w:t>
      </w:r>
      <w:r w:rsidR="00E35A21" w:rsidRPr="009B78DA">
        <w:rPr>
          <w:rFonts w:ascii="Arial" w:hAnsi="Arial" w:cs="Arial"/>
          <w:b/>
          <w:i/>
          <w:color w:val="000000" w:themeColor="text1"/>
          <w:sz w:val="22"/>
          <w:szCs w:val="22"/>
        </w:rPr>
        <w:t>Równomiernego rozwoju multimodalnego</w:t>
      </w:r>
      <w:r w:rsidR="00E35A21" w:rsidRPr="009B78DA">
        <w:rPr>
          <w:rFonts w:ascii="Arial" w:hAnsi="Arial" w:cs="Arial"/>
          <w:b/>
          <w:color w:val="000000" w:themeColor="text1"/>
          <w:sz w:val="22"/>
          <w:szCs w:val="22"/>
        </w:rPr>
        <w:t xml:space="preserve"> stanowi gwarancję optymalnego </w:t>
      </w:r>
      <w:r w:rsidR="00755908" w:rsidRPr="009B78DA">
        <w:rPr>
          <w:rFonts w:ascii="Arial" w:hAnsi="Arial" w:cs="Arial"/>
          <w:b/>
          <w:color w:val="000000" w:themeColor="text1"/>
          <w:sz w:val="22"/>
          <w:szCs w:val="22"/>
        </w:rPr>
        <w:t>doboru projektu</w:t>
      </w:r>
      <w:r w:rsidR="00E35A21" w:rsidRPr="009B78DA">
        <w:rPr>
          <w:rFonts w:ascii="Arial" w:hAnsi="Arial" w:cs="Arial"/>
          <w:b/>
          <w:color w:val="000000" w:themeColor="text1"/>
          <w:sz w:val="22"/>
          <w:szCs w:val="22"/>
        </w:rPr>
        <w:t xml:space="preserve"> pozwalającego na zrównoważony rozwój transportu przy uwzględnieniu szerokiego spektrum potrzeb społeczno-gospodarczych i szacunku dla środowiska naturalnego.</w:t>
      </w:r>
    </w:p>
    <w:p w14:paraId="1A523653" w14:textId="77777777" w:rsidR="00511BC6" w:rsidRDefault="00511BC6">
      <w:pPr>
        <w:rPr>
          <w:rFonts w:ascii="Arial" w:hAnsi="Arial" w:cs="Arial"/>
          <w:b/>
          <w:color w:val="000000" w:themeColor="text1"/>
          <w:sz w:val="22"/>
          <w:szCs w:val="22"/>
        </w:rPr>
      </w:pPr>
      <w:r>
        <w:rPr>
          <w:rFonts w:ascii="Arial" w:hAnsi="Arial" w:cs="Arial"/>
          <w:b/>
          <w:color w:val="000000" w:themeColor="text1"/>
          <w:sz w:val="22"/>
          <w:szCs w:val="22"/>
        </w:rPr>
        <w:br w:type="page"/>
      </w:r>
    </w:p>
    <w:p w14:paraId="07821A17" w14:textId="5A6D824C" w:rsidR="00437D38" w:rsidRPr="009B78DA" w:rsidRDefault="00437D38" w:rsidP="00511BC6">
      <w:pPr>
        <w:pStyle w:val="Nagwek1"/>
        <w:numPr>
          <w:ilvl w:val="0"/>
          <w:numId w:val="280"/>
        </w:numPr>
        <w:spacing w:after="120" w:line="288" w:lineRule="auto"/>
        <w:ind w:left="714" w:hanging="357"/>
        <w:rPr>
          <w:rFonts w:cs="Arial"/>
          <w:b/>
          <w:bCs/>
          <w:color w:val="000000" w:themeColor="text1"/>
          <w:sz w:val="26"/>
          <w:szCs w:val="26"/>
        </w:rPr>
      </w:pPr>
      <w:bookmarkStart w:id="250" w:name="_Toc100335074"/>
      <w:bookmarkStart w:id="251" w:name="_Toc146785800"/>
      <w:r w:rsidRPr="009B78DA">
        <w:rPr>
          <w:rFonts w:cs="Arial"/>
          <w:b/>
          <w:bCs/>
          <w:color w:val="000000" w:themeColor="text1"/>
          <w:sz w:val="26"/>
          <w:szCs w:val="26"/>
        </w:rPr>
        <w:t>Cele i kierunki rozwoju regionalnego systemu transportowego</w:t>
      </w:r>
      <w:bookmarkEnd w:id="250"/>
      <w:bookmarkEnd w:id="251"/>
    </w:p>
    <w:p w14:paraId="252F9DC1" w14:textId="66564143" w:rsidR="00437D38" w:rsidRPr="009B78DA" w:rsidRDefault="00437D38" w:rsidP="00511BC6">
      <w:pPr>
        <w:pStyle w:val="Nagwek2"/>
        <w:numPr>
          <w:ilvl w:val="0"/>
          <w:numId w:val="263"/>
        </w:numPr>
        <w:spacing w:before="0" w:line="288" w:lineRule="auto"/>
        <w:ind w:left="714" w:hanging="357"/>
        <w:rPr>
          <w:rFonts w:cs="Arial"/>
          <w:bCs/>
          <w:sz w:val="26"/>
        </w:rPr>
      </w:pPr>
      <w:bookmarkStart w:id="252" w:name="_Toc100335075"/>
      <w:bookmarkStart w:id="253" w:name="_Toc146785801"/>
      <w:r w:rsidRPr="009B78DA">
        <w:rPr>
          <w:rFonts w:cs="Arial"/>
          <w:bCs/>
          <w:sz w:val="26"/>
        </w:rPr>
        <w:t>Cele podstawowe i horyzontalne</w:t>
      </w:r>
      <w:bookmarkEnd w:id="252"/>
      <w:bookmarkEnd w:id="253"/>
    </w:p>
    <w:p w14:paraId="0FD80688" w14:textId="4469A599" w:rsidR="00437D38" w:rsidRPr="009B78DA" w:rsidRDefault="00437D38" w:rsidP="00511BC6">
      <w:pPr>
        <w:spacing w:after="0" w:line="312"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Cele i kierunki rozwoju regionalnego systemu transportowego zostały sformułowane na podstawie diagnozy aktualnego stanu wszystkich elementów podkarpackiej infrastruktury transportowej i diagnozy funkcjonowania wszystkich </w:t>
      </w:r>
      <w:r w:rsidR="00511BC6">
        <w:rPr>
          <w:rFonts w:ascii="Arial" w:hAnsi="Arial" w:cs="Arial"/>
          <w:color w:val="000000" w:themeColor="text1"/>
          <w:sz w:val="22"/>
          <w:szCs w:val="22"/>
        </w:rPr>
        <w:t>segmentów rynku transportowego.</w:t>
      </w:r>
    </w:p>
    <w:p w14:paraId="4A9103C1" w14:textId="06F00165" w:rsidR="00126A59" w:rsidRPr="009B78DA" w:rsidRDefault="00126A59" w:rsidP="00511BC6">
      <w:pPr>
        <w:spacing w:after="0" w:line="312"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Przygotowane cele i kierunki są odpowiedzią na zdiagnozowane problemy bazowe </w:t>
      </w:r>
      <w:r w:rsidR="004F072D"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i stanowią rozwiązanie wskazanych wyzwań zgodnie z opisanym wariantem rozwoju. </w:t>
      </w:r>
    </w:p>
    <w:p w14:paraId="44867D2C" w14:textId="072E6A60" w:rsidR="00437D38" w:rsidRPr="009B78DA" w:rsidRDefault="00437D38" w:rsidP="00511BC6">
      <w:pPr>
        <w:spacing w:after="0" w:line="312"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Punkt wyjścia dla określenia kluczowych czynników rozwoju transportu </w:t>
      </w:r>
      <w:r w:rsidR="00511BC6">
        <w:rPr>
          <w:rFonts w:ascii="Arial" w:hAnsi="Arial" w:cs="Arial"/>
          <w:color w:val="000000" w:themeColor="text1"/>
          <w:sz w:val="22"/>
          <w:szCs w:val="22"/>
        </w:rPr>
        <w:br/>
      </w:r>
      <w:r w:rsidRPr="009B78DA">
        <w:rPr>
          <w:rFonts w:ascii="Arial" w:hAnsi="Arial" w:cs="Arial"/>
          <w:color w:val="000000" w:themeColor="text1"/>
          <w:sz w:val="22"/>
          <w:szCs w:val="22"/>
        </w:rPr>
        <w:t xml:space="preserve">w województwie podkarpackim stanowią cele i kierunki działań zawarte w </w:t>
      </w:r>
      <w:r w:rsidRPr="009B78DA">
        <w:rPr>
          <w:rFonts w:ascii="Arial" w:hAnsi="Arial" w:cs="Arial"/>
          <w:i/>
          <w:iCs/>
          <w:color w:val="000000" w:themeColor="text1"/>
          <w:sz w:val="22"/>
          <w:szCs w:val="22"/>
        </w:rPr>
        <w:t>Strategii rozwoju województwa – Podkarpackie 2030</w:t>
      </w:r>
      <w:r w:rsidRPr="009B78DA">
        <w:rPr>
          <w:rFonts w:ascii="Arial" w:hAnsi="Arial" w:cs="Arial"/>
          <w:color w:val="000000" w:themeColor="text1"/>
          <w:sz w:val="22"/>
          <w:szCs w:val="22"/>
        </w:rPr>
        <w:t>, a do</w:t>
      </w:r>
      <w:r w:rsidR="00511BC6">
        <w:rPr>
          <w:rFonts w:ascii="Arial" w:hAnsi="Arial" w:cs="Arial"/>
          <w:color w:val="000000" w:themeColor="text1"/>
          <w:sz w:val="22"/>
          <w:szCs w:val="22"/>
        </w:rPr>
        <w:t>tyczące kwestii transportowych.</w:t>
      </w:r>
    </w:p>
    <w:p w14:paraId="767CDEB7" w14:textId="337E8A18" w:rsidR="00437D38" w:rsidRPr="009B78DA" w:rsidRDefault="00437D38" w:rsidP="00511BC6">
      <w:pPr>
        <w:spacing w:after="0" w:line="312"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Cel główny strategii, czyli Odpowiedzialne i efektywne wykorzystanie zasobów endo- </w:t>
      </w:r>
      <w:r w:rsidR="004A42EB" w:rsidRPr="009B78DA">
        <w:rPr>
          <w:rFonts w:ascii="Arial" w:hAnsi="Arial" w:cs="Arial"/>
          <w:color w:val="000000" w:themeColor="text1"/>
          <w:sz w:val="22"/>
          <w:szCs w:val="22"/>
        </w:rPr>
        <w:br/>
      </w:r>
      <w:r w:rsidRPr="009B78DA">
        <w:rPr>
          <w:rFonts w:ascii="Arial" w:hAnsi="Arial" w:cs="Arial"/>
          <w:color w:val="000000" w:themeColor="text1"/>
          <w:sz w:val="22"/>
          <w:szCs w:val="22"/>
        </w:rPr>
        <w:t>i egzogenicznych regionu, zapewniające trwały, zrównoważony i terytorialnie równomierny rozwój gospodarczy oraz wysoką jakość życia mieszkańców województwa wskazuje różne obszary działań w obrębie transportu, które powinny przyczynić się do jego osiągnięcia. Są to następujące cele szczegółowe:</w:t>
      </w:r>
    </w:p>
    <w:p w14:paraId="2F791B9A" w14:textId="77777777" w:rsidR="00437D38" w:rsidRPr="009B78DA" w:rsidRDefault="00437D38" w:rsidP="00511BC6">
      <w:pPr>
        <w:pStyle w:val="Akapitzlist"/>
        <w:numPr>
          <w:ilvl w:val="0"/>
          <w:numId w:val="71"/>
        </w:numPr>
        <w:spacing w:after="0" w:line="312" w:lineRule="auto"/>
        <w:ind w:left="426" w:hanging="284"/>
        <w:rPr>
          <w:rFonts w:ascii="Arial" w:hAnsi="Arial" w:cs="Arial"/>
          <w:color w:val="000000" w:themeColor="text1"/>
          <w:sz w:val="22"/>
          <w:szCs w:val="22"/>
        </w:rPr>
      </w:pPr>
      <w:r w:rsidRPr="009B78DA">
        <w:rPr>
          <w:rFonts w:ascii="Arial" w:hAnsi="Arial" w:cs="Arial"/>
          <w:color w:val="000000" w:themeColor="text1"/>
          <w:sz w:val="22"/>
          <w:szCs w:val="22"/>
        </w:rPr>
        <w:t>Rozwój infrastruktury transportowej oraz integracji międzygałęziowej transportu</w:t>
      </w:r>
    </w:p>
    <w:p w14:paraId="5424A601" w14:textId="77777777" w:rsidR="00437D38" w:rsidRPr="009B78DA" w:rsidRDefault="00437D38" w:rsidP="00511BC6">
      <w:pPr>
        <w:pStyle w:val="Akapitzlist"/>
        <w:numPr>
          <w:ilvl w:val="0"/>
          <w:numId w:val="71"/>
        </w:numPr>
        <w:spacing w:after="0" w:line="312" w:lineRule="auto"/>
        <w:ind w:left="426" w:hanging="284"/>
        <w:rPr>
          <w:rFonts w:ascii="Arial" w:hAnsi="Arial" w:cs="Arial"/>
          <w:color w:val="000000" w:themeColor="text1"/>
          <w:sz w:val="22"/>
          <w:szCs w:val="22"/>
        </w:rPr>
      </w:pPr>
      <w:r w:rsidRPr="009B78DA">
        <w:rPr>
          <w:rFonts w:ascii="Arial" w:hAnsi="Arial" w:cs="Arial"/>
          <w:color w:val="000000" w:themeColor="text1"/>
          <w:sz w:val="22"/>
          <w:szCs w:val="22"/>
        </w:rPr>
        <w:t>Poprawa dostępności komunikacyjnej wewnątrz regionu oraz rozwój transportu publicznego</w:t>
      </w:r>
    </w:p>
    <w:p w14:paraId="1D016402" w14:textId="77777777" w:rsidR="00437D38" w:rsidRPr="009B78DA" w:rsidRDefault="00437D38" w:rsidP="00511BC6">
      <w:pPr>
        <w:pStyle w:val="Akapitzlist"/>
        <w:numPr>
          <w:ilvl w:val="0"/>
          <w:numId w:val="71"/>
        </w:numPr>
        <w:spacing w:after="0" w:line="312" w:lineRule="auto"/>
        <w:ind w:left="426" w:hanging="284"/>
        <w:rPr>
          <w:rFonts w:ascii="Arial" w:hAnsi="Arial" w:cs="Arial"/>
          <w:color w:val="000000" w:themeColor="text1"/>
          <w:sz w:val="22"/>
          <w:szCs w:val="22"/>
        </w:rPr>
      </w:pPr>
      <w:r w:rsidRPr="009B78DA">
        <w:rPr>
          <w:rFonts w:ascii="Arial" w:hAnsi="Arial" w:cs="Arial"/>
          <w:color w:val="000000" w:themeColor="text1"/>
          <w:sz w:val="22"/>
          <w:szCs w:val="22"/>
        </w:rPr>
        <w:t>Rozwój infrastruktury informacyjno-komunikacyjnej w regionie</w:t>
      </w:r>
    </w:p>
    <w:p w14:paraId="59666CED" w14:textId="77777777" w:rsidR="00437D38" w:rsidRPr="009B78DA" w:rsidRDefault="00437D38" w:rsidP="00511BC6">
      <w:pPr>
        <w:pStyle w:val="Akapitzlist"/>
        <w:numPr>
          <w:ilvl w:val="0"/>
          <w:numId w:val="71"/>
        </w:numPr>
        <w:spacing w:after="0" w:line="312" w:lineRule="auto"/>
        <w:ind w:left="426" w:hanging="284"/>
        <w:rPr>
          <w:rFonts w:ascii="Arial" w:hAnsi="Arial" w:cs="Arial"/>
          <w:color w:val="000000" w:themeColor="text1"/>
          <w:sz w:val="22"/>
          <w:szCs w:val="22"/>
        </w:rPr>
      </w:pPr>
      <w:r w:rsidRPr="009B78DA">
        <w:rPr>
          <w:rFonts w:ascii="Arial" w:hAnsi="Arial" w:cs="Arial"/>
          <w:color w:val="000000" w:themeColor="text1"/>
          <w:sz w:val="22"/>
          <w:szCs w:val="22"/>
        </w:rPr>
        <w:t>Rozwój infrastruktury służącej prowadzeniu działalności gospodarczej i turystyki</w:t>
      </w:r>
    </w:p>
    <w:p w14:paraId="49BB4E94" w14:textId="77BC2E17" w:rsidR="00155576" w:rsidRPr="009B78DA" w:rsidRDefault="00437D38" w:rsidP="00511BC6">
      <w:pPr>
        <w:pStyle w:val="Akapitzlist"/>
        <w:numPr>
          <w:ilvl w:val="0"/>
          <w:numId w:val="71"/>
        </w:numPr>
        <w:spacing w:after="0" w:line="312" w:lineRule="auto"/>
        <w:ind w:left="426" w:hanging="284"/>
        <w:rPr>
          <w:rFonts w:ascii="Arial" w:hAnsi="Arial" w:cs="Arial"/>
          <w:color w:val="000000" w:themeColor="text1"/>
          <w:sz w:val="22"/>
          <w:szCs w:val="22"/>
        </w:rPr>
      </w:pPr>
      <w:r w:rsidRPr="009B78DA">
        <w:rPr>
          <w:rFonts w:ascii="Arial" w:hAnsi="Arial" w:cs="Arial"/>
          <w:color w:val="000000" w:themeColor="text1"/>
          <w:sz w:val="22"/>
          <w:szCs w:val="22"/>
        </w:rPr>
        <w:t>Terytorialny wymiar Strategii obszar horyzontalny.</w:t>
      </w:r>
    </w:p>
    <w:p w14:paraId="1AE43E6F" w14:textId="094126EA" w:rsidR="00155576" w:rsidRPr="009B78DA" w:rsidRDefault="00155576" w:rsidP="00511BC6">
      <w:pPr>
        <w:spacing w:after="0" w:line="312"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Biorąc pod uwagę powyższe zapisy </w:t>
      </w:r>
      <w:r w:rsidRPr="009B78DA">
        <w:rPr>
          <w:rFonts w:ascii="Arial" w:hAnsi="Arial" w:cs="Arial"/>
          <w:i/>
          <w:iCs/>
          <w:color w:val="000000" w:themeColor="text1"/>
          <w:sz w:val="22"/>
          <w:szCs w:val="22"/>
        </w:rPr>
        <w:t>Strategii rozwoju województwa – Podkarpackie 2030,</w:t>
      </w:r>
      <w:r w:rsidRPr="009B78DA">
        <w:rPr>
          <w:rFonts w:ascii="Arial" w:hAnsi="Arial" w:cs="Arial"/>
          <w:color w:val="000000" w:themeColor="text1"/>
          <w:sz w:val="22"/>
          <w:szCs w:val="22"/>
        </w:rPr>
        <w:t xml:space="preserve"> jak również wyniki przeprowadzonych analiz eksperckich oraz wnioski z diagnozy, określono cel główny Programu, jakim jest: Efektywne i skuteczne wdrażanie działań, przyczyniających się do realizacji celów </w:t>
      </w:r>
      <w:r w:rsidRPr="009B78DA">
        <w:rPr>
          <w:rFonts w:ascii="Arial" w:hAnsi="Arial" w:cs="Arial"/>
          <w:i/>
          <w:iCs/>
          <w:color w:val="000000" w:themeColor="text1"/>
          <w:sz w:val="22"/>
          <w:szCs w:val="22"/>
        </w:rPr>
        <w:t>Strategii rozwoju województwa – Podkarpackie 2030</w:t>
      </w:r>
      <w:r w:rsidRPr="009B78DA">
        <w:rPr>
          <w:rFonts w:ascii="Arial" w:hAnsi="Arial" w:cs="Arial"/>
          <w:color w:val="000000" w:themeColor="text1"/>
          <w:sz w:val="22"/>
          <w:szCs w:val="22"/>
        </w:rPr>
        <w:t xml:space="preserve"> w obrębie transportu, a także sformułowano cele podstawowe i horyzontalne rozwoju regionalnego systemu transportowego.</w:t>
      </w:r>
    </w:p>
    <w:p w14:paraId="10E78DA0" w14:textId="002EBD55" w:rsidR="00437D38" w:rsidRPr="009B78DA" w:rsidRDefault="00437D38" w:rsidP="00511BC6">
      <w:pPr>
        <w:spacing w:after="0" w:line="312"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Realizacja wskazanych celów rozwoju regionalnego systemu transportowego wymagać będzie podejmowania działań, które zostały określone jako kierunki rozwoju. Główne mechanizmy wsparcia dla poprawy sytuacji regionu w różnych skalach przestrzennych muszą stanowić komplementarne połączenie polityk transportowych realizowanych na szczeblu krajowym (</w:t>
      </w:r>
      <w:bookmarkStart w:id="254" w:name="_Hlk92543441"/>
      <w:r w:rsidRPr="009B78DA">
        <w:rPr>
          <w:rFonts w:ascii="Arial" w:hAnsi="Arial" w:cs="Arial"/>
          <w:color w:val="000000" w:themeColor="text1"/>
          <w:sz w:val="22"/>
          <w:szCs w:val="22"/>
        </w:rPr>
        <w:t>FE</w:t>
      </w:r>
      <w:r w:rsidR="00DD290D" w:rsidRPr="009B78DA">
        <w:rPr>
          <w:rFonts w:ascii="Arial" w:hAnsi="Arial" w:cs="Arial"/>
          <w:color w:val="000000" w:themeColor="text1"/>
          <w:sz w:val="22"/>
          <w:szCs w:val="22"/>
        </w:rPr>
        <w:t>n</w:t>
      </w:r>
      <w:r w:rsidRPr="009B78DA">
        <w:rPr>
          <w:rFonts w:ascii="Arial" w:hAnsi="Arial" w:cs="Arial"/>
          <w:color w:val="000000" w:themeColor="text1"/>
          <w:sz w:val="22"/>
          <w:szCs w:val="22"/>
        </w:rPr>
        <w:t xml:space="preserve">IKS </w:t>
      </w:r>
      <w:r w:rsidRPr="009B78DA">
        <w:rPr>
          <w:rFonts w:ascii="Arial" w:hAnsi="Arial" w:cs="Arial"/>
          <w:i/>
          <w:iCs/>
          <w:color w:val="000000" w:themeColor="text1"/>
          <w:sz w:val="22"/>
          <w:szCs w:val="22"/>
        </w:rPr>
        <w:t>– Fundusze Europejskie na Infrastrukturę, Klimat, Środowisko 2021-2027</w:t>
      </w:r>
      <w:r w:rsidRPr="009B78DA">
        <w:rPr>
          <w:rFonts w:ascii="Arial" w:hAnsi="Arial" w:cs="Arial"/>
          <w:color w:val="000000" w:themeColor="text1"/>
          <w:sz w:val="22"/>
          <w:szCs w:val="22"/>
        </w:rPr>
        <w:t xml:space="preserve"> </w:t>
      </w:r>
      <w:bookmarkEnd w:id="254"/>
      <w:r w:rsidRPr="009B78DA">
        <w:rPr>
          <w:rFonts w:ascii="Arial" w:hAnsi="Arial" w:cs="Arial"/>
          <w:color w:val="000000" w:themeColor="text1"/>
          <w:sz w:val="22"/>
          <w:szCs w:val="22"/>
        </w:rPr>
        <w:t xml:space="preserve">i </w:t>
      </w:r>
      <w:bookmarkStart w:id="255" w:name="_Hlk90291300"/>
      <w:r w:rsidRPr="009B78DA">
        <w:rPr>
          <w:rFonts w:ascii="Arial" w:hAnsi="Arial" w:cs="Arial"/>
          <w:color w:val="000000" w:themeColor="text1"/>
          <w:sz w:val="22"/>
          <w:szCs w:val="22"/>
        </w:rPr>
        <w:t xml:space="preserve">FEPW – </w:t>
      </w:r>
      <w:r w:rsidRPr="009B78DA">
        <w:rPr>
          <w:rFonts w:ascii="Arial" w:hAnsi="Arial" w:cs="Arial"/>
          <w:i/>
          <w:iCs/>
          <w:color w:val="000000" w:themeColor="text1"/>
          <w:sz w:val="22"/>
          <w:szCs w:val="22"/>
        </w:rPr>
        <w:t xml:space="preserve">Fundusze Europejskie dla Polski Wschodniej </w:t>
      </w:r>
      <w:r w:rsidR="0076455A">
        <w:rPr>
          <w:rFonts w:ascii="Arial" w:hAnsi="Arial" w:cs="Arial"/>
          <w:i/>
          <w:iCs/>
          <w:color w:val="000000" w:themeColor="text1"/>
          <w:sz w:val="22"/>
          <w:szCs w:val="22"/>
        </w:rPr>
        <w:br/>
      </w:r>
      <w:r w:rsidRPr="009B78DA">
        <w:rPr>
          <w:rFonts w:ascii="Arial" w:hAnsi="Arial" w:cs="Arial"/>
          <w:i/>
          <w:iCs/>
          <w:color w:val="000000" w:themeColor="text1"/>
          <w:sz w:val="22"/>
          <w:szCs w:val="22"/>
        </w:rPr>
        <w:t>2021-2027</w:t>
      </w:r>
      <w:r w:rsidRPr="009B78DA">
        <w:rPr>
          <w:rFonts w:ascii="Arial" w:hAnsi="Arial" w:cs="Arial"/>
          <w:color w:val="000000" w:themeColor="text1"/>
          <w:sz w:val="22"/>
          <w:szCs w:val="22"/>
        </w:rPr>
        <w:t xml:space="preserve">) oraz regionalnym (FEP – </w:t>
      </w:r>
      <w:r w:rsidRPr="009B78DA">
        <w:rPr>
          <w:rFonts w:ascii="Arial" w:hAnsi="Arial" w:cs="Arial"/>
          <w:i/>
          <w:iCs/>
          <w:color w:val="000000" w:themeColor="text1"/>
          <w:sz w:val="22"/>
          <w:szCs w:val="22"/>
        </w:rPr>
        <w:t>Fundusze Europejskie dla Podkarpacia 2021-2027</w:t>
      </w:r>
      <w:r w:rsidRPr="009B78DA">
        <w:rPr>
          <w:rFonts w:ascii="Arial" w:hAnsi="Arial" w:cs="Arial"/>
          <w:color w:val="000000" w:themeColor="text1"/>
          <w:sz w:val="22"/>
          <w:szCs w:val="22"/>
        </w:rPr>
        <w:t>).</w:t>
      </w:r>
    </w:p>
    <w:bookmarkEnd w:id="255"/>
    <w:p w14:paraId="1E30E388" w14:textId="77777777" w:rsidR="00437D38" w:rsidRPr="009B78DA" w:rsidRDefault="00437D38" w:rsidP="00511BC6">
      <w:pPr>
        <w:spacing w:after="0" w:line="312"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Dlatego poszczególne obszary wsparcia stanowią jednocześnie wskazania inwestycyjne dla władz regionu, jak też wskazania o charakterze „lobbingowym” będące uzasadnieniem dla zabiegania o konkretne inwestycje centralne.</w:t>
      </w:r>
    </w:p>
    <w:p w14:paraId="549598EB" w14:textId="77753C5F" w:rsidR="00437D38" w:rsidRPr="009B78DA" w:rsidRDefault="00437D38" w:rsidP="00511BC6">
      <w:pPr>
        <w:spacing w:after="0" w:line="312"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Wymienione cele i kierunki mają charakter komplementarny, nawzajem się przenikają i krzyżują, co oznacza, że nie można realizować żadnego z nich w oderwaniu od całego programu strategicznego (cele horyzontalne nie stanowią odrębnych zbiorów, natomiast pełnią funkcję komplementarną do wskazanych celów infrastrukturalnych – są ich uzupełnieniem oraz rozszerzeniem). Kierunki </w:t>
      </w:r>
      <w:r w:rsidR="00AE4ED0" w:rsidRPr="009B78DA">
        <w:rPr>
          <w:rFonts w:ascii="Arial" w:hAnsi="Arial" w:cs="Arial"/>
          <w:color w:val="000000" w:themeColor="text1"/>
          <w:sz w:val="22"/>
          <w:szCs w:val="22"/>
        </w:rPr>
        <w:t xml:space="preserve">rozwoju </w:t>
      </w:r>
      <w:r w:rsidRPr="009B78DA">
        <w:rPr>
          <w:rFonts w:ascii="Arial" w:hAnsi="Arial" w:cs="Arial"/>
          <w:color w:val="000000" w:themeColor="text1"/>
          <w:sz w:val="22"/>
          <w:szCs w:val="22"/>
        </w:rPr>
        <w:t>odnoszą się do poszczególnych sektorów transportu i wyznaczają główne założenia w kontekście</w:t>
      </w:r>
      <w:r w:rsidR="00A24767">
        <w:rPr>
          <w:rFonts w:ascii="Arial" w:hAnsi="Arial" w:cs="Arial"/>
          <w:color w:val="000000" w:themeColor="text1"/>
          <w:sz w:val="22"/>
          <w:szCs w:val="22"/>
        </w:rPr>
        <w:t xml:space="preserve"> określonych zmian systemowych.</w:t>
      </w:r>
    </w:p>
    <w:p w14:paraId="79743F9A" w14:textId="5F688048" w:rsidR="00A52405" w:rsidRPr="009B78DA" w:rsidRDefault="00437D38" w:rsidP="00511BC6">
      <w:pPr>
        <w:spacing w:after="0" w:line="312" w:lineRule="auto"/>
        <w:ind w:firstLine="709"/>
        <w:rPr>
          <w:rFonts w:ascii="Arial" w:hAnsi="Arial" w:cs="Arial"/>
          <w:bCs/>
          <w:color w:val="000000" w:themeColor="text1"/>
          <w:sz w:val="22"/>
          <w:szCs w:val="22"/>
        </w:rPr>
      </w:pPr>
      <w:r w:rsidRPr="009B78DA">
        <w:rPr>
          <w:rFonts w:ascii="Arial" w:hAnsi="Arial" w:cs="Arial"/>
          <w:bCs/>
          <w:color w:val="000000" w:themeColor="text1"/>
          <w:sz w:val="22"/>
          <w:szCs w:val="22"/>
        </w:rPr>
        <w:t xml:space="preserve">Odpowiedzialne podejście do kwestii </w:t>
      </w:r>
      <w:r w:rsidR="00AE4ED0" w:rsidRPr="009B78DA">
        <w:rPr>
          <w:rFonts w:ascii="Arial" w:hAnsi="Arial" w:cs="Arial"/>
          <w:bCs/>
          <w:color w:val="000000" w:themeColor="text1"/>
          <w:sz w:val="22"/>
          <w:szCs w:val="22"/>
        </w:rPr>
        <w:t>klimatu i środowiska naturalnego,</w:t>
      </w:r>
      <w:r w:rsidRPr="009B78DA">
        <w:rPr>
          <w:rFonts w:ascii="Arial" w:hAnsi="Arial" w:cs="Arial"/>
          <w:bCs/>
          <w:color w:val="000000" w:themeColor="text1"/>
          <w:sz w:val="22"/>
          <w:szCs w:val="22"/>
        </w:rPr>
        <w:t xml:space="preserve"> ale </w:t>
      </w:r>
      <w:r w:rsidR="00CA2BD5" w:rsidRPr="009B78DA">
        <w:rPr>
          <w:rFonts w:ascii="Arial" w:hAnsi="Arial" w:cs="Arial"/>
          <w:bCs/>
          <w:color w:val="000000" w:themeColor="text1"/>
          <w:sz w:val="22"/>
          <w:szCs w:val="22"/>
        </w:rPr>
        <w:br/>
      </w:r>
      <w:r w:rsidRPr="009B78DA">
        <w:rPr>
          <w:rFonts w:ascii="Arial" w:hAnsi="Arial" w:cs="Arial"/>
          <w:bCs/>
          <w:color w:val="000000" w:themeColor="text1"/>
          <w:sz w:val="22"/>
          <w:szCs w:val="22"/>
        </w:rPr>
        <w:t>i problematyki bezpieczeństwa – w kontekście funkcjonowania i rozwoju systemu transportowego regionu, jest wspólną cechą nadrzędną celów podstawowych</w:t>
      </w:r>
      <w:r w:rsidR="00CA2BD5" w:rsidRPr="009B78DA">
        <w:rPr>
          <w:rFonts w:ascii="Arial" w:hAnsi="Arial" w:cs="Arial"/>
          <w:bCs/>
          <w:color w:val="000000" w:themeColor="text1"/>
          <w:sz w:val="22"/>
          <w:szCs w:val="22"/>
        </w:rPr>
        <w:t xml:space="preserve">. </w:t>
      </w:r>
      <w:r w:rsidRPr="009B78DA">
        <w:rPr>
          <w:rFonts w:ascii="Arial" w:hAnsi="Arial" w:cs="Arial"/>
          <w:bCs/>
          <w:color w:val="000000" w:themeColor="text1"/>
          <w:sz w:val="22"/>
          <w:szCs w:val="22"/>
        </w:rPr>
        <w:t xml:space="preserve">Niezwykle istotne jest tutaj wskazanie, że osiąganie wszystkich celów horyzontalnych – a w tym kontekście szczególnie celów pn. </w:t>
      </w:r>
      <w:r w:rsidRPr="009B78DA">
        <w:rPr>
          <w:rFonts w:ascii="Arial" w:hAnsi="Arial" w:cs="Arial"/>
          <w:bCs/>
          <w:i/>
          <w:color w:val="000000" w:themeColor="text1"/>
          <w:sz w:val="22"/>
          <w:szCs w:val="22"/>
        </w:rPr>
        <w:t xml:space="preserve">Ograniczenie negatywnego oddziaływania sektora transportu na klimat oraz na regionalne środowisko naturalne </w:t>
      </w:r>
      <w:r w:rsidRPr="009B78DA">
        <w:rPr>
          <w:rFonts w:ascii="Arial" w:hAnsi="Arial" w:cs="Arial"/>
          <w:bCs/>
          <w:color w:val="000000" w:themeColor="text1"/>
          <w:sz w:val="22"/>
          <w:szCs w:val="22"/>
        </w:rPr>
        <w:t xml:space="preserve">oraz </w:t>
      </w:r>
      <w:r w:rsidRPr="009B78DA">
        <w:rPr>
          <w:rFonts w:ascii="Arial" w:hAnsi="Arial" w:cs="Arial"/>
          <w:bCs/>
          <w:i/>
          <w:iCs/>
          <w:color w:val="000000" w:themeColor="text1"/>
          <w:sz w:val="22"/>
          <w:szCs w:val="22"/>
        </w:rPr>
        <w:t>Poprawa</w:t>
      </w:r>
      <w:r w:rsidRPr="009B78DA">
        <w:rPr>
          <w:rFonts w:ascii="Arial" w:hAnsi="Arial" w:cs="Arial"/>
          <w:bCs/>
          <w:color w:val="000000" w:themeColor="text1"/>
          <w:sz w:val="22"/>
          <w:szCs w:val="22"/>
        </w:rPr>
        <w:t xml:space="preserve"> b</w:t>
      </w:r>
      <w:r w:rsidRPr="009B78DA">
        <w:rPr>
          <w:rFonts w:ascii="Arial" w:hAnsi="Arial" w:cs="Arial"/>
          <w:bCs/>
          <w:i/>
          <w:color w:val="000000" w:themeColor="text1"/>
          <w:sz w:val="22"/>
          <w:szCs w:val="22"/>
        </w:rPr>
        <w:t>ezpieczeństwa w transporcie,</w:t>
      </w:r>
      <w:r w:rsidRPr="009B78DA">
        <w:rPr>
          <w:rFonts w:ascii="Arial" w:hAnsi="Arial" w:cs="Arial"/>
          <w:bCs/>
          <w:color w:val="000000" w:themeColor="text1"/>
          <w:sz w:val="22"/>
          <w:szCs w:val="22"/>
        </w:rPr>
        <w:t xml:space="preserve"> odnosi się do każdego celu podstawowego. Cele horyzontalne zawarte </w:t>
      </w:r>
      <w:r w:rsidR="00297FBE" w:rsidRPr="009B78DA">
        <w:rPr>
          <w:rFonts w:ascii="Arial" w:hAnsi="Arial" w:cs="Arial"/>
          <w:bCs/>
          <w:color w:val="000000" w:themeColor="text1"/>
          <w:sz w:val="22"/>
          <w:szCs w:val="22"/>
        </w:rPr>
        <w:br/>
      </w:r>
      <w:r w:rsidRPr="009B78DA">
        <w:rPr>
          <w:rFonts w:ascii="Arial" w:hAnsi="Arial" w:cs="Arial"/>
          <w:bCs/>
          <w:color w:val="000000" w:themeColor="text1"/>
          <w:sz w:val="22"/>
          <w:szCs w:val="22"/>
        </w:rPr>
        <w:t>w niniejszym Programie stanowią bowiem wykładnię dla wszelkich inwestycji w regionalnym systemie transportowym wpisujących się w konkretne cele</w:t>
      </w:r>
      <w:r w:rsidR="004F072D" w:rsidRPr="009B78DA">
        <w:rPr>
          <w:rFonts w:ascii="Arial" w:hAnsi="Arial" w:cs="Arial"/>
          <w:bCs/>
          <w:color w:val="000000" w:themeColor="text1"/>
          <w:sz w:val="22"/>
          <w:szCs w:val="22"/>
        </w:rPr>
        <w:t xml:space="preserve"> podstawowe</w:t>
      </w:r>
      <w:r w:rsidRPr="009B78DA">
        <w:rPr>
          <w:rFonts w:ascii="Arial" w:hAnsi="Arial" w:cs="Arial"/>
          <w:bCs/>
          <w:color w:val="000000" w:themeColor="text1"/>
          <w:sz w:val="22"/>
          <w:szCs w:val="22"/>
        </w:rPr>
        <w:t>.</w:t>
      </w:r>
    </w:p>
    <w:p w14:paraId="547B9685" w14:textId="7EF290D4" w:rsidR="007B6EFC" w:rsidRPr="009B78DA" w:rsidRDefault="00437D38" w:rsidP="00511BC6">
      <w:pPr>
        <w:spacing w:after="0" w:line="312"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Należy tutaj nadmienić, że wśród dziedzin transportu, przedstawiane są także te, które potencjalnie mogłyby zaistnieć w regionalnym systemie transportowym w sposób szerszy (np. transport wodny śródlądowy), jednak ze względu na ograniczoną rolę odgrywaną przez nie obecnie w regionie, opis problematyki ich dot</w:t>
      </w:r>
      <w:r w:rsidR="00F87C73" w:rsidRPr="009B78DA">
        <w:rPr>
          <w:rFonts w:ascii="Arial" w:hAnsi="Arial" w:cs="Arial"/>
          <w:color w:val="000000" w:themeColor="text1"/>
          <w:sz w:val="22"/>
          <w:szCs w:val="22"/>
        </w:rPr>
        <w:t>yczącej nie jest rozbudowywany</w:t>
      </w:r>
      <w:r w:rsidR="007B6EFC" w:rsidRPr="009B78DA">
        <w:rPr>
          <w:rFonts w:ascii="Arial" w:hAnsi="Arial" w:cs="Arial"/>
          <w:color w:val="000000" w:themeColor="text1"/>
          <w:sz w:val="22"/>
          <w:szCs w:val="22"/>
        </w:rPr>
        <w:t>.</w:t>
      </w:r>
    </w:p>
    <w:p w14:paraId="566DFDA0" w14:textId="3FAABD18" w:rsidR="007B6EFC" w:rsidRPr="009B78DA" w:rsidRDefault="007B6EFC" w:rsidP="00511BC6">
      <w:pPr>
        <w:spacing w:after="0" w:line="312" w:lineRule="auto"/>
        <w:ind w:firstLine="709"/>
        <w:rPr>
          <w:rFonts w:ascii="Arial" w:hAnsi="Arial" w:cs="Arial"/>
          <w:color w:val="000000" w:themeColor="text1"/>
          <w:sz w:val="22"/>
          <w:szCs w:val="22"/>
        </w:rPr>
        <w:sectPr w:rsidR="007B6EFC" w:rsidRPr="009B78DA" w:rsidSect="00DB4A79">
          <w:pgSz w:w="11906" w:h="16838"/>
          <w:pgMar w:top="1417" w:right="1417" w:bottom="1417" w:left="1417" w:header="708" w:footer="708" w:gutter="0"/>
          <w:cols w:space="708"/>
          <w:docGrid w:linePitch="360"/>
        </w:sectPr>
      </w:pPr>
      <w:r w:rsidRPr="009B78DA">
        <w:rPr>
          <w:rFonts w:ascii="Arial" w:hAnsi="Arial" w:cs="Arial"/>
          <w:color w:val="000000" w:themeColor="text1"/>
          <w:sz w:val="22"/>
          <w:szCs w:val="22"/>
        </w:rPr>
        <w:t>Ważną kwestią jest również możliwość modelowania transportu przy wykorzystaniu narzędzia CUPT. Wyniki ZMR pozwalają antycypować niektóre problemy, jakie mogą ujawnić się w województwie już po roku 2030. Takim</w:t>
      </w:r>
      <w:r w:rsidR="001F312F" w:rsidRPr="009B78DA">
        <w:rPr>
          <w:rFonts w:ascii="Arial" w:hAnsi="Arial" w:cs="Arial"/>
          <w:color w:val="000000" w:themeColor="text1"/>
          <w:sz w:val="22"/>
          <w:szCs w:val="22"/>
        </w:rPr>
        <w:t>i problemami np. są:</w:t>
      </w:r>
      <w:r w:rsidRPr="009B78DA">
        <w:rPr>
          <w:rFonts w:ascii="Arial" w:hAnsi="Arial" w:cs="Arial"/>
          <w:color w:val="000000" w:themeColor="text1"/>
          <w:sz w:val="22"/>
          <w:szCs w:val="22"/>
        </w:rPr>
        <w:t xml:space="preserve"> pozycj</w:t>
      </w:r>
      <w:r w:rsidR="001F312F"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Rzeszowa na „rynku” polskich metropolii (konkurencj</w:t>
      </w:r>
      <w:r w:rsidR="001F312F"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o zaplecze), zagrożenie utratą policentryczności</w:t>
      </w:r>
      <w:r w:rsidR="00511BC6">
        <w:rPr>
          <w:rFonts w:ascii="Arial" w:hAnsi="Arial" w:cs="Arial"/>
          <w:color w:val="000000" w:themeColor="text1"/>
          <w:sz w:val="22"/>
          <w:szCs w:val="22"/>
        </w:rPr>
        <w:t xml:space="preserve"> </w:t>
      </w:r>
      <w:r w:rsidR="00511BC6">
        <w:rPr>
          <w:rFonts w:ascii="Arial" w:hAnsi="Arial" w:cs="Arial"/>
          <w:color w:val="000000" w:themeColor="text1"/>
          <w:sz w:val="22"/>
          <w:szCs w:val="22"/>
        </w:rPr>
        <w:br/>
      </w:r>
      <w:r w:rsidRPr="009B78DA">
        <w:rPr>
          <w:rFonts w:ascii="Arial" w:hAnsi="Arial" w:cs="Arial"/>
          <w:color w:val="000000" w:themeColor="text1"/>
          <w:sz w:val="22"/>
          <w:szCs w:val="22"/>
        </w:rPr>
        <w:t>i peryferyzacją niektórych biegunów wzrostu, dalsze pogłębianie wykluczenia transportowego, niemożność (lub bardzo wysoki koszt) niwelowania dalszych procesów gospodarczych</w:t>
      </w:r>
      <w:r w:rsidR="00511BC6">
        <w:rPr>
          <w:rFonts w:ascii="Arial" w:hAnsi="Arial" w:cs="Arial"/>
          <w:color w:val="000000" w:themeColor="text1"/>
          <w:sz w:val="22"/>
          <w:szCs w:val="22"/>
        </w:rPr>
        <w:t xml:space="preserve"> </w:t>
      </w:r>
      <w:r w:rsidRPr="009B78DA">
        <w:rPr>
          <w:rFonts w:ascii="Arial" w:hAnsi="Arial" w:cs="Arial"/>
          <w:color w:val="000000" w:themeColor="text1"/>
          <w:sz w:val="22"/>
          <w:szCs w:val="22"/>
        </w:rPr>
        <w:t>i społecznych za pomocą narzędzi właściwych dla polityki transportu.</w:t>
      </w:r>
    </w:p>
    <w:p w14:paraId="5D251F41" w14:textId="4234FD85" w:rsidR="004F5E7C" w:rsidRDefault="004F5E7C" w:rsidP="00511BC6">
      <w:pPr>
        <w:spacing w:after="120" w:line="240" w:lineRule="auto"/>
        <w:rPr>
          <w:rFonts w:ascii="Arial" w:hAnsi="Arial" w:cs="Arial"/>
          <w:color w:val="000000" w:themeColor="text1"/>
          <w:sz w:val="22"/>
          <w:szCs w:val="22"/>
        </w:rPr>
      </w:pPr>
      <w:bookmarkStart w:id="256" w:name="_Toc146785689"/>
      <w:bookmarkStart w:id="257" w:name="_Hlk92615953"/>
      <w:bookmarkStart w:id="258" w:name="_Hlk88653369"/>
      <w:r w:rsidRPr="009B78DA">
        <w:rPr>
          <w:rFonts w:ascii="Arial" w:hAnsi="Arial" w:cs="Arial"/>
          <w:b/>
          <w:color w:val="000000" w:themeColor="text1"/>
          <w:sz w:val="22"/>
          <w:szCs w:val="22"/>
        </w:rPr>
        <w:t xml:space="preserve">Rysunek </w:t>
      </w:r>
      <w:r w:rsidRPr="009B78DA">
        <w:rPr>
          <w:rFonts w:ascii="Arial" w:hAnsi="Arial" w:cs="Arial"/>
          <w:b/>
          <w:color w:val="000000" w:themeColor="text1"/>
          <w:sz w:val="22"/>
          <w:szCs w:val="22"/>
        </w:rPr>
        <w:fldChar w:fldCharType="begin"/>
      </w:r>
      <w:r w:rsidRPr="009B78DA">
        <w:rPr>
          <w:rFonts w:ascii="Arial" w:hAnsi="Arial" w:cs="Arial"/>
          <w:b/>
          <w:color w:val="000000" w:themeColor="text1"/>
          <w:sz w:val="22"/>
          <w:szCs w:val="22"/>
        </w:rPr>
        <w:instrText xml:space="preserve"> SEQ Rysunek_ \* ARABIC </w:instrText>
      </w:r>
      <w:r w:rsidRPr="009B78DA">
        <w:rPr>
          <w:rFonts w:ascii="Arial" w:hAnsi="Arial" w:cs="Arial"/>
          <w:b/>
          <w:color w:val="000000" w:themeColor="text1"/>
          <w:sz w:val="22"/>
          <w:szCs w:val="22"/>
        </w:rPr>
        <w:fldChar w:fldCharType="separate"/>
      </w:r>
      <w:r w:rsidR="007403DE">
        <w:rPr>
          <w:rFonts w:ascii="Arial" w:hAnsi="Arial" w:cs="Arial"/>
          <w:b/>
          <w:noProof/>
          <w:color w:val="000000" w:themeColor="text1"/>
          <w:sz w:val="22"/>
          <w:szCs w:val="22"/>
        </w:rPr>
        <w:t>60</w:t>
      </w:r>
      <w:r w:rsidRPr="009B78DA">
        <w:rPr>
          <w:rFonts w:ascii="Arial" w:hAnsi="Arial" w:cs="Arial"/>
          <w:b/>
          <w:color w:val="000000" w:themeColor="text1"/>
          <w:sz w:val="22"/>
          <w:szCs w:val="22"/>
        </w:rPr>
        <w:fldChar w:fldCharType="end"/>
      </w:r>
      <w:r w:rsidRPr="009B78DA">
        <w:rPr>
          <w:rFonts w:ascii="Arial" w:hAnsi="Arial" w:cs="Arial"/>
          <w:color w:val="000000" w:themeColor="text1"/>
          <w:sz w:val="22"/>
          <w:szCs w:val="22"/>
        </w:rPr>
        <w:t xml:space="preserve"> Schemat obrazujący problemy wynikające z diagnozy oraz cele rozwoju regionalnego systemu transportowego.</w:t>
      </w:r>
      <w:bookmarkEnd w:id="256"/>
    </w:p>
    <w:p w14:paraId="41C390EF" w14:textId="77777777" w:rsidR="003C7A17" w:rsidRPr="006F4FD2" w:rsidRDefault="003C7A17" w:rsidP="003C7A17">
      <w:pPr>
        <w:spacing w:after="120" w:line="240" w:lineRule="auto"/>
        <w:ind w:firstLine="3827"/>
      </w:pPr>
      <w:r w:rsidRPr="006F4FD2">
        <w:rPr>
          <w:noProof/>
        </w:rPr>
        <mc:AlternateContent>
          <mc:Choice Requires="wps">
            <w:drawing>
              <wp:anchor distT="0" distB="0" distL="114300" distR="114300" simplePos="0" relativeHeight="251662336" behindDoc="0" locked="0" layoutInCell="1" allowOverlap="1" wp14:anchorId="2F1C78E8" wp14:editId="72573465">
                <wp:simplePos x="0" y="0"/>
                <wp:positionH relativeFrom="column">
                  <wp:posOffset>7101730</wp:posOffset>
                </wp:positionH>
                <wp:positionV relativeFrom="paragraph">
                  <wp:posOffset>1573998</wp:posOffset>
                </wp:positionV>
                <wp:extent cx="987425" cy="1733385"/>
                <wp:effectExtent l="19050" t="0" r="22225" b="19685"/>
                <wp:wrapNone/>
                <wp:docPr id="13" name="Strzałka: zakrzywiona w lewo 13" descr="strzałka w lewo"/>
                <wp:cNvGraphicFramePr/>
                <a:graphic xmlns:a="http://schemas.openxmlformats.org/drawingml/2006/main">
                  <a:graphicData uri="http://schemas.microsoft.com/office/word/2010/wordprocessingShape">
                    <wps:wsp>
                      <wps:cNvSpPr/>
                      <wps:spPr>
                        <a:xfrm>
                          <a:off x="0" y="0"/>
                          <a:ext cx="987425" cy="1733385"/>
                        </a:xfrm>
                        <a:prstGeom prst="curvedLeftArrow">
                          <a:avLst/>
                        </a:prstGeom>
                        <a:solidFill>
                          <a:schemeClr val="accent2">
                            <a:lumMod val="75000"/>
                          </a:schemeClr>
                        </a:solidFill>
                        <a:ln>
                          <a:solidFill>
                            <a:schemeClr val="accent1">
                              <a:lumMod val="75000"/>
                            </a:schemeClr>
                          </a:solid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635585F"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Strzałka: zakrzywiona w lewo 13" o:spid="_x0000_s1026" type="#_x0000_t103" alt="strzałka w lewo" style="position:absolute;margin-left:559.2pt;margin-top:123.95pt;width:77.75pt;height:136.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" adj="15448,20062,5400" fillcolor="#c45911 [2405]" strokecolor="#2e74b5 [2404]" strokeweight="1pt"/>
            </w:pict>
          </mc:Fallback>
        </mc:AlternateContent>
      </w:r>
      <w:r w:rsidRPr="006F4FD2">
        <w:rPr>
          <w:noProof/>
        </w:rPr>
        <mc:AlternateContent>
          <mc:Choice Requires="wps">
            <w:drawing>
              <wp:anchor distT="0" distB="0" distL="114300" distR="114300" simplePos="0" relativeHeight="251663360" behindDoc="0" locked="0" layoutInCell="1" allowOverlap="1" wp14:anchorId="1681F7E9" wp14:editId="13106ACE">
                <wp:simplePos x="0" y="0"/>
                <wp:positionH relativeFrom="column">
                  <wp:posOffset>1166909</wp:posOffset>
                </wp:positionH>
                <wp:positionV relativeFrom="paragraph">
                  <wp:posOffset>1566048</wp:posOffset>
                </wp:positionV>
                <wp:extent cx="958215" cy="1757238"/>
                <wp:effectExtent l="0" t="0" r="32385" b="14605"/>
                <wp:wrapNone/>
                <wp:docPr id="77" name="Strzałka: zakrzywiona w prawo 66" descr="Strzałka w lewo"/>
                <wp:cNvGraphicFramePr/>
                <a:graphic xmlns:a="http://schemas.openxmlformats.org/drawingml/2006/main">
                  <a:graphicData uri="http://schemas.microsoft.com/office/word/2010/wordprocessingShape">
                    <wps:wsp>
                      <wps:cNvSpPr/>
                      <wps:spPr>
                        <a:xfrm>
                          <a:off x="0" y="0"/>
                          <a:ext cx="958215" cy="1757238"/>
                        </a:xfrm>
                        <a:prstGeom prst="curvedRightArrow">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4259E0F"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Strzałka: zakrzywiona w prawo 66" o:spid="_x0000_s1026" type="#_x0000_t102" alt="Strzałka w lewo" style="position:absolute;margin-left:91.9pt;margin-top:123.3pt;width:75.45pt;height:138.3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" adj="15711,20128,16200" fillcolor="#c45911 [2405]" strokecolor="#1f4d78 [1604]" strokeweight="1pt"/>
            </w:pict>
          </mc:Fallback>
        </mc:AlternateContent>
      </w:r>
      <w:r w:rsidRPr="006F4FD2">
        <w:rPr>
          <w:rFonts w:ascii="Arial" w:hAnsi="Arial" w:cs="Arial"/>
          <w:noProof/>
        </w:rPr>
        <w:drawing>
          <wp:inline distT="0" distB="0" distL="0" distR="0" wp14:anchorId="77DE2D69" wp14:editId="3B144278">
            <wp:extent cx="4047213" cy="2107096"/>
            <wp:effectExtent l="19050" t="0" r="10795" b="26670"/>
            <wp:docPr id="70" name="Diagram 70" title="Problemy wynikające "/>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069BE5D6" w14:textId="77777777" w:rsidR="003C7A17" w:rsidRPr="006F4FD2" w:rsidRDefault="003C7A17" w:rsidP="003C7A17">
      <w:pPr>
        <w:spacing w:after="0" w:line="240" w:lineRule="auto"/>
        <w:jc w:val="center"/>
        <w:rPr>
          <w:rFonts w:ascii="Arial" w:hAnsi="Arial" w:cs="Arial"/>
          <w:b/>
          <w:bCs/>
          <w:sz w:val="40"/>
          <w:szCs w:val="40"/>
        </w:rPr>
      </w:pPr>
      <w:r w:rsidRPr="006F4FD2">
        <w:rPr>
          <w:noProof/>
        </w:rPr>
        <mc:AlternateContent>
          <mc:Choice Requires="wps">
            <w:drawing>
              <wp:anchor distT="0" distB="0" distL="114300" distR="114300" simplePos="0" relativeHeight="251664384" behindDoc="1" locked="0" layoutInCell="1" allowOverlap="1" wp14:anchorId="6E062122" wp14:editId="7ECC9DBE">
                <wp:simplePos x="0" y="0"/>
                <wp:positionH relativeFrom="margin">
                  <wp:posOffset>2208199</wp:posOffset>
                </wp:positionH>
                <wp:positionV relativeFrom="paragraph">
                  <wp:posOffset>13032</wp:posOffset>
                </wp:positionV>
                <wp:extent cx="4778734" cy="675861"/>
                <wp:effectExtent l="0" t="0" r="3175" b="0"/>
                <wp:wrapNone/>
                <wp:docPr id="30" name="Prostokąt 30" descr="Cel główny&#10;Efektywne i skuteczne wdrażanie działań, przyczyniających się do realizacji celów &#10;Strategii rozwoju województwa – Podkarpackie 2030 w obrębie transportu&#10;" title="Pomarańczowe pole"/>
                <wp:cNvGraphicFramePr/>
                <a:graphic xmlns:a="http://schemas.openxmlformats.org/drawingml/2006/main">
                  <a:graphicData uri="http://schemas.microsoft.com/office/word/2010/wordprocessingShape">
                    <wps:wsp>
                      <wps:cNvSpPr/>
                      <wps:spPr>
                        <a:xfrm>
                          <a:off x="0" y="0"/>
                          <a:ext cx="4778734" cy="675861"/>
                        </a:xfrm>
                        <a:prstGeom prst="rect">
                          <a:avLst/>
                        </a:prstGeom>
                      </wps:spPr>
                      <wps:style>
                        <a:lnRef idx="0">
                          <a:schemeClr val="dk1">
                            <a:hueOff val="0"/>
                            <a:satOff val="0"/>
                            <a:lumOff val="0"/>
                            <a:alphaOff val="0"/>
                          </a:schemeClr>
                        </a:lnRef>
                        <a:fillRef idx="1">
                          <a:schemeClr val="accent2">
                            <a:shade val="90000"/>
                            <a:hueOff val="0"/>
                            <a:satOff val="0"/>
                            <a:lumOff val="0"/>
                            <a:alphaOff val="0"/>
                          </a:schemeClr>
                        </a:fillRef>
                        <a:effectRef idx="0">
                          <a:schemeClr val="accent2">
                            <a:shade val="90000"/>
                            <a:hueOff val="0"/>
                            <a:satOff val="0"/>
                            <a:lumOff val="0"/>
                            <a:alphaOff val="0"/>
                          </a:schemeClr>
                        </a:effectRef>
                        <a:fontRef idx="minor">
                          <a:schemeClr val="lt1">
                            <a:hueOff val="0"/>
                            <a:satOff val="0"/>
                            <a:lumOff val="0"/>
                            <a:alphaOff val="0"/>
                          </a:schemeClr>
                        </a:fontRef>
                      </wps:style>
                      <wps:txbx>
                        <w:txbxContent>
                          <w:p w14:paraId="4654E435" w14:textId="77777777" w:rsidR="00B830BA" w:rsidRDefault="00B830BA" w:rsidP="003C7A17">
                            <w:pPr>
                              <w:jc w:val="cente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E062122" id="Prostokąt 30" o:spid="_x0000_s1026" alt="Tytuł: Pomarańczowe pole — opis: Cel główny&#10;Efektywne i skuteczne wdrażanie działań, przyczyniających się do realizacji celów &#10;Strategii rozwoju województwa – Podkarpackie 2030 w obrębie transportu&#10;" style="position:absolute;left:0;text-align:left;margin-left:173.85pt;margin-top:1.05pt;width:376.3pt;height:53.2pt;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" fillcolor="#ea6b16 [2885]" stroked="f">
                <v:textbox>
                  <w:txbxContent>
                    <w:p w14:paraId="4654E435" w14:textId="77777777" w:rsidR="00B830BA" w:rsidRDefault="00B830BA" w:rsidP="003C7A17">
                      <w:pPr>
                        <w:jc w:val="center"/>
                      </w:pPr>
                    </w:p>
                  </w:txbxContent>
                </v:textbox>
                <w10:wrap anchorx="margin"/>
              </v:rect>
            </w:pict>
          </mc:Fallback>
        </mc:AlternateContent>
      </w:r>
      <w:bookmarkStart w:id="259" w:name="_Hlk101428069"/>
      <w:r w:rsidRPr="006F4FD2">
        <w:rPr>
          <w:rFonts w:ascii="Arial" w:hAnsi="Arial" w:cs="Arial"/>
          <w:b/>
          <w:bCs/>
          <w:sz w:val="40"/>
          <w:szCs w:val="40"/>
        </w:rPr>
        <w:t>Cel główny</w:t>
      </w:r>
    </w:p>
    <w:p w14:paraId="25CD0162" w14:textId="77777777" w:rsidR="003C7A17" w:rsidRPr="006F4FD2" w:rsidRDefault="003C7A17" w:rsidP="003C7A17">
      <w:pPr>
        <w:spacing w:after="0" w:line="240" w:lineRule="auto"/>
        <w:jc w:val="center"/>
        <w:rPr>
          <w:sz w:val="18"/>
          <w:szCs w:val="18"/>
        </w:rPr>
      </w:pPr>
      <w:r w:rsidRPr="006F4FD2">
        <w:rPr>
          <w:rFonts w:ascii="Arial" w:hAnsi="Arial" w:cs="Arial"/>
          <w:b/>
          <w:bCs/>
          <w:sz w:val="18"/>
          <w:szCs w:val="18"/>
        </w:rPr>
        <w:t xml:space="preserve">Efektywne i skuteczne wdrażanie działań, przyczyniających się do realizacji celów </w:t>
      </w:r>
      <w:r w:rsidRPr="006F4FD2">
        <w:rPr>
          <w:rFonts w:ascii="Arial" w:hAnsi="Arial" w:cs="Arial"/>
          <w:b/>
          <w:bCs/>
          <w:sz w:val="18"/>
          <w:szCs w:val="18"/>
        </w:rPr>
        <w:br/>
      </w:r>
      <w:r w:rsidRPr="006F4FD2">
        <w:rPr>
          <w:rFonts w:ascii="Arial" w:hAnsi="Arial" w:cs="Arial"/>
          <w:b/>
          <w:bCs/>
          <w:i/>
          <w:iCs/>
          <w:sz w:val="18"/>
          <w:szCs w:val="18"/>
        </w:rPr>
        <w:t>Strategii rozwoju województwa – Podkarpackie 2030</w:t>
      </w:r>
      <w:r w:rsidRPr="006F4FD2">
        <w:rPr>
          <w:rFonts w:ascii="Arial" w:hAnsi="Arial" w:cs="Arial"/>
          <w:b/>
          <w:bCs/>
          <w:sz w:val="18"/>
          <w:szCs w:val="18"/>
        </w:rPr>
        <w:t xml:space="preserve"> w obrębie transportu</w:t>
      </w:r>
      <w:bookmarkEnd w:id="259"/>
    </w:p>
    <w:p w14:paraId="44BAE0BF" w14:textId="77777777" w:rsidR="003C7A17" w:rsidRPr="00570A20" w:rsidRDefault="003C7A17" w:rsidP="003C7A17">
      <w:pPr>
        <w:spacing w:before="120" w:after="3600" w:line="276" w:lineRule="auto"/>
        <w:jc w:val="both"/>
        <w:rPr>
          <w:rFonts w:ascii="Arial" w:hAnsi="Arial" w:cs="Arial"/>
        </w:rPr>
      </w:pPr>
      <w:r w:rsidRPr="006F4FD2">
        <w:rPr>
          <w:rFonts w:ascii="Arial" w:hAnsi="Arial" w:cs="Arial"/>
          <w:noProof/>
        </w:rPr>
        <w:drawing>
          <wp:anchor distT="0" distB="0" distL="114300" distR="114300" simplePos="0" relativeHeight="251660288" behindDoc="1" locked="0" layoutInCell="1" allowOverlap="1" wp14:anchorId="238F5284" wp14:editId="3D646F3D">
            <wp:simplePos x="0" y="0"/>
            <wp:positionH relativeFrom="margin">
              <wp:posOffset>5296535</wp:posOffset>
            </wp:positionH>
            <wp:positionV relativeFrom="paragraph">
              <wp:posOffset>365760</wp:posOffset>
            </wp:positionV>
            <wp:extent cx="3455035" cy="2174240"/>
            <wp:effectExtent l="19050" t="0" r="31115" b="0"/>
            <wp:wrapTight wrapText="bothSides">
              <wp:wrapPolygon edited="0">
                <wp:start x="-119" y="0"/>
                <wp:lineTo x="-119" y="21386"/>
                <wp:lineTo x="21675" y="21386"/>
                <wp:lineTo x="21675" y="0"/>
                <wp:lineTo x="-119" y="0"/>
              </wp:wrapPolygon>
            </wp:wrapTight>
            <wp:docPr id="71" name="Diagram 71" title="Cele horyzontaln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14:sizeRelH relativeFrom="margin">
              <wp14:pctWidth>0</wp14:pctWidth>
            </wp14:sizeRelH>
            <wp14:sizeRelV relativeFrom="margin">
              <wp14:pctHeight>0</wp14:pctHeight>
            </wp14:sizeRelV>
          </wp:anchor>
        </w:drawing>
      </w:r>
      <w:r w:rsidRPr="006F4FD2">
        <w:rPr>
          <w:rFonts w:ascii="Arial" w:hAnsi="Arial" w:cs="Arial"/>
          <w:noProof/>
        </w:rPr>
        <w:drawing>
          <wp:anchor distT="0" distB="0" distL="114300" distR="114300" simplePos="0" relativeHeight="251659264" behindDoc="1" locked="0" layoutInCell="1" allowOverlap="1" wp14:anchorId="355F2F0B" wp14:editId="3EBFA847">
            <wp:simplePos x="0" y="0"/>
            <wp:positionH relativeFrom="margin">
              <wp:posOffset>-41910</wp:posOffset>
            </wp:positionH>
            <wp:positionV relativeFrom="paragraph">
              <wp:posOffset>365125</wp:posOffset>
            </wp:positionV>
            <wp:extent cx="4065270" cy="2174240"/>
            <wp:effectExtent l="0" t="0" r="30480" b="0"/>
            <wp:wrapTight wrapText="bothSides">
              <wp:wrapPolygon edited="0">
                <wp:start x="0" y="0"/>
                <wp:lineTo x="0" y="21386"/>
                <wp:lineTo x="21661" y="21386"/>
                <wp:lineTo x="21661" y="0"/>
                <wp:lineTo x="0" y="0"/>
              </wp:wrapPolygon>
            </wp:wrapTight>
            <wp:docPr id="72" name="Diagram 72" title="Cele podstawow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14:sizeRelH relativeFrom="margin">
              <wp14:pctWidth>0</wp14:pctWidth>
            </wp14:sizeRelH>
            <wp14:sizeRelV relativeFrom="margin">
              <wp14:pctHeight>0</wp14:pctHeight>
            </wp14:sizeRelV>
          </wp:anchor>
        </w:drawing>
      </w:r>
      <w:r w:rsidRPr="006F4FD2">
        <w:rPr>
          <w:noProof/>
        </w:rPr>
        <mc:AlternateContent>
          <mc:Choice Requires="wps">
            <w:drawing>
              <wp:anchor distT="0" distB="0" distL="114300" distR="114300" simplePos="0" relativeHeight="251661312" behindDoc="0" locked="0" layoutInCell="1" allowOverlap="1" wp14:anchorId="519AD15E" wp14:editId="3B5ED74B">
                <wp:simplePos x="0" y="0"/>
                <wp:positionH relativeFrom="column">
                  <wp:posOffset>4136363</wp:posOffset>
                </wp:positionH>
                <wp:positionV relativeFrom="paragraph">
                  <wp:posOffset>971853</wp:posOffset>
                </wp:positionV>
                <wp:extent cx="1080881" cy="777599"/>
                <wp:effectExtent l="19050" t="19050" r="24130" b="41910"/>
                <wp:wrapNone/>
                <wp:docPr id="68" name="Strzałka: w lewo i w prawo 68" descr="Strzałka prawo-lewo" title="Element grafiki"/>
                <wp:cNvGraphicFramePr/>
                <a:graphic xmlns:a="http://schemas.openxmlformats.org/drawingml/2006/main">
                  <a:graphicData uri="http://schemas.microsoft.com/office/word/2010/wordprocessingShape">
                    <wps:wsp>
                      <wps:cNvSpPr/>
                      <wps:spPr>
                        <a:xfrm>
                          <a:off x="0" y="0"/>
                          <a:ext cx="1080881" cy="777599"/>
                        </a:xfrm>
                        <a:prstGeom prst="leftRightArrow">
                          <a:avLst/>
                        </a:prstGeom>
                        <a:solidFill>
                          <a:schemeClr val="accent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670E64"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załka: w lewo i w prawo 68" o:spid="_x0000_s1026" type="#_x0000_t69" alt="Tytuł: Element grafiki — opis: Strzałka prawo-lewo" style="position:absolute;margin-left:325.7pt;margin-top:76.5pt;width:85.1pt;height:6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" adj="7770" fillcolor="#c45911 [2405]" strokecolor="#1f4d78 [1604]" strokeweight="1pt"/>
            </w:pict>
          </mc:Fallback>
        </mc:AlternateContent>
      </w:r>
    </w:p>
    <w:p w14:paraId="504CD88D" w14:textId="77777777" w:rsidR="003C7A17" w:rsidRPr="006F4FD2" w:rsidRDefault="003C7A17" w:rsidP="003C7A17">
      <w:pPr>
        <w:spacing w:after="0" w:line="240" w:lineRule="auto"/>
        <w:jc w:val="center"/>
        <w:rPr>
          <w:rFonts w:ascii="Arial" w:hAnsi="Arial" w:cs="Arial"/>
          <w:sz w:val="22"/>
          <w:szCs w:val="22"/>
        </w:rPr>
      </w:pPr>
      <w:r w:rsidRPr="006F4FD2">
        <w:rPr>
          <w:rFonts w:ascii="Arial" w:hAnsi="Arial" w:cs="Arial"/>
          <w:sz w:val="22"/>
          <w:szCs w:val="22"/>
        </w:rPr>
        <w:t xml:space="preserve">Źródło: </w:t>
      </w:r>
      <w:r>
        <w:rPr>
          <w:rFonts w:ascii="Arial" w:hAnsi="Arial" w:cs="Arial"/>
          <w:sz w:val="22"/>
          <w:szCs w:val="22"/>
        </w:rPr>
        <w:t>O</w:t>
      </w:r>
      <w:r w:rsidRPr="006F4FD2">
        <w:rPr>
          <w:rFonts w:ascii="Arial" w:hAnsi="Arial" w:cs="Arial"/>
          <w:sz w:val="22"/>
          <w:szCs w:val="22"/>
        </w:rPr>
        <w:t>pracowanie własne.</w:t>
      </w:r>
    </w:p>
    <w:p w14:paraId="20C06ECF" w14:textId="2C713DB4" w:rsidR="004F5E7C" w:rsidRPr="009B78DA" w:rsidRDefault="004F5E7C" w:rsidP="004F5E7C">
      <w:pPr>
        <w:pStyle w:val="Legenda"/>
        <w:keepNext/>
        <w:rPr>
          <w:rFonts w:ascii="Arial" w:hAnsi="Arial" w:cs="Arial"/>
          <w:i w:val="0"/>
          <w:color w:val="000000" w:themeColor="text1"/>
          <w:sz w:val="22"/>
          <w:szCs w:val="22"/>
        </w:rPr>
      </w:pPr>
      <w:bookmarkStart w:id="260" w:name="_Toc146785752"/>
      <w:bookmarkStart w:id="261" w:name="_Hlk92699451"/>
      <w:bookmarkEnd w:id="257"/>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Matryca obrazująca wpływ celów podstawowych i horyzontalnych na rozwiązanie problemów wynikających z diagnozy (bardzo wysoki „++”, wysoki „+”, umiarkowany „+/-„, niski „-”)</w:t>
      </w:r>
      <w:bookmarkEnd w:id="260"/>
    </w:p>
    <w:tbl>
      <w:tblPr>
        <w:tblStyle w:val="Tabela-Siatka"/>
        <w:tblW w:w="5000" w:type="pct"/>
        <w:jc w:val="center"/>
        <w:tblLook w:val="04A0" w:firstRow="1" w:lastRow="0" w:firstColumn="1" w:lastColumn="0" w:noHBand="0" w:noVBand="1"/>
        <w:tblCaption w:val="Tabela 22 Matryca obrazująca wpływ celów podstawowych i horyzontalnych na rozwiązanie problemów wynikających z diagnozy (bardzo wysoki „++”, wysoki „+”, umiarkowany „+/-„, niski „-”)"/>
        <w:tblDescription w:val="Tabela zawiera Problemy wynikające z diagnozy/ cele podstawowe i horyzontalne, Utrzymanie i wzmocnienie podstaw transportowych dla rozwoju gospodarczego województwa, w tym integracja infrastrukturalna oraz organizacyjna systemu transportowego w układzie zewnętrznym i wewnętrznym, Podniesienie jakości życia mieszkańców województwa poprzez poprawę dostępności transportowej w różnych skalach przestrzennych, z uwzględnieniem zachodzących niekorzystnych procesów demograficznych, Zmniejszenie negatywnego oddziaływania sektora transportu na szeroko rozumiane środowisko naturalne w wymiarze globalnym (zmian klimatycznych) i lokalnym (ochrona, cennych walorów przyrodniczych regionu), Podniesienie poziomu bezpieczeństwa w transporcie"/>
      </w:tblPr>
      <w:tblGrid>
        <w:gridCol w:w="3089"/>
        <w:gridCol w:w="2958"/>
        <w:gridCol w:w="3095"/>
        <w:gridCol w:w="3095"/>
        <w:gridCol w:w="1755"/>
      </w:tblGrid>
      <w:tr w:rsidR="006F4FD2" w:rsidRPr="003C7A17" w14:paraId="24516653" w14:textId="77777777" w:rsidTr="003C7A17">
        <w:trPr>
          <w:tblHeader/>
          <w:jc w:val="center"/>
        </w:trPr>
        <w:tc>
          <w:tcPr>
            <w:tcW w:w="1104" w:type="pct"/>
            <w:shd w:val="clear" w:color="auto" w:fill="DEEAF6" w:themeFill="accent1" w:themeFillTint="33"/>
            <w:vAlign w:val="center"/>
          </w:tcPr>
          <w:bookmarkEnd w:id="261"/>
          <w:p w14:paraId="26BA83F4" w14:textId="4E8ED41B" w:rsidR="00F05A42" w:rsidRPr="003C7A17" w:rsidRDefault="003C7A17" w:rsidP="002D7AA1">
            <w:pPr>
              <w:pStyle w:val="Akapitzlist"/>
              <w:spacing w:line="276" w:lineRule="auto"/>
              <w:ind w:left="0"/>
              <w:rPr>
                <w:rFonts w:ascii="Arial" w:hAnsi="Arial" w:cs="Arial"/>
                <w:color w:val="000000" w:themeColor="text1"/>
                <w:sz w:val="21"/>
                <w:szCs w:val="21"/>
              </w:rPr>
            </w:pPr>
            <w:r>
              <w:rPr>
                <w:rFonts w:ascii="Arial" w:hAnsi="Arial" w:cs="Arial"/>
                <w:color w:val="000000" w:themeColor="text1"/>
                <w:sz w:val="21"/>
                <w:szCs w:val="21"/>
              </w:rPr>
              <w:t xml:space="preserve">Problemy wynikające </w:t>
            </w:r>
            <w:r w:rsidR="002D7AA1">
              <w:rPr>
                <w:rFonts w:ascii="Arial" w:hAnsi="Arial" w:cs="Arial"/>
                <w:color w:val="000000" w:themeColor="text1"/>
                <w:sz w:val="21"/>
                <w:szCs w:val="21"/>
              </w:rPr>
              <w:br/>
            </w:r>
            <w:r>
              <w:rPr>
                <w:rFonts w:ascii="Arial" w:hAnsi="Arial" w:cs="Arial"/>
                <w:color w:val="000000" w:themeColor="text1"/>
                <w:sz w:val="21"/>
                <w:szCs w:val="21"/>
              </w:rPr>
              <w:t>z diagnozy</w:t>
            </w:r>
            <w:r w:rsidR="00F05A42" w:rsidRPr="003C7A17">
              <w:rPr>
                <w:rFonts w:ascii="Arial" w:hAnsi="Arial" w:cs="Arial"/>
                <w:color w:val="000000" w:themeColor="text1"/>
                <w:sz w:val="21"/>
                <w:szCs w:val="21"/>
              </w:rPr>
              <w:t xml:space="preserve">/ cele podstawowe </w:t>
            </w:r>
            <w:r w:rsidR="002D7AA1">
              <w:rPr>
                <w:rFonts w:ascii="Arial" w:hAnsi="Arial" w:cs="Arial"/>
                <w:color w:val="000000" w:themeColor="text1"/>
                <w:sz w:val="21"/>
                <w:szCs w:val="21"/>
              </w:rPr>
              <w:br/>
            </w:r>
            <w:r w:rsidR="00F05A42" w:rsidRPr="003C7A17">
              <w:rPr>
                <w:rFonts w:ascii="Arial" w:hAnsi="Arial" w:cs="Arial"/>
                <w:color w:val="000000" w:themeColor="text1"/>
                <w:sz w:val="21"/>
                <w:szCs w:val="21"/>
              </w:rPr>
              <w:t>i horyzontalne</w:t>
            </w:r>
          </w:p>
        </w:tc>
        <w:tc>
          <w:tcPr>
            <w:tcW w:w="1057" w:type="pct"/>
            <w:shd w:val="clear" w:color="auto" w:fill="DEEAF6" w:themeFill="accent1" w:themeFillTint="33"/>
            <w:vAlign w:val="center"/>
          </w:tcPr>
          <w:p w14:paraId="5C64FA36" w14:textId="77777777" w:rsidR="00F05A42" w:rsidRPr="003C7A17" w:rsidRDefault="00F05A42" w:rsidP="002D7AA1">
            <w:pPr>
              <w:pStyle w:val="Akapitzlist"/>
              <w:spacing w:line="276" w:lineRule="auto"/>
              <w:ind w:left="0"/>
              <w:rPr>
                <w:rFonts w:ascii="Arial" w:hAnsi="Arial" w:cs="Arial"/>
                <w:color w:val="000000" w:themeColor="text1"/>
                <w:sz w:val="21"/>
                <w:szCs w:val="21"/>
              </w:rPr>
            </w:pPr>
            <w:r w:rsidRPr="003C7A17">
              <w:rPr>
                <w:rFonts w:ascii="Arial" w:hAnsi="Arial" w:cs="Arial"/>
                <w:color w:val="000000" w:themeColor="text1"/>
                <w:sz w:val="21"/>
                <w:szCs w:val="21"/>
              </w:rPr>
              <w:t>Utrzymanie i wzmocnienie podstaw transportowych dla rozwoju gospodarczego województwa, w tym integracja infrastrukturalna oraz organizacyjna systemu transportowego w układzie zewnętrznym i wewnętrznym</w:t>
            </w:r>
          </w:p>
        </w:tc>
        <w:tc>
          <w:tcPr>
            <w:tcW w:w="1106" w:type="pct"/>
            <w:shd w:val="clear" w:color="auto" w:fill="DEEAF6" w:themeFill="accent1" w:themeFillTint="33"/>
            <w:vAlign w:val="center"/>
          </w:tcPr>
          <w:p w14:paraId="28DFC9E7" w14:textId="4B05DCD7" w:rsidR="00F05A42" w:rsidRPr="003C7A17" w:rsidRDefault="00F05A42" w:rsidP="002D7AA1">
            <w:pPr>
              <w:pStyle w:val="Akapitzlist"/>
              <w:spacing w:line="276" w:lineRule="auto"/>
              <w:ind w:left="0"/>
              <w:rPr>
                <w:rFonts w:ascii="Arial" w:hAnsi="Arial" w:cs="Arial"/>
                <w:color w:val="000000" w:themeColor="text1"/>
                <w:sz w:val="21"/>
                <w:szCs w:val="21"/>
              </w:rPr>
            </w:pPr>
            <w:r w:rsidRPr="003C7A17">
              <w:rPr>
                <w:rFonts w:ascii="Arial" w:hAnsi="Arial" w:cs="Arial"/>
                <w:color w:val="000000" w:themeColor="text1"/>
                <w:sz w:val="21"/>
                <w:szCs w:val="21"/>
              </w:rPr>
              <w:t xml:space="preserve">Podniesienie jakości życia mieszkańców województwa poprzez poprawę dostępności transportowej w różnych skalach przestrzennych, </w:t>
            </w:r>
            <w:r w:rsidR="002D7AA1">
              <w:rPr>
                <w:rFonts w:ascii="Arial" w:hAnsi="Arial" w:cs="Arial"/>
                <w:color w:val="000000" w:themeColor="text1"/>
                <w:sz w:val="21"/>
                <w:szCs w:val="21"/>
              </w:rPr>
              <w:br/>
            </w:r>
            <w:r w:rsidRPr="003C7A17">
              <w:rPr>
                <w:rFonts w:ascii="Arial" w:hAnsi="Arial" w:cs="Arial"/>
                <w:color w:val="000000" w:themeColor="text1"/>
                <w:sz w:val="21"/>
                <w:szCs w:val="21"/>
              </w:rPr>
              <w:t>z uwzględnieniem zachodzących niekorzystnych procesów demograficznych</w:t>
            </w:r>
          </w:p>
        </w:tc>
        <w:tc>
          <w:tcPr>
            <w:tcW w:w="1106" w:type="pct"/>
            <w:shd w:val="clear" w:color="auto" w:fill="DEEAF6" w:themeFill="accent1" w:themeFillTint="33"/>
            <w:vAlign w:val="center"/>
          </w:tcPr>
          <w:p w14:paraId="2C51660E" w14:textId="77777777" w:rsidR="00F05A42" w:rsidRPr="003C7A17" w:rsidRDefault="00F05A42" w:rsidP="002D7AA1">
            <w:pPr>
              <w:spacing w:line="276" w:lineRule="auto"/>
              <w:rPr>
                <w:rFonts w:ascii="Arial" w:hAnsi="Arial" w:cs="Arial"/>
                <w:color w:val="000000" w:themeColor="text1"/>
                <w:sz w:val="21"/>
                <w:szCs w:val="21"/>
              </w:rPr>
            </w:pPr>
            <w:r w:rsidRPr="003C7A17">
              <w:rPr>
                <w:rFonts w:ascii="Arial" w:hAnsi="Arial" w:cs="Arial"/>
                <w:color w:val="000000" w:themeColor="text1"/>
                <w:sz w:val="21"/>
                <w:szCs w:val="21"/>
              </w:rPr>
              <w:t>Zmniejszenie negatywnego oddziaływania sektora transportu na szeroko rozumiane środowisko naturalne w wymiarze globalnym (zmian klimatycznych) i lokalnym (ochrona, cennych walorów przyrodniczych regionu)</w:t>
            </w:r>
          </w:p>
        </w:tc>
        <w:tc>
          <w:tcPr>
            <w:tcW w:w="627" w:type="pct"/>
            <w:shd w:val="clear" w:color="auto" w:fill="DEEAF6" w:themeFill="accent1" w:themeFillTint="33"/>
            <w:vAlign w:val="center"/>
          </w:tcPr>
          <w:p w14:paraId="49C4F755" w14:textId="77777777" w:rsidR="00F05A42" w:rsidRPr="003C7A17" w:rsidRDefault="00F05A42" w:rsidP="002D7AA1">
            <w:pPr>
              <w:pStyle w:val="Akapitzlist"/>
              <w:spacing w:line="276" w:lineRule="auto"/>
              <w:ind w:left="0"/>
              <w:rPr>
                <w:rFonts w:ascii="Arial" w:hAnsi="Arial" w:cs="Arial"/>
                <w:color w:val="000000" w:themeColor="text1"/>
                <w:sz w:val="21"/>
                <w:szCs w:val="21"/>
              </w:rPr>
            </w:pPr>
            <w:r w:rsidRPr="003C7A17">
              <w:rPr>
                <w:rFonts w:ascii="Arial" w:hAnsi="Arial" w:cs="Arial"/>
                <w:color w:val="000000" w:themeColor="text1"/>
                <w:sz w:val="21"/>
                <w:szCs w:val="21"/>
              </w:rPr>
              <w:t>Podniesienie poziomu bezpieczeństwa w transporcie</w:t>
            </w:r>
          </w:p>
        </w:tc>
      </w:tr>
      <w:tr w:rsidR="006F4FD2" w:rsidRPr="003C7A17" w14:paraId="62AD4B39" w14:textId="77777777" w:rsidTr="003C7A17">
        <w:trPr>
          <w:jc w:val="center"/>
        </w:trPr>
        <w:tc>
          <w:tcPr>
            <w:tcW w:w="1104" w:type="pct"/>
            <w:vAlign w:val="center"/>
          </w:tcPr>
          <w:p w14:paraId="68EE4E46" w14:textId="3AF60E0E" w:rsidR="00F05A42" w:rsidRPr="003C7A17" w:rsidRDefault="00F05A42" w:rsidP="002D7AA1">
            <w:pPr>
              <w:pStyle w:val="Akapitzlist"/>
              <w:spacing w:line="276" w:lineRule="auto"/>
              <w:ind w:left="0"/>
              <w:rPr>
                <w:rFonts w:ascii="Arial" w:hAnsi="Arial" w:cs="Arial"/>
                <w:color w:val="000000" w:themeColor="text1"/>
                <w:sz w:val="21"/>
                <w:szCs w:val="21"/>
              </w:rPr>
            </w:pPr>
            <w:r w:rsidRPr="003C7A17">
              <w:rPr>
                <w:rFonts w:ascii="Arial" w:hAnsi="Arial" w:cs="Arial"/>
                <w:color w:val="000000" w:themeColor="text1"/>
                <w:sz w:val="21"/>
                <w:szCs w:val="21"/>
              </w:rPr>
              <w:t xml:space="preserve">Cel </w:t>
            </w:r>
            <w:r w:rsidR="00974ED4" w:rsidRPr="003C7A17">
              <w:rPr>
                <w:rFonts w:ascii="Arial" w:hAnsi="Arial" w:cs="Arial"/>
                <w:color w:val="000000" w:themeColor="text1"/>
                <w:sz w:val="21"/>
                <w:szCs w:val="21"/>
              </w:rPr>
              <w:t xml:space="preserve">podstawowy </w:t>
            </w:r>
            <w:r w:rsidRPr="003C7A17">
              <w:rPr>
                <w:rFonts w:ascii="Arial" w:hAnsi="Arial" w:cs="Arial"/>
                <w:color w:val="000000" w:themeColor="text1"/>
                <w:sz w:val="21"/>
                <w:szCs w:val="21"/>
              </w:rPr>
              <w:t>1</w:t>
            </w:r>
            <w:r w:rsidR="007228CC" w:rsidRPr="003C7A17">
              <w:rPr>
                <w:rFonts w:ascii="Arial" w:hAnsi="Arial" w:cs="Arial"/>
                <w:color w:val="000000" w:themeColor="text1"/>
                <w:sz w:val="21"/>
                <w:szCs w:val="21"/>
              </w:rPr>
              <w:t>.</w:t>
            </w:r>
            <w:r w:rsidRPr="003C7A17">
              <w:rPr>
                <w:rFonts w:ascii="Arial" w:hAnsi="Arial" w:cs="Arial"/>
                <w:color w:val="000000" w:themeColor="text1"/>
                <w:sz w:val="21"/>
                <w:szCs w:val="21"/>
              </w:rPr>
              <w:t xml:space="preserve"> Zwiększenie dostępności zewnętrznej regionu (krajowej i zagranicznej) wynikającej z peryferyjnego położenia województwa</w:t>
            </w:r>
          </w:p>
        </w:tc>
        <w:tc>
          <w:tcPr>
            <w:tcW w:w="1057" w:type="pct"/>
            <w:vAlign w:val="center"/>
          </w:tcPr>
          <w:p w14:paraId="193DBBF5"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70606863"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3D919B9F"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627" w:type="pct"/>
            <w:vAlign w:val="center"/>
          </w:tcPr>
          <w:p w14:paraId="160BEDC5"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r>
      <w:tr w:rsidR="006F4FD2" w:rsidRPr="003C7A17" w14:paraId="33061728" w14:textId="77777777" w:rsidTr="003C7A17">
        <w:trPr>
          <w:jc w:val="center"/>
        </w:trPr>
        <w:tc>
          <w:tcPr>
            <w:tcW w:w="1104" w:type="pct"/>
            <w:vAlign w:val="center"/>
          </w:tcPr>
          <w:p w14:paraId="2D2BAD70" w14:textId="6B829912" w:rsidR="00F05A42" w:rsidRPr="003C7A17" w:rsidRDefault="00974ED4" w:rsidP="002D7AA1">
            <w:pPr>
              <w:pStyle w:val="Akapitzlist"/>
              <w:spacing w:line="276" w:lineRule="auto"/>
              <w:ind w:left="0"/>
              <w:rPr>
                <w:rFonts w:ascii="Arial" w:hAnsi="Arial" w:cs="Arial"/>
                <w:color w:val="000000" w:themeColor="text1"/>
                <w:sz w:val="21"/>
                <w:szCs w:val="21"/>
              </w:rPr>
            </w:pPr>
            <w:r w:rsidRPr="003C7A17">
              <w:rPr>
                <w:rFonts w:ascii="Arial" w:hAnsi="Arial" w:cs="Arial"/>
                <w:color w:val="000000" w:themeColor="text1"/>
                <w:sz w:val="21"/>
                <w:szCs w:val="21"/>
              </w:rPr>
              <w:t xml:space="preserve">Cel podstawowy </w:t>
            </w:r>
            <w:r w:rsidR="00F05A42" w:rsidRPr="003C7A17">
              <w:rPr>
                <w:rFonts w:ascii="Arial" w:hAnsi="Arial" w:cs="Arial"/>
                <w:color w:val="000000" w:themeColor="text1"/>
                <w:sz w:val="21"/>
                <w:szCs w:val="21"/>
              </w:rPr>
              <w:t>2</w:t>
            </w:r>
            <w:r w:rsidR="007228CC" w:rsidRPr="003C7A17">
              <w:rPr>
                <w:rFonts w:ascii="Arial" w:hAnsi="Arial" w:cs="Arial"/>
                <w:color w:val="000000" w:themeColor="text1"/>
                <w:sz w:val="21"/>
                <w:szCs w:val="21"/>
              </w:rPr>
              <w:t>.</w:t>
            </w:r>
            <w:r w:rsidR="00F05A42" w:rsidRPr="003C7A17">
              <w:rPr>
                <w:rFonts w:ascii="Arial" w:hAnsi="Arial" w:cs="Arial"/>
                <w:color w:val="000000" w:themeColor="text1"/>
                <w:sz w:val="21"/>
                <w:szCs w:val="21"/>
              </w:rPr>
              <w:t xml:space="preserve"> Zwiększenie powiązań transportowych w regionie, </w:t>
            </w:r>
            <w:r w:rsidR="002D7AA1">
              <w:rPr>
                <w:rFonts w:ascii="Arial" w:hAnsi="Arial" w:cs="Arial"/>
                <w:color w:val="000000" w:themeColor="text1"/>
                <w:sz w:val="21"/>
                <w:szCs w:val="21"/>
              </w:rPr>
              <w:br/>
            </w:r>
            <w:r w:rsidR="00F05A42" w:rsidRPr="003C7A17">
              <w:rPr>
                <w:rFonts w:ascii="Arial" w:hAnsi="Arial" w:cs="Arial"/>
                <w:color w:val="000000" w:themeColor="text1"/>
                <w:sz w:val="21"/>
                <w:szCs w:val="21"/>
              </w:rPr>
              <w:t>w tym likwidowanie obszarów wykluczenia transportowego spowodowanego niskim zaludnieniem, obszarami górzystymi, obszarami o niskiej skali zatrudniania</w:t>
            </w:r>
          </w:p>
        </w:tc>
        <w:tc>
          <w:tcPr>
            <w:tcW w:w="1057" w:type="pct"/>
            <w:vAlign w:val="center"/>
          </w:tcPr>
          <w:p w14:paraId="7FA97275"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2298EB5E"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5F8A282C"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627" w:type="pct"/>
            <w:vAlign w:val="center"/>
          </w:tcPr>
          <w:p w14:paraId="52341492"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r>
      <w:tr w:rsidR="006F4FD2" w:rsidRPr="003C7A17" w14:paraId="03A7EE6B" w14:textId="77777777" w:rsidTr="003C7A17">
        <w:trPr>
          <w:jc w:val="center"/>
        </w:trPr>
        <w:tc>
          <w:tcPr>
            <w:tcW w:w="1104" w:type="pct"/>
            <w:vAlign w:val="center"/>
          </w:tcPr>
          <w:p w14:paraId="0BB32583" w14:textId="3101260A" w:rsidR="00F05A42" w:rsidRPr="003C7A17" w:rsidRDefault="00974ED4" w:rsidP="002D7AA1">
            <w:pPr>
              <w:pStyle w:val="Akapitzlist"/>
              <w:spacing w:line="276" w:lineRule="auto"/>
              <w:ind w:left="0"/>
              <w:rPr>
                <w:rFonts w:ascii="Arial" w:hAnsi="Arial" w:cs="Arial"/>
                <w:color w:val="000000" w:themeColor="text1"/>
                <w:sz w:val="21"/>
                <w:szCs w:val="21"/>
              </w:rPr>
            </w:pPr>
            <w:r w:rsidRPr="003C7A17">
              <w:rPr>
                <w:rFonts w:ascii="Arial" w:hAnsi="Arial" w:cs="Arial"/>
                <w:color w:val="000000" w:themeColor="text1"/>
                <w:sz w:val="21"/>
                <w:szCs w:val="21"/>
              </w:rPr>
              <w:t xml:space="preserve">Cel podstawowy </w:t>
            </w:r>
            <w:r w:rsidR="00F05A42" w:rsidRPr="003C7A17">
              <w:rPr>
                <w:rFonts w:ascii="Arial" w:hAnsi="Arial" w:cs="Arial"/>
                <w:color w:val="000000" w:themeColor="text1"/>
                <w:sz w:val="21"/>
                <w:szCs w:val="21"/>
              </w:rPr>
              <w:t>3</w:t>
            </w:r>
            <w:r w:rsidR="007228CC" w:rsidRPr="003C7A17">
              <w:rPr>
                <w:rFonts w:ascii="Arial" w:hAnsi="Arial" w:cs="Arial"/>
                <w:color w:val="000000" w:themeColor="text1"/>
                <w:sz w:val="21"/>
                <w:szCs w:val="21"/>
              </w:rPr>
              <w:t>.</w:t>
            </w:r>
            <w:r w:rsidR="00F05A42" w:rsidRPr="003C7A17">
              <w:rPr>
                <w:rFonts w:ascii="Arial" w:hAnsi="Arial" w:cs="Arial"/>
                <w:color w:val="000000" w:themeColor="text1"/>
                <w:sz w:val="21"/>
                <w:szCs w:val="21"/>
              </w:rPr>
              <w:t xml:space="preserve"> Integracja wewnętrzna </w:t>
            </w:r>
            <w:r w:rsidR="00E01E38" w:rsidRPr="003C7A17">
              <w:rPr>
                <w:rFonts w:ascii="Arial" w:hAnsi="Arial" w:cs="Arial"/>
                <w:color w:val="000000" w:themeColor="text1"/>
                <w:sz w:val="21"/>
                <w:szCs w:val="21"/>
              </w:rPr>
              <w:t xml:space="preserve">Rzeszowskiego Obszaru Funkcjonalnego </w:t>
            </w:r>
            <w:r w:rsidR="002D7AA1">
              <w:rPr>
                <w:rFonts w:ascii="Arial" w:hAnsi="Arial" w:cs="Arial"/>
                <w:color w:val="000000" w:themeColor="text1"/>
                <w:sz w:val="21"/>
                <w:szCs w:val="21"/>
              </w:rPr>
              <w:br/>
            </w:r>
            <w:r w:rsidR="00E01E38" w:rsidRPr="003C7A17">
              <w:rPr>
                <w:rFonts w:ascii="Arial" w:hAnsi="Arial" w:cs="Arial"/>
                <w:color w:val="000000" w:themeColor="text1"/>
                <w:sz w:val="21"/>
                <w:szCs w:val="21"/>
              </w:rPr>
              <w:t>i miejskich obszarów funkcjonalnych biegunów wzrostu</w:t>
            </w:r>
            <w:r w:rsidR="00A6352F" w:rsidRPr="003C7A17">
              <w:rPr>
                <w:rFonts w:ascii="Arial" w:hAnsi="Arial" w:cs="Arial"/>
                <w:color w:val="000000" w:themeColor="text1"/>
                <w:sz w:val="21"/>
                <w:szCs w:val="21"/>
              </w:rPr>
              <w:t>,</w:t>
            </w:r>
            <w:r w:rsidR="00E01E38" w:rsidRPr="003C7A17">
              <w:rPr>
                <w:rFonts w:ascii="Arial" w:hAnsi="Arial" w:cs="Arial"/>
                <w:color w:val="000000" w:themeColor="text1"/>
                <w:sz w:val="21"/>
                <w:szCs w:val="21"/>
              </w:rPr>
              <w:t xml:space="preserve"> uwzględniająca policentryczny układ województwa i umożliwiająca integrację głównych rynków pracy</w:t>
            </w:r>
          </w:p>
        </w:tc>
        <w:tc>
          <w:tcPr>
            <w:tcW w:w="1057" w:type="pct"/>
            <w:vAlign w:val="center"/>
          </w:tcPr>
          <w:p w14:paraId="72B2CD1B"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50737FB1"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79F67EF1"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627" w:type="pct"/>
            <w:vAlign w:val="center"/>
          </w:tcPr>
          <w:p w14:paraId="0070D4FF"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r>
      <w:tr w:rsidR="006F4FD2" w:rsidRPr="003C7A17" w14:paraId="5FCD59BC" w14:textId="77777777" w:rsidTr="003C7A17">
        <w:trPr>
          <w:jc w:val="center"/>
        </w:trPr>
        <w:tc>
          <w:tcPr>
            <w:tcW w:w="1104" w:type="pct"/>
            <w:vAlign w:val="center"/>
          </w:tcPr>
          <w:p w14:paraId="21369DB4" w14:textId="2D3F9EF7" w:rsidR="00F05A42" w:rsidRPr="003C7A17" w:rsidRDefault="00F05A42" w:rsidP="002D7AA1">
            <w:pPr>
              <w:pStyle w:val="Akapitzlist"/>
              <w:spacing w:line="276" w:lineRule="auto"/>
              <w:ind w:left="0"/>
              <w:rPr>
                <w:rFonts w:ascii="Arial" w:hAnsi="Arial" w:cs="Arial"/>
                <w:color w:val="000000" w:themeColor="text1"/>
                <w:sz w:val="21"/>
                <w:szCs w:val="21"/>
              </w:rPr>
            </w:pPr>
            <w:r w:rsidRPr="003C7A17">
              <w:rPr>
                <w:rFonts w:ascii="Arial" w:hAnsi="Arial" w:cs="Arial"/>
                <w:color w:val="000000" w:themeColor="text1"/>
                <w:sz w:val="21"/>
                <w:szCs w:val="21"/>
              </w:rPr>
              <w:t>Cel horyzontalny 1</w:t>
            </w:r>
            <w:r w:rsidR="007228CC" w:rsidRPr="003C7A17">
              <w:rPr>
                <w:rFonts w:ascii="Arial" w:hAnsi="Arial" w:cs="Arial"/>
                <w:color w:val="000000" w:themeColor="text1"/>
                <w:sz w:val="21"/>
                <w:szCs w:val="21"/>
              </w:rPr>
              <w:t>.</w:t>
            </w:r>
            <w:r w:rsidR="002D7AA1">
              <w:rPr>
                <w:rFonts w:ascii="Arial" w:hAnsi="Arial" w:cs="Arial"/>
                <w:color w:val="000000" w:themeColor="text1"/>
                <w:sz w:val="21"/>
                <w:szCs w:val="21"/>
              </w:rPr>
              <w:t xml:space="preserve"> </w:t>
            </w:r>
            <w:r w:rsidRPr="003C7A17">
              <w:rPr>
                <w:rFonts w:ascii="Arial" w:hAnsi="Arial" w:cs="Arial"/>
                <w:color w:val="000000" w:themeColor="text1"/>
                <w:sz w:val="21"/>
                <w:szCs w:val="21"/>
              </w:rPr>
              <w:t>Ograniczenie negatywnego oddziaływania sektora transportu na klimat oraz na regionalne środowisko naturalne</w:t>
            </w:r>
          </w:p>
        </w:tc>
        <w:tc>
          <w:tcPr>
            <w:tcW w:w="1057" w:type="pct"/>
            <w:vAlign w:val="center"/>
          </w:tcPr>
          <w:p w14:paraId="474CD928"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6A33BA68"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5D8310AE"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627" w:type="pct"/>
            <w:vAlign w:val="center"/>
          </w:tcPr>
          <w:p w14:paraId="0823C871"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r>
      <w:tr w:rsidR="006F4FD2" w:rsidRPr="003C7A17" w14:paraId="0182040C" w14:textId="77777777" w:rsidTr="003C7A17">
        <w:trPr>
          <w:jc w:val="center"/>
        </w:trPr>
        <w:tc>
          <w:tcPr>
            <w:tcW w:w="1104" w:type="pct"/>
            <w:vAlign w:val="center"/>
          </w:tcPr>
          <w:p w14:paraId="6DD53FD1" w14:textId="5FEB160D" w:rsidR="00F05A42" w:rsidRPr="003C7A17" w:rsidRDefault="00F05A42" w:rsidP="002D7AA1">
            <w:pPr>
              <w:pStyle w:val="Akapitzlist"/>
              <w:spacing w:line="276" w:lineRule="auto"/>
              <w:ind w:left="0"/>
              <w:rPr>
                <w:rFonts w:ascii="Arial" w:hAnsi="Arial" w:cs="Arial"/>
                <w:color w:val="000000" w:themeColor="text1"/>
                <w:sz w:val="21"/>
                <w:szCs w:val="21"/>
              </w:rPr>
            </w:pPr>
            <w:r w:rsidRPr="003C7A17">
              <w:rPr>
                <w:rFonts w:ascii="Arial" w:hAnsi="Arial" w:cs="Arial"/>
                <w:color w:val="000000" w:themeColor="text1"/>
                <w:sz w:val="21"/>
                <w:szCs w:val="21"/>
              </w:rPr>
              <w:t>Cel horyzontalny 2</w:t>
            </w:r>
            <w:r w:rsidR="007228CC" w:rsidRPr="003C7A17">
              <w:rPr>
                <w:rFonts w:ascii="Arial" w:hAnsi="Arial" w:cs="Arial"/>
                <w:color w:val="000000" w:themeColor="text1"/>
                <w:sz w:val="21"/>
                <w:szCs w:val="21"/>
              </w:rPr>
              <w:t>.</w:t>
            </w:r>
            <w:r w:rsidR="002D7AA1">
              <w:rPr>
                <w:rFonts w:ascii="Arial" w:hAnsi="Arial" w:cs="Arial"/>
                <w:color w:val="000000" w:themeColor="text1"/>
                <w:sz w:val="21"/>
                <w:szCs w:val="21"/>
              </w:rPr>
              <w:t xml:space="preserve"> </w:t>
            </w:r>
            <w:r w:rsidRPr="003C7A17">
              <w:rPr>
                <w:rFonts w:ascii="Arial" w:hAnsi="Arial" w:cs="Arial"/>
                <w:color w:val="000000" w:themeColor="text1"/>
                <w:sz w:val="21"/>
                <w:szCs w:val="21"/>
              </w:rPr>
              <w:t>Wzmoc</w:t>
            </w:r>
            <w:r w:rsidR="002D7AA1">
              <w:rPr>
                <w:rFonts w:ascii="Arial" w:hAnsi="Arial" w:cs="Arial"/>
                <w:color w:val="000000" w:themeColor="text1"/>
                <w:sz w:val="21"/>
                <w:szCs w:val="21"/>
              </w:rPr>
              <w:t>nienie rozwiązań multimodalnych</w:t>
            </w:r>
          </w:p>
        </w:tc>
        <w:tc>
          <w:tcPr>
            <w:tcW w:w="1057" w:type="pct"/>
            <w:vAlign w:val="center"/>
          </w:tcPr>
          <w:p w14:paraId="28FE2625"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390A1E9A"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5444C685"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627" w:type="pct"/>
            <w:vAlign w:val="center"/>
          </w:tcPr>
          <w:p w14:paraId="6D80CE94"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r>
      <w:tr w:rsidR="006F4FD2" w:rsidRPr="003C7A17" w14:paraId="2C41393C" w14:textId="77777777" w:rsidTr="003C7A17">
        <w:trPr>
          <w:jc w:val="center"/>
        </w:trPr>
        <w:tc>
          <w:tcPr>
            <w:tcW w:w="1104" w:type="pct"/>
            <w:vAlign w:val="center"/>
          </w:tcPr>
          <w:p w14:paraId="6E6DD79E" w14:textId="6DD3E7A3" w:rsidR="00F05A42" w:rsidRPr="003C7A17" w:rsidRDefault="00F05A42" w:rsidP="002D7AA1">
            <w:pPr>
              <w:pStyle w:val="Akapitzlist"/>
              <w:spacing w:line="276" w:lineRule="auto"/>
              <w:ind w:left="0"/>
              <w:rPr>
                <w:rFonts w:ascii="Arial" w:hAnsi="Arial" w:cs="Arial"/>
                <w:color w:val="000000" w:themeColor="text1"/>
                <w:sz w:val="21"/>
                <w:szCs w:val="21"/>
              </w:rPr>
            </w:pPr>
            <w:r w:rsidRPr="003C7A17">
              <w:rPr>
                <w:rFonts w:ascii="Arial" w:hAnsi="Arial" w:cs="Arial"/>
                <w:color w:val="000000" w:themeColor="text1"/>
                <w:sz w:val="21"/>
                <w:szCs w:val="21"/>
              </w:rPr>
              <w:t>Cel horyzontalny 3</w:t>
            </w:r>
            <w:r w:rsidR="007228CC" w:rsidRPr="003C7A17">
              <w:rPr>
                <w:rFonts w:ascii="Arial" w:hAnsi="Arial" w:cs="Arial"/>
                <w:color w:val="000000" w:themeColor="text1"/>
                <w:sz w:val="21"/>
                <w:szCs w:val="21"/>
              </w:rPr>
              <w:t>.</w:t>
            </w:r>
            <w:r w:rsidR="002D7AA1">
              <w:rPr>
                <w:rFonts w:ascii="Arial" w:hAnsi="Arial" w:cs="Arial"/>
                <w:color w:val="000000" w:themeColor="text1"/>
                <w:sz w:val="21"/>
                <w:szCs w:val="21"/>
              </w:rPr>
              <w:t xml:space="preserve"> </w:t>
            </w:r>
            <w:r w:rsidR="002D7AA1">
              <w:rPr>
                <w:rFonts w:ascii="Arial" w:hAnsi="Arial" w:cs="Arial"/>
                <w:color w:val="000000" w:themeColor="text1"/>
                <w:sz w:val="21"/>
                <w:szCs w:val="21"/>
              </w:rPr>
              <w:br/>
            </w:r>
            <w:r w:rsidR="004E4947" w:rsidRPr="003C7A17">
              <w:rPr>
                <w:rFonts w:ascii="Arial" w:hAnsi="Arial" w:cs="Arial"/>
                <w:color w:val="000000" w:themeColor="text1"/>
                <w:sz w:val="21"/>
                <w:szCs w:val="21"/>
              </w:rPr>
              <w:t>Rozwój t</w:t>
            </w:r>
            <w:r w:rsidRPr="003C7A17">
              <w:rPr>
                <w:rFonts w:ascii="Arial" w:hAnsi="Arial" w:cs="Arial"/>
                <w:color w:val="000000" w:themeColor="text1"/>
                <w:sz w:val="21"/>
                <w:szCs w:val="21"/>
              </w:rPr>
              <w:t>ransport</w:t>
            </w:r>
            <w:r w:rsidR="004E4947" w:rsidRPr="003C7A17">
              <w:rPr>
                <w:rFonts w:ascii="Arial" w:hAnsi="Arial" w:cs="Arial"/>
                <w:color w:val="000000" w:themeColor="text1"/>
                <w:sz w:val="21"/>
                <w:szCs w:val="21"/>
              </w:rPr>
              <w:t>u</w:t>
            </w:r>
            <w:r w:rsidRPr="003C7A17">
              <w:rPr>
                <w:rFonts w:ascii="Arial" w:hAnsi="Arial" w:cs="Arial"/>
                <w:color w:val="000000" w:themeColor="text1"/>
                <w:sz w:val="21"/>
                <w:szCs w:val="21"/>
              </w:rPr>
              <w:t xml:space="preserve"> publiczn</w:t>
            </w:r>
            <w:r w:rsidR="004E4947" w:rsidRPr="003C7A17">
              <w:rPr>
                <w:rFonts w:ascii="Arial" w:hAnsi="Arial" w:cs="Arial"/>
                <w:color w:val="000000" w:themeColor="text1"/>
                <w:sz w:val="21"/>
                <w:szCs w:val="21"/>
              </w:rPr>
              <w:t>ego</w:t>
            </w:r>
          </w:p>
        </w:tc>
        <w:tc>
          <w:tcPr>
            <w:tcW w:w="1057" w:type="pct"/>
            <w:vAlign w:val="center"/>
          </w:tcPr>
          <w:p w14:paraId="06F5B7AC"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1B93EAEC"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14A8245F"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627" w:type="pct"/>
            <w:vAlign w:val="center"/>
          </w:tcPr>
          <w:p w14:paraId="118812AD"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r>
      <w:tr w:rsidR="006F4FD2" w:rsidRPr="003C7A17" w14:paraId="72FFE88C" w14:textId="77777777" w:rsidTr="003C7A17">
        <w:trPr>
          <w:jc w:val="center"/>
        </w:trPr>
        <w:tc>
          <w:tcPr>
            <w:tcW w:w="1104" w:type="pct"/>
            <w:vAlign w:val="center"/>
          </w:tcPr>
          <w:p w14:paraId="5D3D8A16" w14:textId="28C42FC8" w:rsidR="00F05A42" w:rsidRPr="003C7A17" w:rsidRDefault="00F05A42" w:rsidP="002D7AA1">
            <w:pPr>
              <w:pStyle w:val="Akapitzlist"/>
              <w:spacing w:line="276" w:lineRule="auto"/>
              <w:ind w:left="0"/>
              <w:rPr>
                <w:rFonts w:ascii="Arial" w:hAnsi="Arial" w:cs="Arial"/>
                <w:color w:val="000000" w:themeColor="text1"/>
                <w:sz w:val="21"/>
                <w:szCs w:val="21"/>
              </w:rPr>
            </w:pPr>
            <w:r w:rsidRPr="003C7A17">
              <w:rPr>
                <w:rFonts w:ascii="Arial" w:hAnsi="Arial" w:cs="Arial"/>
                <w:color w:val="000000" w:themeColor="text1"/>
                <w:sz w:val="21"/>
                <w:szCs w:val="21"/>
              </w:rPr>
              <w:t>Cel horyzontalny 4</w:t>
            </w:r>
            <w:r w:rsidR="007228CC" w:rsidRPr="003C7A17">
              <w:rPr>
                <w:rFonts w:ascii="Arial" w:hAnsi="Arial" w:cs="Arial"/>
                <w:color w:val="000000" w:themeColor="text1"/>
                <w:sz w:val="21"/>
                <w:szCs w:val="21"/>
              </w:rPr>
              <w:t>.</w:t>
            </w:r>
          </w:p>
          <w:p w14:paraId="5C76ABE3" w14:textId="0AEBBCC3" w:rsidR="00F05A42" w:rsidRPr="003C7A17" w:rsidRDefault="00F05A42" w:rsidP="002D7AA1">
            <w:pPr>
              <w:pStyle w:val="Akapitzlist"/>
              <w:spacing w:line="276" w:lineRule="auto"/>
              <w:ind w:left="0"/>
              <w:rPr>
                <w:rFonts w:ascii="Arial" w:hAnsi="Arial" w:cs="Arial"/>
                <w:color w:val="000000" w:themeColor="text1"/>
                <w:sz w:val="21"/>
                <w:szCs w:val="21"/>
              </w:rPr>
            </w:pPr>
            <w:r w:rsidRPr="003C7A17">
              <w:rPr>
                <w:rFonts w:ascii="Arial" w:hAnsi="Arial" w:cs="Arial"/>
                <w:color w:val="000000" w:themeColor="text1"/>
                <w:sz w:val="21"/>
                <w:szCs w:val="21"/>
              </w:rPr>
              <w:t>Poprawa bezpieczeństwa w</w:t>
            </w:r>
            <w:r w:rsidR="002D7AA1">
              <w:rPr>
                <w:rFonts w:ascii="Arial" w:hAnsi="Arial" w:cs="Arial"/>
                <w:color w:val="000000" w:themeColor="text1"/>
                <w:sz w:val="21"/>
                <w:szCs w:val="21"/>
              </w:rPr>
              <w:t xml:space="preserve"> transporcie</w:t>
            </w:r>
          </w:p>
        </w:tc>
        <w:tc>
          <w:tcPr>
            <w:tcW w:w="1057" w:type="pct"/>
            <w:vAlign w:val="center"/>
          </w:tcPr>
          <w:p w14:paraId="4FAD1A60"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3ED9B8D4"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1106" w:type="pct"/>
            <w:vAlign w:val="center"/>
          </w:tcPr>
          <w:p w14:paraId="419482B2"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c>
          <w:tcPr>
            <w:tcW w:w="627" w:type="pct"/>
            <w:vAlign w:val="center"/>
          </w:tcPr>
          <w:p w14:paraId="7966ACCB" w14:textId="77777777" w:rsidR="00F05A42" w:rsidRPr="003C7A17" w:rsidRDefault="00F05A42" w:rsidP="002D7AA1">
            <w:pPr>
              <w:pStyle w:val="Akapitzlist"/>
              <w:spacing w:line="276" w:lineRule="auto"/>
              <w:ind w:left="0"/>
              <w:jc w:val="center"/>
              <w:rPr>
                <w:rFonts w:ascii="Arial" w:hAnsi="Arial" w:cs="Arial"/>
                <w:color w:val="000000" w:themeColor="text1"/>
                <w:sz w:val="21"/>
                <w:szCs w:val="21"/>
              </w:rPr>
            </w:pPr>
            <w:r w:rsidRPr="003C7A17">
              <w:rPr>
                <w:rFonts w:ascii="Arial" w:hAnsi="Arial" w:cs="Arial"/>
                <w:color w:val="000000" w:themeColor="text1"/>
                <w:sz w:val="21"/>
                <w:szCs w:val="21"/>
              </w:rPr>
              <w:t>++</w:t>
            </w:r>
          </w:p>
        </w:tc>
      </w:tr>
    </w:tbl>
    <w:p w14:paraId="01192C1B" w14:textId="5E8925FD" w:rsidR="00F05A42" w:rsidRPr="002D7AA1" w:rsidRDefault="00F05A42" w:rsidP="002D7AA1">
      <w:pPr>
        <w:spacing w:before="120" w:after="0"/>
        <w:rPr>
          <w:color w:val="000000" w:themeColor="text1"/>
          <w:sz w:val="22"/>
          <w:szCs w:val="22"/>
        </w:rPr>
        <w:sectPr w:rsidR="00F05A42" w:rsidRPr="002D7AA1" w:rsidSect="002D3F55">
          <w:pgSz w:w="16838" w:h="11906" w:orient="landscape"/>
          <w:pgMar w:top="1418" w:right="1418" w:bottom="1418" w:left="1418" w:header="709" w:footer="709" w:gutter="0"/>
          <w:cols w:space="708"/>
          <w:docGrid w:linePitch="360"/>
        </w:sectPr>
      </w:pPr>
      <w:r w:rsidRPr="002D7AA1">
        <w:rPr>
          <w:rFonts w:ascii="Arial" w:hAnsi="Arial" w:cs="Arial"/>
          <w:color w:val="000000" w:themeColor="text1"/>
          <w:sz w:val="22"/>
          <w:szCs w:val="22"/>
        </w:rPr>
        <w:t>Źródło: Opracowanie własne</w:t>
      </w:r>
    </w:p>
    <w:p w14:paraId="11EB71A0" w14:textId="56EC14FE" w:rsidR="00974ED4" w:rsidRPr="009B78DA" w:rsidRDefault="00AD70C5" w:rsidP="00716611">
      <w:pPr>
        <w:spacing w:after="240" w:line="271" w:lineRule="auto"/>
        <w:rPr>
          <w:rFonts w:ascii="Arial" w:hAnsi="Arial" w:cs="Arial"/>
          <w:b/>
          <w:color w:val="000000" w:themeColor="text1"/>
        </w:rPr>
      </w:pPr>
      <w:bookmarkStart w:id="262" w:name="_Hlk85631083"/>
      <w:bookmarkEnd w:id="258"/>
      <w:r w:rsidRPr="009B78DA">
        <w:rPr>
          <w:rFonts w:ascii="Arial" w:hAnsi="Arial" w:cs="Arial"/>
          <w:b/>
          <w:color w:val="000000" w:themeColor="text1"/>
        </w:rPr>
        <w:t>Cele podstawowe</w:t>
      </w:r>
    </w:p>
    <w:p w14:paraId="0C79AFB1" w14:textId="2D573D23" w:rsidR="00AD70C5" w:rsidRPr="009B78DA" w:rsidRDefault="00AD70C5" w:rsidP="00716611">
      <w:pPr>
        <w:spacing w:after="0" w:line="271" w:lineRule="auto"/>
        <w:rPr>
          <w:rFonts w:ascii="Arial" w:hAnsi="Arial" w:cs="Arial"/>
          <w:b/>
          <w:color w:val="000000" w:themeColor="text1"/>
          <w:sz w:val="22"/>
          <w:szCs w:val="22"/>
        </w:rPr>
      </w:pPr>
      <w:bookmarkStart w:id="263" w:name="_Hlk85631066"/>
      <w:bookmarkEnd w:id="262"/>
      <w:r w:rsidRPr="009B78DA">
        <w:rPr>
          <w:rFonts w:ascii="Arial" w:hAnsi="Arial" w:cs="Arial"/>
          <w:b/>
          <w:color w:val="000000" w:themeColor="text1"/>
          <w:sz w:val="22"/>
          <w:szCs w:val="22"/>
        </w:rPr>
        <w:t>Cel podstawowy 1.</w:t>
      </w:r>
      <w:r w:rsidRPr="009B78DA">
        <w:rPr>
          <w:rFonts w:ascii="Arial" w:hAnsi="Arial" w:cs="Arial"/>
          <w:b/>
          <w:color w:val="000000" w:themeColor="text1"/>
          <w:sz w:val="22"/>
          <w:szCs w:val="22"/>
        </w:rPr>
        <w:br/>
        <w:t>Dostępność zewnętrzna</w:t>
      </w:r>
      <w:r w:rsidRPr="009B78DA">
        <w:rPr>
          <w:rFonts w:ascii="Arial" w:hAnsi="Arial" w:cs="Arial"/>
          <w:b/>
          <w:color w:val="000000" w:themeColor="text1"/>
          <w:sz w:val="22"/>
          <w:szCs w:val="22"/>
        </w:rPr>
        <w:br/>
      </w:r>
      <w:bookmarkEnd w:id="263"/>
      <w:r w:rsidRPr="009B78DA">
        <w:rPr>
          <w:rFonts w:ascii="Arial" w:hAnsi="Arial" w:cs="Arial"/>
          <w:b/>
          <w:color w:val="000000" w:themeColor="text1"/>
          <w:sz w:val="22"/>
          <w:szCs w:val="22"/>
        </w:rPr>
        <w:t xml:space="preserve">Zwiększenie dostępności zewnętrznej regionu (krajowej i zagranicznej) wynikającej </w:t>
      </w:r>
      <w:r w:rsidRPr="009B78DA">
        <w:rPr>
          <w:rFonts w:ascii="Arial" w:hAnsi="Arial" w:cs="Arial"/>
          <w:b/>
          <w:color w:val="000000" w:themeColor="text1"/>
          <w:sz w:val="22"/>
          <w:szCs w:val="22"/>
        </w:rPr>
        <w:br/>
        <w:t xml:space="preserve">z peryferyjnego położenia województwa </w:t>
      </w:r>
    </w:p>
    <w:p w14:paraId="0290EA7A" w14:textId="13181859" w:rsidR="00805909" w:rsidRPr="009B78DA" w:rsidRDefault="00AD70C5"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Osiągnięcie celu rozwoju systemu transportowego w regionie wymaga, aby </w:t>
      </w:r>
      <w:r w:rsidR="00716611">
        <w:rPr>
          <w:rFonts w:ascii="Arial" w:hAnsi="Arial" w:cs="Arial"/>
          <w:color w:val="000000" w:themeColor="text1"/>
          <w:sz w:val="22"/>
          <w:szCs w:val="22"/>
        </w:rPr>
        <w:br/>
      </w:r>
      <w:r w:rsidRPr="009B78DA">
        <w:rPr>
          <w:rFonts w:ascii="Arial" w:hAnsi="Arial" w:cs="Arial"/>
          <w:color w:val="000000" w:themeColor="text1"/>
          <w:sz w:val="22"/>
          <w:szCs w:val="22"/>
        </w:rPr>
        <w:t xml:space="preserve">w pierwszej kolejności rozwijać w sposób spójny powiązania infrastrukturalne w układzie krajowym i europejskim głównych ośrodków miejskich. Jednym z podstawowych działań, mających na celu wzrost konkurencyjności województwa podkarpackiego do 2030 r., będzie ukończenie procesu tworzenia wysokiej jakości powiązań transportowych (autostradowych </w:t>
      </w:r>
      <w:r w:rsidR="00716611">
        <w:rPr>
          <w:rFonts w:ascii="Arial" w:hAnsi="Arial" w:cs="Arial"/>
          <w:color w:val="000000" w:themeColor="text1"/>
          <w:sz w:val="22"/>
          <w:szCs w:val="22"/>
        </w:rPr>
        <w:br/>
      </w:r>
      <w:r w:rsidRPr="009B78DA">
        <w:rPr>
          <w:rFonts w:ascii="Arial" w:hAnsi="Arial" w:cs="Arial"/>
          <w:color w:val="000000" w:themeColor="text1"/>
          <w:sz w:val="22"/>
          <w:szCs w:val="22"/>
        </w:rPr>
        <w:t>i</w:t>
      </w:r>
      <w:r w:rsidR="00805909"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dróg ekspresowych), nowoczesnych linii kolejowych, a także połączeń lotniczych oraz połączeń wodnych śródlądowych </w:t>
      </w:r>
      <w:bookmarkStart w:id="264" w:name="_Hlk77834304"/>
      <w:r w:rsidRPr="009B78DA">
        <w:rPr>
          <w:rFonts w:ascii="Arial" w:hAnsi="Arial" w:cs="Arial"/>
          <w:color w:val="000000" w:themeColor="text1"/>
          <w:sz w:val="22"/>
          <w:szCs w:val="22"/>
        </w:rPr>
        <w:t>(w ograniczonym zakresie).</w:t>
      </w:r>
      <w:bookmarkEnd w:id="264"/>
    </w:p>
    <w:p w14:paraId="2EFA222C" w14:textId="3C5B3BF6" w:rsidR="00F32A84" w:rsidRPr="009B78DA" w:rsidRDefault="00AD70C5"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wymiarze dostępności zewnętrznej dokument uwzględnia znaczenie podkarpackiej infrastruktury w </w:t>
      </w:r>
      <w:r w:rsidR="00805909" w:rsidRPr="009B78DA">
        <w:rPr>
          <w:rFonts w:ascii="Arial" w:hAnsi="Arial" w:cs="Arial"/>
          <w:color w:val="000000" w:themeColor="text1"/>
          <w:sz w:val="22"/>
          <w:szCs w:val="22"/>
        </w:rPr>
        <w:t>międzynarodowych</w:t>
      </w:r>
      <w:r w:rsidRPr="009B78DA">
        <w:rPr>
          <w:rFonts w:ascii="Arial" w:hAnsi="Arial" w:cs="Arial"/>
          <w:color w:val="000000" w:themeColor="text1"/>
          <w:sz w:val="22"/>
          <w:szCs w:val="22"/>
        </w:rPr>
        <w:t xml:space="preserve"> połączeniach transportowych. W wymiarze europejskim uwzględnia legislację unijną w zakresie zrównoważonego rozwoju transportu, w tym odnoszącą się do planów rozwoju infrastruktury transportowej (Transeuropejska Sieć Transportowa TEN-T), rozwoju i funkcjonowania rynków transportowych (w</w:t>
      </w:r>
      <w:bookmarkStart w:id="265" w:name="_Hlk85631090"/>
      <w:r w:rsidRPr="009B78DA">
        <w:rPr>
          <w:rFonts w:ascii="Arial" w:hAnsi="Arial" w:cs="Arial"/>
          <w:color w:val="000000" w:themeColor="text1"/>
          <w:sz w:val="22"/>
          <w:szCs w:val="22"/>
        </w:rPr>
        <w:t xml:space="preserve"> </w:t>
      </w:r>
      <w:r w:rsidR="00F32A84" w:rsidRPr="009B78DA">
        <w:rPr>
          <w:rFonts w:ascii="Arial" w:hAnsi="Arial" w:cs="Arial"/>
          <w:color w:val="000000" w:themeColor="text1"/>
          <w:sz w:val="22"/>
          <w:szCs w:val="22"/>
        </w:rPr>
        <w:t xml:space="preserve">tym m.in. IV Pakiet Kolejowy), warunków technicznych, socjalnych i ekonomicznych oraz wdrażania innowacji. Dodatkowo program strategiczny odnosi się do kwestii tworzenia połączeń infrastrukturalnych na obszarze Europy Środkowo-Wschodniej (w tym kluczowych projektów jak Via Carpatia i CPK). </w:t>
      </w:r>
    </w:p>
    <w:p w14:paraId="107664EA" w14:textId="77777777" w:rsidR="00805909" w:rsidRPr="009B78DA" w:rsidRDefault="00F32A84"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wymiarze krajowym wskazuje cele, których realizacja pozwoli na zwiększenie międzyregionalnej dostępności transportowej. Poprawa dostępności wpłynie pozytywnie na wzmocnienie spójności terytorialnej regionu, ale również całego kraju, szczególnie </w:t>
      </w:r>
      <w:r w:rsidRPr="009B78DA">
        <w:rPr>
          <w:rFonts w:ascii="Arial" w:hAnsi="Arial" w:cs="Arial"/>
          <w:color w:val="000000" w:themeColor="text1"/>
          <w:sz w:val="22"/>
          <w:szCs w:val="22"/>
        </w:rPr>
        <w:br/>
        <w:t>w kontekście poprawy powiązań funkcjonalnych polskich miast.</w:t>
      </w:r>
    </w:p>
    <w:p w14:paraId="3CB56F87" w14:textId="004FCCF4" w:rsidR="00F32A84" w:rsidRPr="009B78DA" w:rsidRDefault="00F32A84"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Oczekiwane rezultaty:</w:t>
      </w:r>
    </w:p>
    <w:p w14:paraId="17845DC5" w14:textId="556BCBCD" w:rsidR="00F32A84" w:rsidRPr="009B78DA" w:rsidRDefault="00F32A84" w:rsidP="00716611">
      <w:pPr>
        <w:pStyle w:val="Akapitzlist"/>
        <w:numPr>
          <w:ilvl w:val="0"/>
          <w:numId w:val="72"/>
        </w:numPr>
        <w:spacing w:after="0" w:line="271"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Rozwój sieci transportowej w wymiarze krajowym i międzynarodowym</w:t>
      </w:r>
      <w:r w:rsidR="004E7EA9" w:rsidRPr="009B78DA">
        <w:rPr>
          <w:rFonts w:ascii="Arial" w:hAnsi="Arial" w:cs="Arial"/>
          <w:color w:val="000000" w:themeColor="text1"/>
          <w:sz w:val="22"/>
          <w:szCs w:val="22"/>
        </w:rPr>
        <w:t>;</w:t>
      </w:r>
    </w:p>
    <w:p w14:paraId="4C0E0C3B" w14:textId="2376628C" w:rsidR="00F32A84" w:rsidRPr="009B78DA" w:rsidRDefault="00F32A84" w:rsidP="00716611">
      <w:pPr>
        <w:pStyle w:val="Akapitzlist"/>
        <w:numPr>
          <w:ilvl w:val="0"/>
          <w:numId w:val="72"/>
        </w:numPr>
        <w:spacing w:after="0" w:line="271"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Usprawnienie systemu drogowego, kolejowego i lotniczego województwa</w:t>
      </w:r>
      <w:r w:rsidR="004E7EA9"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p>
    <w:p w14:paraId="51F82014" w14:textId="0FAF5DFE" w:rsidR="00F32A84" w:rsidRPr="009B78DA" w:rsidRDefault="00F32A84" w:rsidP="00716611">
      <w:pPr>
        <w:pStyle w:val="Akapitzlist"/>
        <w:numPr>
          <w:ilvl w:val="0"/>
          <w:numId w:val="72"/>
        </w:numPr>
        <w:spacing w:after="0" w:line="271"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Likwidacja barier rozwojowych dzięki zwiększeniu powiązań transportowych w kraju</w:t>
      </w:r>
      <w:r w:rsidR="004E7EA9" w:rsidRPr="009B78DA">
        <w:rPr>
          <w:rFonts w:ascii="Arial" w:hAnsi="Arial" w:cs="Arial"/>
          <w:color w:val="000000" w:themeColor="text1"/>
          <w:sz w:val="22"/>
          <w:szCs w:val="22"/>
        </w:rPr>
        <w:t>;</w:t>
      </w:r>
    </w:p>
    <w:p w14:paraId="36EE2BF0" w14:textId="77777777" w:rsidR="000D0F02" w:rsidRPr="009B78DA" w:rsidRDefault="00F32A84" w:rsidP="00716611">
      <w:pPr>
        <w:pStyle w:val="Akapitzlist"/>
        <w:numPr>
          <w:ilvl w:val="0"/>
          <w:numId w:val="72"/>
        </w:numPr>
        <w:spacing w:after="0" w:line="271"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Wzrost konkurencyjności regionu dzięki poprawie dostępności w wymiarze krajowym </w:t>
      </w:r>
      <w:r w:rsidR="00805909" w:rsidRPr="009B78DA">
        <w:rPr>
          <w:rFonts w:ascii="Arial" w:hAnsi="Arial" w:cs="Arial"/>
          <w:color w:val="000000" w:themeColor="text1"/>
          <w:sz w:val="22"/>
          <w:szCs w:val="22"/>
        </w:rPr>
        <w:br/>
      </w:r>
      <w:r w:rsidRPr="009B78DA">
        <w:rPr>
          <w:rFonts w:ascii="Arial" w:hAnsi="Arial" w:cs="Arial"/>
          <w:color w:val="000000" w:themeColor="text1"/>
          <w:sz w:val="22"/>
          <w:szCs w:val="22"/>
        </w:rPr>
        <w:t>i międzynarodowym</w:t>
      </w:r>
      <w:r w:rsidR="00C61B55" w:rsidRPr="009B78DA">
        <w:rPr>
          <w:rFonts w:ascii="Arial" w:hAnsi="Arial" w:cs="Arial"/>
          <w:color w:val="000000" w:themeColor="text1"/>
          <w:sz w:val="22"/>
          <w:szCs w:val="22"/>
        </w:rPr>
        <w:t>;</w:t>
      </w:r>
    </w:p>
    <w:p w14:paraId="504CD7A8" w14:textId="4D7D331B" w:rsidR="00F32A84" w:rsidRPr="00716611" w:rsidRDefault="00C61B55" w:rsidP="00716611">
      <w:pPr>
        <w:pStyle w:val="Akapitzlist"/>
        <w:numPr>
          <w:ilvl w:val="0"/>
          <w:numId w:val="72"/>
        </w:numPr>
        <w:spacing w:after="240" w:line="271"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Utrzymanie policentrycznej struktury województwa (przynajmniej w sensie infrastrukturalnym).</w:t>
      </w:r>
    </w:p>
    <w:p w14:paraId="5C9F83F0" w14:textId="10C3F406" w:rsidR="002D5970" w:rsidRPr="009B78DA" w:rsidRDefault="002D5970" w:rsidP="00716611">
      <w:pPr>
        <w:spacing w:after="0" w:line="271" w:lineRule="auto"/>
        <w:rPr>
          <w:rFonts w:ascii="Arial" w:hAnsi="Arial" w:cs="Arial"/>
          <w:b/>
          <w:color w:val="000000" w:themeColor="text1"/>
          <w:sz w:val="22"/>
          <w:szCs w:val="22"/>
        </w:rPr>
      </w:pPr>
      <w:r w:rsidRPr="009B78DA">
        <w:rPr>
          <w:rFonts w:ascii="Arial" w:hAnsi="Arial" w:cs="Arial"/>
          <w:b/>
          <w:color w:val="000000" w:themeColor="text1"/>
          <w:sz w:val="22"/>
          <w:szCs w:val="22"/>
        </w:rPr>
        <w:t>C</w:t>
      </w:r>
      <w:r w:rsidR="00716611">
        <w:rPr>
          <w:rFonts w:ascii="Arial" w:hAnsi="Arial" w:cs="Arial"/>
          <w:b/>
          <w:color w:val="000000" w:themeColor="text1"/>
          <w:sz w:val="22"/>
          <w:szCs w:val="22"/>
        </w:rPr>
        <w:t xml:space="preserve">el podstawowy 2. </w:t>
      </w:r>
      <w:r w:rsidR="00716611">
        <w:rPr>
          <w:rFonts w:ascii="Arial" w:hAnsi="Arial" w:cs="Arial"/>
          <w:b/>
          <w:color w:val="000000" w:themeColor="text1"/>
          <w:sz w:val="22"/>
          <w:szCs w:val="22"/>
        </w:rPr>
        <w:br/>
      </w:r>
      <w:r w:rsidRPr="009B78DA">
        <w:rPr>
          <w:rFonts w:ascii="Arial" w:hAnsi="Arial" w:cs="Arial"/>
          <w:b/>
          <w:color w:val="000000" w:themeColor="text1"/>
          <w:sz w:val="22"/>
          <w:szCs w:val="22"/>
        </w:rPr>
        <w:t>Transportowa spójność wewnętrzna</w:t>
      </w:r>
      <w:r w:rsidRPr="009B78DA">
        <w:rPr>
          <w:rFonts w:ascii="Arial" w:hAnsi="Arial" w:cs="Arial"/>
          <w:b/>
          <w:color w:val="000000" w:themeColor="text1"/>
          <w:sz w:val="22"/>
          <w:szCs w:val="22"/>
        </w:rPr>
        <w:br/>
      </w:r>
      <w:r w:rsidR="001019FF" w:rsidRPr="009B78DA">
        <w:rPr>
          <w:rFonts w:ascii="Arial" w:hAnsi="Arial" w:cs="Arial"/>
          <w:b/>
          <w:color w:val="000000" w:themeColor="text1"/>
          <w:sz w:val="22"/>
          <w:szCs w:val="22"/>
        </w:rPr>
        <w:t>Zwiększenie powiązań transportowych w regionie, w tym likwidowanie obszarów wykluczenia transportowego spowodowanego niskim zaludnieniem</w:t>
      </w:r>
      <w:r w:rsidR="00C2704C" w:rsidRPr="009B78DA">
        <w:rPr>
          <w:rFonts w:ascii="Arial" w:hAnsi="Arial" w:cs="Arial"/>
          <w:b/>
          <w:color w:val="000000" w:themeColor="text1"/>
          <w:sz w:val="22"/>
          <w:szCs w:val="22"/>
        </w:rPr>
        <w:t xml:space="preserve">, </w:t>
      </w:r>
      <w:r w:rsidR="001019FF" w:rsidRPr="009B78DA">
        <w:rPr>
          <w:rFonts w:ascii="Arial" w:hAnsi="Arial" w:cs="Arial"/>
          <w:b/>
          <w:color w:val="000000" w:themeColor="text1"/>
          <w:sz w:val="22"/>
          <w:szCs w:val="22"/>
        </w:rPr>
        <w:t>obszarami górzystymi</w:t>
      </w:r>
      <w:r w:rsidR="00C2704C" w:rsidRPr="009B78DA">
        <w:rPr>
          <w:rFonts w:ascii="Arial" w:hAnsi="Arial" w:cs="Arial"/>
          <w:b/>
          <w:color w:val="000000" w:themeColor="text1"/>
          <w:sz w:val="22"/>
          <w:szCs w:val="22"/>
        </w:rPr>
        <w:t xml:space="preserve">, </w:t>
      </w:r>
      <w:r w:rsidR="001019FF" w:rsidRPr="009B78DA">
        <w:rPr>
          <w:rFonts w:ascii="Arial" w:hAnsi="Arial" w:cs="Arial"/>
          <w:b/>
          <w:color w:val="000000" w:themeColor="text1"/>
          <w:sz w:val="22"/>
          <w:szCs w:val="22"/>
        </w:rPr>
        <w:t>obszarami o niskiej skali zatrudniania</w:t>
      </w:r>
    </w:p>
    <w:bookmarkEnd w:id="265"/>
    <w:p w14:paraId="6E957164" w14:textId="63506902"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Program Strategiczn</w:t>
      </w:r>
      <w:r w:rsidR="00092CF0" w:rsidRPr="009B78DA">
        <w:rPr>
          <w:rFonts w:ascii="Arial" w:hAnsi="Arial" w:cs="Arial"/>
          <w:color w:val="000000" w:themeColor="text1"/>
          <w:sz w:val="22"/>
          <w:szCs w:val="22"/>
        </w:rPr>
        <w:t>y</w:t>
      </w:r>
      <w:r w:rsidRPr="009B78DA">
        <w:rPr>
          <w:rFonts w:ascii="Arial" w:hAnsi="Arial" w:cs="Arial"/>
          <w:color w:val="000000" w:themeColor="text1"/>
          <w:sz w:val="22"/>
          <w:szCs w:val="22"/>
        </w:rPr>
        <w:t xml:space="preserve"> Rozwoju Transportu Województwa Podkarpackiego do roku 2030 wskazuje również na konieczność zwiększenia dostępności komunikacyjnej wewnątrz regionu. </w:t>
      </w:r>
      <w:r w:rsidR="00805909" w:rsidRPr="009B78DA">
        <w:rPr>
          <w:rFonts w:ascii="Arial" w:hAnsi="Arial" w:cs="Arial"/>
          <w:color w:val="000000" w:themeColor="text1"/>
          <w:sz w:val="22"/>
          <w:szCs w:val="22"/>
        </w:rPr>
        <w:t>N</w:t>
      </w:r>
      <w:r w:rsidRPr="009B78DA">
        <w:rPr>
          <w:rFonts w:ascii="Arial" w:hAnsi="Arial" w:cs="Arial"/>
          <w:color w:val="000000" w:themeColor="text1"/>
          <w:sz w:val="22"/>
          <w:szCs w:val="22"/>
        </w:rPr>
        <w:t xml:space="preserve">iezbędne są działania na rzecz poprawy jakości połączeń centrów </w:t>
      </w:r>
      <w:r w:rsidR="00974ED4"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z zapleczem regionów (zarówno z ośrodkami subregionalnymi, jak i obszarami wiejskimi). Działania w tym zakresie będą obejmować przede wszystkim rozbudowę </w:t>
      </w:r>
      <w:r w:rsidR="008840E5" w:rsidRPr="009B78DA">
        <w:rPr>
          <w:rFonts w:ascii="Arial" w:hAnsi="Arial" w:cs="Arial"/>
          <w:color w:val="000000" w:themeColor="text1"/>
          <w:sz w:val="22"/>
          <w:szCs w:val="22"/>
        </w:rPr>
        <w:br/>
      </w:r>
      <w:r w:rsidRPr="009B78DA">
        <w:rPr>
          <w:rFonts w:ascii="Arial" w:hAnsi="Arial" w:cs="Arial"/>
          <w:color w:val="000000" w:themeColor="text1"/>
          <w:sz w:val="22"/>
          <w:szCs w:val="22"/>
        </w:rPr>
        <w:t>i modernizację infrastruktury transportowej – drogowej i kolejowej oraz polepszanie jakości środków przewozu zbiorowego tak, aby skrócić czas podróży.</w:t>
      </w:r>
    </w:p>
    <w:p w14:paraId="762BF60C" w14:textId="62A544EE"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Poprawa dostępności transportowej w wymiarze regionalnym i lokalnym jest jednym </w:t>
      </w:r>
      <w:r w:rsidR="00805909"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z najważniejszych celów w poszczególnych programach strategicznych województw </w:t>
      </w:r>
      <w:r w:rsidR="00805909"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w zakresie transportu. Realizowane inwestycje i prace modernizacyjne spowodują zwiększenie dostępności transportowej </w:t>
      </w:r>
      <w:bookmarkStart w:id="266" w:name="_Hlk92611437"/>
      <w:r w:rsidRPr="009B78DA">
        <w:rPr>
          <w:rFonts w:ascii="Arial" w:hAnsi="Arial" w:cs="Arial"/>
          <w:color w:val="000000" w:themeColor="text1"/>
          <w:sz w:val="22"/>
          <w:szCs w:val="22"/>
        </w:rPr>
        <w:t>do ośrodk</w:t>
      </w:r>
      <w:r w:rsidR="00901D09"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wojewódzki</w:t>
      </w:r>
      <w:r w:rsidR="00901D09" w:rsidRPr="009B78DA">
        <w:rPr>
          <w:rFonts w:ascii="Arial" w:hAnsi="Arial" w:cs="Arial"/>
          <w:color w:val="000000" w:themeColor="text1"/>
          <w:sz w:val="22"/>
          <w:szCs w:val="22"/>
        </w:rPr>
        <w:t>ego</w:t>
      </w:r>
      <w:r w:rsidRPr="009B78DA">
        <w:rPr>
          <w:rFonts w:ascii="Arial" w:hAnsi="Arial" w:cs="Arial"/>
          <w:color w:val="000000" w:themeColor="text1"/>
          <w:sz w:val="22"/>
          <w:szCs w:val="22"/>
        </w:rPr>
        <w:t xml:space="preserve"> i </w:t>
      </w:r>
      <w:r w:rsidR="00901D09" w:rsidRPr="009B78DA">
        <w:rPr>
          <w:rFonts w:ascii="Arial" w:hAnsi="Arial" w:cs="Arial"/>
          <w:color w:val="000000" w:themeColor="text1"/>
          <w:sz w:val="22"/>
          <w:szCs w:val="22"/>
        </w:rPr>
        <w:t xml:space="preserve">ośrodków </w:t>
      </w:r>
      <w:r w:rsidRPr="009B78DA">
        <w:rPr>
          <w:rFonts w:ascii="Arial" w:hAnsi="Arial" w:cs="Arial"/>
          <w:color w:val="000000" w:themeColor="text1"/>
          <w:sz w:val="22"/>
          <w:szCs w:val="22"/>
        </w:rPr>
        <w:t xml:space="preserve">subregionalnych </w:t>
      </w:r>
      <w:bookmarkEnd w:id="266"/>
      <w:r w:rsidRPr="009B78DA">
        <w:rPr>
          <w:rFonts w:ascii="Arial" w:hAnsi="Arial" w:cs="Arial"/>
          <w:color w:val="000000" w:themeColor="text1"/>
          <w:sz w:val="22"/>
          <w:szCs w:val="22"/>
        </w:rPr>
        <w:t>na obszarach o najniższej dostępności i najbardzi</w:t>
      </w:r>
      <w:r w:rsidR="00DF5230" w:rsidRPr="009B78DA">
        <w:rPr>
          <w:rFonts w:ascii="Arial" w:hAnsi="Arial" w:cs="Arial"/>
          <w:color w:val="000000" w:themeColor="text1"/>
          <w:sz w:val="22"/>
          <w:szCs w:val="22"/>
        </w:rPr>
        <w:t>ej oddalonych od tych ośrodków.</w:t>
      </w:r>
      <w:r w:rsidR="00C66AAE" w:rsidRPr="009B78DA">
        <w:rPr>
          <w:color w:val="000000" w:themeColor="text1"/>
        </w:rPr>
        <w:t xml:space="preserve"> </w:t>
      </w:r>
      <w:r w:rsidR="00BC1763" w:rsidRPr="009B78DA">
        <w:rPr>
          <w:rFonts w:ascii="Arial" w:hAnsi="Arial" w:cs="Arial"/>
          <w:color w:val="000000" w:themeColor="text1"/>
          <w:sz w:val="22"/>
          <w:szCs w:val="22"/>
        </w:rPr>
        <w:t xml:space="preserve">Jako, że </w:t>
      </w:r>
      <w:bookmarkStart w:id="267" w:name="_Hlk145065457"/>
      <w:r w:rsidR="00BC1763" w:rsidRPr="009B78DA">
        <w:rPr>
          <w:rFonts w:ascii="Arial" w:hAnsi="Arial" w:cs="Arial"/>
          <w:color w:val="000000" w:themeColor="text1"/>
          <w:sz w:val="22"/>
          <w:szCs w:val="22"/>
        </w:rPr>
        <w:t>w</w:t>
      </w:r>
      <w:r w:rsidR="00C66AAE" w:rsidRPr="009B78DA">
        <w:rPr>
          <w:rFonts w:ascii="Arial" w:hAnsi="Arial" w:cs="Arial"/>
          <w:color w:val="000000" w:themeColor="text1"/>
          <w:sz w:val="22"/>
          <w:szCs w:val="22"/>
        </w:rPr>
        <w:t>ykluczenie transportowe powodowane jest spadkiem rentowności połączeń</w:t>
      </w:r>
      <w:bookmarkEnd w:id="267"/>
      <w:r w:rsidR="00C66AAE" w:rsidRPr="009B78DA">
        <w:rPr>
          <w:rFonts w:ascii="Arial" w:hAnsi="Arial" w:cs="Arial"/>
          <w:color w:val="000000" w:themeColor="text1"/>
          <w:sz w:val="22"/>
          <w:szCs w:val="22"/>
        </w:rPr>
        <w:t>, konieczne staje się wsparcie transportu publicznego, także jako działania pośrednio zmieniającego strukturę modalną (stabilizacja dostępności w transporcie zbiorowym przy powolnych naturalnych spadkach w transporcie indywidualnym).</w:t>
      </w:r>
    </w:p>
    <w:p w14:paraId="576AD120" w14:textId="77777777" w:rsidR="00805909"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Nacisk musi być również położony na dostępność komunikacyjną na obszarach peryferyjnych (w tym wiejskich). Polityka transportowa powinna koncentrować się na zapewnieniu mobilności pomiędzy obszarami miejskimi i wiejskimi oraz na mobilności na obszarach wiejskich. Lokalna mobilność ma silny wpływ na miejscową gospodarkę, dziedzictwo kulturowe, spójność terytorialną, a także integrację społeczną i ochronę środowiska. Odpowiednio zorganizowany transport może podnieść jakość życia mieszkańców, zwiększyć rozwój biznesu, turystyczną atrakcyjność regionu, poziom konkurencyjn</w:t>
      </w:r>
      <w:r w:rsidR="00DF5230" w:rsidRPr="009B78DA">
        <w:rPr>
          <w:rFonts w:ascii="Arial" w:hAnsi="Arial" w:cs="Arial"/>
          <w:color w:val="000000" w:themeColor="text1"/>
          <w:sz w:val="22"/>
          <w:szCs w:val="22"/>
        </w:rPr>
        <w:t>ości przedsiębiorstw.</w:t>
      </w:r>
    </w:p>
    <w:p w14:paraId="6668C507" w14:textId="0EF7E723"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Oczekiwane rezultaty:</w:t>
      </w:r>
    </w:p>
    <w:p w14:paraId="5C5B804C" w14:textId="328360CD" w:rsidR="002D5970" w:rsidRPr="009B78DA" w:rsidRDefault="002D5970" w:rsidP="00716611">
      <w:pPr>
        <w:pStyle w:val="Akapitzlist"/>
        <w:numPr>
          <w:ilvl w:val="0"/>
          <w:numId w:val="73"/>
        </w:numPr>
        <w:spacing w:after="0" w:line="271"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Usprawnienie systemu drogowego województwa podkarpackiego</w:t>
      </w:r>
      <w:r w:rsidR="004E7EA9" w:rsidRPr="009B78DA">
        <w:rPr>
          <w:rFonts w:ascii="Arial" w:hAnsi="Arial" w:cs="Arial"/>
          <w:color w:val="000000" w:themeColor="text1"/>
          <w:sz w:val="22"/>
          <w:szCs w:val="22"/>
        </w:rPr>
        <w:t>;</w:t>
      </w:r>
    </w:p>
    <w:p w14:paraId="3D55CCE2" w14:textId="2DFDAC23" w:rsidR="002D5970" w:rsidRPr="009B78DA" w:rsidRDefault="002D5970" w:rsidP="00716611">
      <w:pPr>
        <w:pStyle w:val="Akapitzlist"/>
        <w:numPr>
          <w:ilvl w:val="0"/>
          <w:numId w:val="73"/>
        </w:numPr>
        <w:spacing w:after="0" w:line="271"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Likwidacja barier rozwojowych dzięki zwięk</w:t>
      </w:r>
      <w:r w:rsidR="00AD7484" w:rsidRPr="009B78DA">
        <w:rPr>
          <w:rFonts w:ascii="Arial" w:hAnsi="Arial" w:cs="Arial"/>
          <w:color w:val="000000" w:themeColor="text1"/>
          <w:sz w:val="22"/>
          <w:szCs w:val="22"/>
        </w:rPr>
        <w:t xml:space="preserve">szeniu powiązań transportowych </w:t>
      </w:r>
      <w:r w:rsidR="00974ED4" w:rsidRPr="009B78DA">
        <w:rPr>
          <w:rFonts w:ascii="Arial" w:hAnsi="Arial" w:cs="Arial"/>
          <w:color w:val="000000" w:themeColor="text1"/>
          <w:sz w:val="22"/>
          <w:szCs w:val="22"/>
        </w:rPr>
        <w:br/>
      </w:r>
      <w:r w:rsidRPr="009B78DA">
        <w:rPr>
          <w:rFonts w:ascii="Arial" w:hAnsi="Arial" w:cs="Arial"/>
          <w:color w:val="000000" w:themeColor="text1"/>
          <w:sz w:val="22"/>
          <w:szCs w:val="22"/>
        </w:rPr>
        <w:t>w regionie</w:t>
      </w:r>
      <w:r w:rsidR="004E7EA9" w:rsidRPr="009B78DA">
        <w:rPr>
          <w:rFonts w:ascii="Arial" w:hAnsi="Arial" w:cs="Arial"/>
          <w:color w:val="000000" w:themeColor="text1"/>
          <w:sz w:val="22"/>
          <w:szCs w:val="22"/>
        </w:rPr>
        <w:t>;</w:t>
      </w:r>
    </w:p>
    <w:p w14:paraId="1FA1DBCF" w14:textId="641EC63A" w:rsidR="002D5970" w:rsidRPr="009B78DA" w:rsidRDefault="002D5970" w:rsidP="00716611">
      <w:pPr>
        <w:pStyle w:val="Akapitzlist"/>
        <w:numPr>
          <w:ilvl w:val="0"/>
          <w:numId w:val="73"/>
        </w:numPr>
        <w:spacing w:after="0" w:line="271"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Poprawa dostępności transportowej dla obszarów o utrudnionym dostępie</w:t>
      </w:r>
      <w:r w:rsidR="004E7EA9" w:rsidRPr="009B78DA">
        <w:rPr>
          <w:rFonts w:ascii="Arial" w:hAnsi="Arial" w:cs="Arial"/>
          <w:color w:val="000000" w:themeColor="text1"/>
          <w:sz w:val="22"/>
          <w:szCs w:val="22"/>
        </w:rPr>
        <w:t>;</w:t>
      </w:r>
    </w:p>
    <w:p w14:paraId="0BA79995" w14:textId="712D31D5" w:rsidR="001F0445" w:rsidRPr="009B78DA" w:rsidRDefault="001F0445" w:rsidP="00716611">
      <w:pPr>
        <w:pStyle w:val="Akapitzlist"/>
        <w:numPr>
          <w:ilvl w:val="0"/>
          <w:numId w:val="73"/>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Utrzymanie transportu zbiorowego w powiatach, gdzie doszłoby do zmniejszenia popytu, przy jednoczesnym ujawnieniu zagrożenia wykluczeniem transportowym</w:t>
      </w:r>
      <w:r w:rsidRPr="009B78DA">
        <w:rPr>
          <w:rStyle w:val="Odwoanieprzypisudolnego"/>
          <w:rFonts w:ascii="Arial" w:hAnsi="Arial" w:cs="Arial"/>
          <w:color w:val="000000" w:themeColor="text1"/>
          <w:sz w:val="22"/>
          <w:szCs w:val="22"/>
        </w:rPr>
        <w:footnoteReference w:id="23"/>
      </w:r>
      <w:r w:rsidRPr="009B78DA">
        <w:rPr>
          <w:rFonts w:ascii="Arial" w:hAnsi="Arial" w:cs="Arial"/>
          <w:color w:val="000000" w:themeColor="text1"/>
          <w:sz w:val="22"/>
          <w:szCs w:val="22"/>
        </w:rPr>
        <w:t>;</w:t>
      </w:r>
    </w:p>
    <w:p w14:paraId="0332EC1C" w14:textId="2E5D6901" w:rsidR="000E65FA" w:rsidRPr="00716611" w:rsidRDefault="002D5970" w:rsidP="00716611">
      <w:pPr>
        <w:pStyle w:val="Akapitzlist"/>
        <w:numPr>
          <w:ilvl w:val="0"/>
          <w:numId w:val="73"/>
        </w:numPr>
        <w:spacing w:after="240" w:line="271"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Poprawa dostępności k</w:t>
      </w:r>
      <w:r w:rsidR="00DF5230" w:rsidRPr="009B78DA">
        <w:rPr>
          <w:rFonts w:ascii="Arial" w:hAnsi="Arial" w:cs="Arial"/>
          <w:color w:val="000000" w:themeColor="text1"/>
          <w:sz w:val="22"/>
          <w:szCs w:val="22"/>
        </w:rPr>
        <w:t>omunikacyjnej obszarów poza MOF</w:t>
      </w:r>
      <w:r w:rsidR="004E7EA9" w:rsidRPr="009B78DA">
        <w:rPr>
          <w:rFonts w:ascii="Arial" w:hAnsi="Arial" w:cs="Arial"/>
          <w:color w:val="000000" w:themeColor="text1"/>
          <w:sz w:val="22"/>
          <w:szCs w:val="22"/>
        </w:rPr>
        <w:t>.</w:t>
      </w:r>
    </w:p>
    <w:p w14:paraId="37DA8C99" w14:textId="741C1D74" w:rsidR="002D5970" w:rsidRPr="00716611" w:rsidRDefault="00DF5230" w:rsidP="00716611">
      <w:pPr>
        <w:spacing w:after="0" w:line="271" w:lineRule="auto"/>
        <w:rPr>
          <w:rFonts w:ascii="Arial" w:hAnsi="Arial" w:cs="Arial"/>
          <w:b/>
          <w:color w:val="000000" w:themeColor="text1"/>
          <w:sz w:val="22"/>
          <w:szCs w:val="22"/>
        </w:rPr>
      </w:pPr>
      <w:bookmarkStart w:id="268" w:name="_Hlk85631100"/>
      <w:r w:rsidRPr="009B78DA">
        <w:rPr>
          <w:rFonts w:ascii="Arial" w:hAnsi="Arial" w:cs="Arial"/>
          <w:b/>
          <w:color w:val="000000" w:themeColor="text1"/>
          <w:sz w:val="22"/>
          <w:szCs w:val="22"/>
        </w:rPr>
        <w:t>Cel podstawowy 3.</w:t>
      </w:r>
      <w:r w:rsidR="00716611">
        <w:rPr>
          <w:rFonts w:ascii="Arial" w:hAnsi="Arial" w:cs="Arial"/>
          <w:b/>
          <w:color w:val="000000" w:themeColor="text1"/>
          <w:sz w:val="22"/>
          <w:szCs w:val="22"/>
        </w:rPr>
        <w:t xml:space="preserve"> </w:t>
      </w:r>
      <w:r w:rsidR="00716611">
        <w:rPr>
          <w:rFonts w:ascii="Arial" w:hAnsi="Arial" w:cs="Arial"/>
          <w:b/>
          <w:color w:val="000000" w:themeColor="text1"/>
          <w:sz w:val="22"/>
          <w:szCs w:val="22"/>
        </w:rPr>
        <w:br/>
      </w:r>
      <w:r w:rsidRPr="009B78DA">
        <w:rPr>
          <w:rFonts w:ascii="Arial" w:hAnsi="Arial" w:cs="Arial"/>
          <w:b/>
          <w:color w:val="000000" w:themeColor="text1"/>
          <w:sz w:val="22"/>
          <w:szCs w:val="22"/>
        </w:rPr>
        <w:t>Integracja MOF</w:t>
      </w:r>
      <w:r w:rsidR="00716611">
        <w:rPr>
          <w:rFonts w:ascii="Arial" w:hAnsi="Arial" w:cs="Arial"/>
          <w:b/>
          <w:color w:val="000000" w:themeColor="text1"/>
          <w:sz w:val="22"/>
          <w:szCs w:val="22"/>
        </w:rPr>
        <w:t xml:space="preserve"> </w:t>
      </w:r>
      <w:r w:rsidR="00716611">
        <w:rPr>
          <w:rFonts w:ascii="Arial" w:hAnsi="Arial" w:cs="Arial"/>
          <w:b/>
          <w:color w:val="000000" w:themeColor="text1"/>
          <w:sz w:val="22"/>
          <w:szCs w:val="22"/>
        </w:rPr>
        <w:br/>
      </w:r>
      <w:r w:rsidR="001019FF" w:rsidRPr="009B78DA">
        <w:rPr>
          <w:rFonts w:ascii="Arial" w:hAnsi="Arial" w:cs="Arial"/>
          <w:b/>
          <w:bCs/>
          <w:color w:val="000000" w:themeColor="text1"/>
          <w:sz w:val="22"/>
          <w:szCs w:val="22"/>
        </w:rPr>
        <w:t xml:space="preserve">Integracja wewnętrzna </w:t>
      </w:r>
      <w:r w:rsidR="00E01E38" w:rsidRPr="009B78DA">
        <w:rPr>
          <w:rFonts w:ascii="Arial" w:hAnsi="Arial" w:cs="Arial"/>
          <w:b/>
          <w:color w:val="000000" w:themeColor="text1"/>
          <w:sz w:val="22"/>
          <w:szCs w:val="22"/>
        </w:rPr>
        <w:t>Rzeszowskiego Obszaru Funkcjonalnego i miejskich obszarów funkcjonalnych biegunów wzrostu</w:t>
      </w:r>
      <w:r w:rsidR="00A6352F" w:rsidRPr="009B78DA">
        <w:rPr>
          <w:rFonts w:ascii="Arial" w:hAnsi="Arial" w:cs="Arial"/>
          <w:b/>
          <w:color w:val="000000" w:themeColor="text1"/>
          <w:sz w:val="22"/>
          <w:szCs w:val="22"/>
        </w:rPr>
        <w:t>,</w:t>
      </w:r>
      <w:r w:rsidR="00E01E38" w:rsidRPr="009B78DA">
        <w:rPr>
          <w:rFonts w:ascii="Arial" w:hAnsi="Arial" w:cs="Arial"/>
          <w:b/>
          <w:color w:val="000000" w:themeColor="text1"/>
          <w:sz w:val="22"/>
          <w:szCs w:val="22"/>
        </w:rPr>
        <w:t xml:space="preserve"> uwzględniająca policentryczny układ województwa </w:t>
      </w:r>
      <w:r w:rsidR="00E01E38" w:rsidRPr="009B78DA">
        <w:rPr>
          <w:rFonts w:ascii="Arial" w:hAnsi="Arial" w:cs="Arial"/>
          <w:b/>
          <w:color w:val="000000" w:themeColor="text1"/>
          <w:sz w:val="22"/>
          <w:szCs w:val="22"/>
        </w:rPr>
        <w:br/>
        <w:t>i umożliwiająca integrację głównych rynków pracy</w:t>
      </w:r>
    </w:p>
    <w:bookmarkEnd w:id="268"/>
    <w:p w14:paraId="5650A332" w14:textId="6D495E43" w:rsidR="00DF523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Polityka miejska w zakresie mobilności nie może pozostawać w oderwaniu od polityki transportowej prowadzonej w wymiarze regionalnym i krajowym. Dlatego istotne jest promowanie rozwiązań wspierających zrównoważoną mobilność miejską integrującą miasta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z</w:t>
      </w:r>
      <w:r w:rsidR="0068673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ich obszarami funkcjonalnymi. Szczególnie istotne w tym kontekście jest zwiększenie jakości planowania obsługi transportowej poprzez wsparcie koordynacji i planowania zmian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w obszarach funkcjonalnych miast, w szczególności będącymi głównymi węzłami sieci </w:t>
      </w:r>
      <w:r w:rsidR="00686731" w:rsidRPr="009B78DA">
        <w:rPr>
          <w:rFonts w:ascii="Arial" w:hAnsi="Arial" w:cs="Arial"/>
          <w:color w:val="000000" w:themeColor="text1"/>
          <w:sz w:val="22"/>
          <w:szCs w:val="22"/>
        </w:rPr>
        <w:br/>
      </w:r>
      <w:r w:rsidRPr="009B78DA">
        <w:rPr>
          <w:rFonts w:ascii="Arial" w:hAnsi="Arial" w:cs="Arial"/>
          <w:color w:val="000000" w:themeColor="text1"/>
          <w:sz w:val="22"/>
          <w:szCs w:val="22"/>
        </w:rPr>
        <w:t>TEN-T. Planowanie powinno być oparte na współdziałaniu, aktualnyc</w:t>
      </w:r>
      <w:r w:rsidR="00DF5230" w:rsidRPr="009B78DA">
        <w:rPr>
          <w:rFonts w:ascii="Arial" w:hAnsi="Arial" w:cs="Arial"/>
          <w:color w:val="000000" w:themeColor="text1"/>
          <w:sz w:val="22"/>
          <w:szCs w:val="22"/>
        </w:rPr>
        <w:t>h danych i</w:t>
      </w:r>
      <w:r w:rsidR="00686731" w:rsidRPr="009B78DA">
        <w:rPr>
          <w:rFonts w:ascii="Arial" w:hAnsi="Arial" w:cs="Arial"/>
          <w:color w:val="000000" w:themeColor="text1"/>
          <w:sz w:val="22"/>
          <w:szCs w:val="22"/>
        </w:rPr>
        <w:t xml:space="preserve"> </w:t>
      </w:r>
      <w:r w:rsidR="00DF5230" w:rsidRPr="009B78DA">
        <w:rPr>
          <w:rFonts w:ascii="Arial" w:hAnsi="Arial" w:cs="Arial"/>
          <w:color w:val="000000" w:themeColor="text1"/>
          <w:sz w:val="22"/>
          <w:szCs w:val="22"/>
        </w:rPr>
        <w:t>wsparciu eksperckim.</w:t>
      </w:r>
    </w:p>
    <w:p w14:paraId="6E91984B" w14:textId="079BBA3D"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Stan systemu transportowego w miastach województwa podkarpackiego i ich obszarach funkcjonalnych nie jest jednorodny. Wynika to z różnic w ich historii, wielkości, poziom</w:t>
      </w:r>
      <w:r w:rsidR="00686731" w:rsidRPr="009B78DA">
        <w:rPr>
          <w:rFonts w:ascii="Arial" w:hAnsi="Arial" w:cs="Arial"/>
          <w:color w:val="000000" w:themeColor="text1"/>
          <w:sz w:val="22"/>
          <w:szCs w:val="22"/>
        </w:rPr>
        <w:t>ie</w:t>
      </w:r>
      <w:r w:rsidRPr="009B78DA">
        <w:rPr>
          <w:rFonts w:ascii="Arial" w:hAnsi="Arial" w:cs="Arial"/>
          <w:color w:val="000000" w:themeColor="text1"/>
          <w:sz w:val="22"/>
          <w:szCs w:val="22"/>
        </w:rPr>
        <w:t xml:space="preserve"> motoryzacji, jakości infrastruktury technicznej, zasadach organizacji przewozów transportem publicznym, czy też w stopniu przygotowania i realizacji polityk oraz programów rozwoju transportu, zawartych m.in. w dokumentach planistycznych JST. Większość miast łączy jednak tendencja do inwestowan</w:t>
      </w:r>
      <w:r w:rsidR="00DF5230" w:rsidRPr="009B78DA">
        <w:rPr>
          <w:rFonts w:ascii="Arial" w:hAnsi="Arial" w:cs="Arial"/>
          <w:color w:val="000000" w:themeColor="text1"/>
          <w:sz w:val="22"/>
          <w:szCs w:val="22"/>
        </w:rPr>
        <w:t>ia głównie w transport drogowy.</w:t>
      </w:r>
    </w:p>
    <w:p w14:paraId="628C5AFF" w14:textId="2540FD0D"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Integracja systemów transportu zbiorowego w aglomeracjach miejskich też nie jest powszechnym standardem. Prowadzi to do zdominowania przestrzeni miejskiej przez pojazdy indywidualne oraz do zmniejszenia bezpieczeństwa i komfortu innych uczestników ruchu. W efekcie atrakcyjność przestrzeni publicznych spada, a poruszanie się pieszo, rowerem lub komunikacją miejską staje się uciążliwe. W planowaniu systemu transportowego miast ważne jest, aby mieć na uwadze interes wszystkich grup użytkowników i wdrażać inwestycje o skali odpowiadającej warunkom.</w:t>
      </w:r>
    </w:p>
    <w:p w14:paraId="1989C863" w14:textId="1C2221AD" w:rsidR="00805909"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Plan transportowy w odniesieniu do miast powinien obejmować także koncepcję integracji różnych gałęzi transportu, również pod względem infrastrukturalnym. Wspólne węzły przesiadkowe czy wdrażanie w miastach nowych modeli mobilności współdzielonej mogą poprawić efektywność transportu miejskiego. Ważne jest także promowanie </w:t>
      </w:r>
      <w:r w:rsidR="0076455A">
        <w:rPr>
          <w:rFonts w:ascii="Arial" w:hAnsi="Arial" w:cs="Arial"/>
          <w:color w:val="000000" w:themeColor="text1"/>
          <w:sz w:val="22"/>
          <w:szCs w:val="22"/>
        </w:rPr>
        <w:br/>
      </w:r>
      <w:r w:rsidRPr="009B78DA">
        <w:rPr>
          <w:rFonts w:ascii="Arial" w:hAnsi="Arial" w:cs="Arial"/>
          <w:color w:val="000000" w:themeColor="text1"/>
          <w:sz w:val="22"/>
          <w:szCs w:val="22"/>
        </w:rPr>
        <w:t>i odpowiednie wdrażanie nowych, innowacyjnych rozwiązań, pozwalających na jak najlepsze wykorzystanie dostępnych opcji transportowych, w tym przede wszystkim niskoemisyjnego transportu publicznego.</w:t>
      </w:r>
    </w:p>
    <w:p w14:paraId="398D6781" w14:textId="05B8B1CD"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Oczekiwane rezultaty:</w:t>
      </w:r>
    </w:p>
    <w:p w14:paraId="00C89B0E" w14:textId="6855DD3C" w:rsidR="002D5970" w:rsidRPr="009B78DA" w:rsidRDefault="002D5970" w:rsidP="00716611">
      <w:pPr>
        <w:pStyle w:val="Akapitzlist"/>
        <w:numPr>
          <w:ilvl w:val="0"/>
          <w:numId w:val="74"/>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Poprawa infrastruktury transportowej pozwalająca na większą integrację miejskich obszarów funkcjonalnych</w:t>
      </w:r>
      <w:r w:rsidR="004E7EA9" w:rsidRPr="009B78DA">
        <w:rPr>
          <w:rFonts w:ascii="Arial" w:hAnsi="Arial" w:cs="Arial"/>
          <w:color w:val="000000" w:themeColor="text1"/>
          <w:sz w:val="22"/>
          <w:szCs w:val="22"/>
        </w:rPr>
        <w:t>;</w:t>
      </w:r>
    </w:p>
    <w:p w14:paraId="2AF11DBC" w14:textId="41153E15" w:rsidR="002D5970" w:rsidRPr="009B78DA" w:rsidRDefault="002D5970" w:rsidP="00716611">
      <w:pPr>
        <w:pStyle w:val="Akapitzlist"/>
        <w:numPr>
          <w:ilvl w:val="0"/>
          <w:numId w:val="74"/>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Likwidacja barier rozwojowych dzięki zwięk</w:t>
      </w:r>
      <w:r w:rsidR="00AD7484" w:rsidRPr="009B78DA">
        <w:rPr>
          <w:rFonts w:ascii="Arial" w:hAnsi="Arial" w:cs="Arial"/>
          <w:color w:val="000000" w:themeColor="text1"/>
          <w:sz w:val="22"/>
          <w:szCs w:val="22"/>
        </w:rPr>
        <w:t xml:space="preserve">szeniu powiązań transportowych </w:t>
      </w:r>
      <w:r w:rsidR="00AD7484" w:rsidRPr="009B78DA">
        <w:rPr>
          <w:rFonts w:ascii="Arial" w:hAnsi="Arial" w:cs="Arial"/>
          <w:color w:val="000000" w:themeColor="text1"/>
          <w:sz w:val="22"/>
          <w:szCs w:val="22"/>
        </w:rPr>
        <w:br/>
      </w:r>
      <w:r w:rsidRPr="009B78DA">
        <w:rPr>
          <w:rFonts w:ascii="Arial" w:hAnsi="Arial" w:cs="Arial"/>
          <w:color w:val="000000" w:themeColor="text1"/>
          <w:sz w:val="22"/>
          <w:szCs w:val="22"/>
        </w:rPr>
        <w:t>w obszarach funkcjonalnych biegunów wzrostu</w:t>
      </w:r>
      <w:r w:rsidR="004E7EA9" w:rsidRPr="009B78DA">
        <w:rPr>
          <w:rFonts w:ascii="Arial" w:hAnsi="Arial" w:cs="Arial"/>
          <w:color w:val="000000" w:themeColor="text1"/>
          <w:sz w:val="22"/>
          <w:szCs w:val="22"/>
        </w:rPr>
        <w:t>;</w:t>
      </w:r>
    </w:p>
    <w:p w14:paraId="7F0E913B" w14:textId="694E4DDF" w:rsidR="002D5970" w:rsidRPr="009B78DA" w:rsidRDefault="002D5970" w:rsidP="00716611">
      <w:pPr>
        <w:pStyle w:val="Akapitzlist"/>
        <w:numPr>
          <w:ilvl w:val="0"/>
          <w:numId w:val="74"/>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Rozwój i integracja systemu transportowego wewnątrz obszarów funkcjonalnych</w:t>
      </w:r>
      <w:r w:rsidR="00B2165B" w:rsidRPr="009B78DA">
        <w:rPr>
          <w:rFonts w:ascii="Arial" w:hAnsi="Arial" w:cs="Arial"/>
          <w:color w:val="000000" w:themeColor="text1"/>
          <w:sz w:val="22"/>
          <w:szCs w:val="22"/>
        </w:rPr>
        <w:t>;</w:t>
      </w:r>
    </w:p>
    <w:p w14:paraId="6CE68B44" w14:textId="66FB8C0F" w:rsidR="002D5970" w:rsidRPr="009B78DA" w:rsidRDefault="002D5970" w:rsidP="00716611">
      <w:pPr>
        <w:pStyle w:val="Akapitzlist"/>
        <w:numPr>
          <w:ilvl w:val="0"/>
          <w:numId w:val="74"/>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Poprawa dostępności komunikacyjnej obszarów funkcjonalnych poprzez wzmacnianie ciągów komunikacyjnych</w:t>
      </w:r>
      <w:r w:rsidR="004E7EA9" w:rsidRPr="009B78DA">
        <w:rPr>
          <w:rFonts w:ascii="Arial" w:hAnsi="Arial" w:cs="Arial"/>
          <w:color w:val="000000" w:themeColor="text1"/>
          <w:sz w:val="22"/>
          <w:szCs w:val="22"/>
        </w:rPr>
        <w:t>;</w:t>
      </w:r>
    </w:p>
    <w:p w14:paraId="07A92D7B" w14:textId="647AD418" w:rsidR="00F82384" w:rsidRPr="00716611" w:rsidRDefault="002D5970" w:rsidP="00716611">
      <w:pPr>
        <w:pStyle w:val="Akapitzlist"/>
        <w:numPr>
          <w:ilvl w:val="0"/>
          <w:numId w:val="74"/>
        </w:numPr>
        <w:spacing w:after="240" w:line="271"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Pobudzanie procesów rozwojowych poprzez zapewnienie lepszej dostępności komunikacyjnej poza obszary funkcjonalne</w:t>
      </w:r>
      <w:r w:rsidR="004E7EA9" w:rsidRPr="009B78DA">
        <w:rPr>
          <w:rFonts w:ascii="Arial" w:hAnsi="Arial" w:cs="Arial"/>
          <w:color w:val="000000" w:themeColor="text1"/>
          <w:sz w:val="22"/>
          <w:szCs w:val="22"/>
        </w:rPr>
        <w:t>.</w:t>
      </w:r>
    </w:p>
    <w:p w14:paraId="37E83F87" w14:textId="39F0C2D4" w:rsidR="00716611" w:rsidRDefault="00DF5230" w:rsidP="00716611">
      <w:pPr>
        <w:spacing w:after="120" w:line="271" w:lineRule="auto"/>
        <w:rPr>
          <w:rFonts w:ascii="Arial" w:hAnsi="Arial" w:cs="Arial"/>
          <w:b/>
          <w:bCs/>
          <w:color w:val="000000" w:themeColor="text1"/>
          <w:sz w:val="26"/>
          <w:szCs w:val="26"/>
        </w:rPr>
      </w:pPr>
      <w:r w:rsidRPr="009B78DA">
        <w:rPr>
          <w:rFonts w:ascii="Arial" w:hAnsi="Arial" w:cs="Arial"/>
          <w:b/>
          <w:bCs/>
          <w:color w:val="000000" w:themeColor="text1"/>
          <w:sz w:val="26"/>
          <w:szCs w:val="26"/>
        </w:rPr>
        <w:t>Cele horyzontalne</w:t>
      </w:r>
    </w:p>
    <w:p w14:paraId="5C05D153" w14:textId="2F43BD58" w:rsidR="001019FF" w:rsidRPr="00716611" w:rsidRDefault="00546800" w:rsidP="00716611">
      <w:pPr>
        <w:spacing w:after="0" w:line="271" w:lineRule="auto"/>
        <w:rPr>
          <w:rFonts w:ascii="Arial" w:hAnsi="Arial" w:cs="Arial"/>
          <w:b/>
          <w:bCs/>
          <w:color w:val="000000" w:themeColor="text1"/>
          <w:sz w:val="26"/>
          <w:szCs w:val="26"/>
        </w:rPr>
      </w:pPr>
      <w:r w:rsidRPr="009B78DA">
        <w:rPr>
          <w:rFonts w:ascii="Arial" w:hAnsi="Arial" w:cs="Arial"/>
          <w:b/>
          <w:bCs/>
          <w:color w:val="000000" w:themeColor="text1"/>
          <w:sz w:val="22"/>
          <w:szCs w:val="22"/>
        </w:rPr>
        <w:t xml:space="preserve">Cel horyzontalny 1. </w:t>
      </w:r>
      <w:r w:rsidR="00716611">
        <w:rPr>
          <w:rFonts w:ascii="Arial" w:hAnsi="Arial" w:cs="Arial"/>
          <w:b/>
          <w:bCs/>
          <w:color w:val="000000" w:themeColor="text1"/>
          <w:sz w:val="26"/>
          <w:szCs w:val="26"/>
        </w:rPr>
        <w:br/>
      </w:r>
      <w:r w:rsidR="001019FF" w:rsidRPr="009B78DA">
        <w:rPr>
          <w:rFonts w:ascii="Arial" w:hAnsi="Arial" w:cs="Arial"/>
          <w:b/>
          <w:bCs/>
          <w:color w:val="000000" w:themeColor="text1"/>
          <w:sz w:val="22"/>
          <w:szCs w:val="22"/>
        </w:rPr>
        <w:t xml:space="preserve">Ograniczenie negatywnego oddziaływania sektora transportu na klimat oraz na </w:t>
      </w:r>
      <w:r w:rsidR="00716611">
        <w:rPr>
          <w:rFonts w:ascii="Arial" w:hAnsi="Arial" w:cs="Arial"/>
          <w:b/>
          <w:bCs/>
          <w:color w:val="000000" w:themeColor="text1"/>
          <w:sz w:val="22"/>
          <w:szCs w:val="22"/>
        </w:rPr>
        <w:t>regionalne środowisko naturalne</w:t>
      </w:r>
    </w:p>
    <w:p w14:paraId="704B32EB" w14:textId="4958FE56"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Jednym z kluczowych uwarunkowań realizacji inwestycji infrastrukturalnych</w:t>
      </w:r>
      <w:r w:rsidR="00D52BD3" w:rsidRPr="009B78DA">
        <w:rPr>
          <w:rFonts w:ascii="Arial" w:hAnsi="Arial" w:cs="Arial"/>
          <w:color w:val="000000" w:themeColor="text1"/>
          <w:sz w:val="22"/>
          <w:szCs w:val="22"/>
        </w:rPr>
        <w:t xml:space="preserve"> </w:t>
      </w:r>
      <w:r w:rsidR="00546800" w:rsidRPr="009B78DA">
        <w:rPr>
          <w:rFonts w:ascii="Arial" w:hAnsi="Arial" w:cs="Arial"/>
          <w:color w:val="000000" w:themeColor="text1"/>
          <w:sz w:val="22"/>
          <w:szCs w:val="22"/>
        </w:rPr>
        <w:t xml:space="preserve">są przepisy </w:t>
      </w:r>
      <w:r w:rsidRPr="009B78DA">
        <w:rPr>
          <w:rFonts w:ascii="Arial" w:hAnsi="Arial" w:cs="Arial"/>
          <w:color w:val="000000" w:themeColor="text1"/>
          <w:sz w:val="22"/>
          <w:szCs w:val="22"/>
        </w:rPr>
        <w:t>odnośnie ochrony środowiska, w tym obszarów Natura 2000. W działaniach rozwojowych dla poszczególnych systemów transportu pod uwagę wzięte będą propozycje Komisji Europejskiej przedstawione w Białej Księdze dotyczącej transportu.</w:t>
      </w:r>
    </w:p>
    <w:p w14:paraId="0FED5104" w14:textId="6A42E9C1"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programie strategicznym zakładającym zrównoważony rozwój transportu nie może zabraknąć działań zmierzających do zminimalizowania </w:t>
      </w:r>
      <w:r w:rsidR="00546800" w:rsidRPr="009B78DA">
        <w:rPr>
          <w:rFonts w:ascii="Arial" w:hAnsi="Arial" w:cs="Arial"/>
          <w:color w:val="000000" w:themeColor="text1"/>
          <w:sz w:val="22"/>
          <w:szCs w:val="22"/>
        </w:rPr>
        <w:t xml:space="preserve">wpływu </w:t>
      </w:r>
      <w:r w:rsidRPr="009B78DA">
        <w:rPr>
          <w:rFonts w:ascii="Arial" w:hAnsi="Arial" w:cs="Arial"/>
          <w:color w:val="000000" w:themeColor="text1"/>
          <w:sz w:val="22"/>
          <w:szCs w:val="22"/>
        </w:rPr>
        <w:t>tego sektora na środowisko</w:t>
      </w:r>
      <w:r w:rsidR="00546800" w:rsidRPr="009B78DA">
        <w:rPr>
          <w:rFonts w:ascii="Arial" w:hAnsi="Arial" w:cs="Arial"/>
          <w:color w:val="000000" w:themeColor="text1"/>
          <w:sz w:val="22"/>
          <w:szCs w:val="22"/>
        </w:rPr>
        <w:t>.</w:t>
      </w:r>
      <w:r w:rsidR="00D52BD3" w:rsidRPr="009B78DA">
        <w:rPr>
          <w:rFonts w:ascii="Arial" w:hAnsi="Arial" w:cs="Arial"/>
          <w:strike/>
          <w:color w:val="000000" w:themeColor="text1"/>
          <w:sz w:val="22"/>
          <w:szCs w:val="22"/>
        </w:rPr>
        <w:t xml:space="preserve"> </w:t>
      </w:r>
      <w:r w:rsidR="00546800" w:rsidRPr="009B78DA">
        <w:rPr>
          <w:rFonts w:ascii="Arial" w:hAnsi="Arial" w:cs="Arial"/>
          <w:color w:val="000000" w:themeColor="text1"/>
          <w:sz w:val="22"/>
          <w:szCs w:val="22"/>
        </w:rPr>
        <w:t>W</w:t>
      </w:r>
      <w:r w:rsidRPr="009B78DA">
        <w:rPr>
          <w:rFonts w:ascii="Arial" w:hAnsi="Arial" w:cs="Arial"/>
          <w:color w:val="000000" w:themeColor="text1"/>
          <w:sz w:val="22"/>
          <w:szCs w:val="22"/>
        </w:rPr>
        <w:t xml:space="preserve"> większości przyjętych dokumentów europejskich transport zaliczany jest do gałęzi gospodarki znacząco przyczyniających się do zanieczyszczenia powietrza (tlenki azotu, tlenek węgla, lotne związki organiczne, pyły i cząstki stałe), czy zmian klimatu, wyczerpywania nieodnawialnych zasobów naturalnych, trwałego zajmowania przestrzeni, zakłócania funkcjonowania ekosystemów i pogarszania klimatu akustycznego.</w:t>
      </w:r>
    </w:p>
    <w:p w14:paraId="1E49D2CF" w14:textId="2B558596"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Założeniem </w:t>
      </w:r>
      <w:r w:rsidR="00546800" w:rsidRPr="009B78DA">
        <w:rPr>
          <w:rFonts w:ascii="Arial" w:hAnsi="Arial" w:cs="Arial"/>
          <w:color w:val="000000" w:themeColor="text1"/>
          <w:sz w:val="22"/>
          <w:szCs w:val="22"/>
        </w:rPr>
        <w:t>celu</w:t>
      </w:r>
      <w:r w:rsidRPr="009B78DA">
        <w:rPr>
          <w:rFonts w:ascii="Arial" w:hAnsi="Arial" w:cs="Arial"/>
          <w:color w:val="000000" w:themeColor="text1"/>
          <w:sz w:val="22"/>
          <w:szCs w:val="22"/>
        </w:rPr>
        <w:t xml:space="preserve"> jest zwiększanie udziału tych rodzajów transportu, które powodują najmniejsze obciążenie środowiska oraz ograniczanie negatywnego wpływu na środowisko poszczególnych gałęzi transportu, a w szczególności drogowego transportu samochodowego.</w:t>
      </w:r>
      <w:r w:rsidR="003C4FEF" w:rsidRPr="009B78DA">
        <w:rPr>
          <w:rFonts w:ascii="Arial" w:hAnsi="Arial" w:cs="Arial"/>
          <w:color w:val="000000" w:themeColor="text1"/>
          <w:sz w:val="22"/>
          <w:szCs w:val="22"/>
        </w:rPr>
        <w:t xml:space="preserve"> Kierunkami, na których należy się spodziewać największych potencjalnych efektów ewentualnych zmian modalnych będą te,</w:t>
      </w:r>
      <w:r w:rsidR="003C4FEF" w:rsidRPr="009B78DA">
        <w:rPr>
          <w:color w:val="000000" w:themeColor="text1"/>
        </w:rPr>
        <w:t xml:space="preserve"> </w:t>
      </w:r>
      <w:r w:rsidR="003C4FEF" w:rsidRPr="009B78DA">
        <w:rPr>
          <w:rFonts w:ascii="Arial" w:hAnsi="Arial" w:cs="Arial"/>
          <w:color w:val="000000" w:themeColor="text1"/>
          <w:sz w:val="22"/>
          <w:szCs w:val="22"/>
        </w:rPr>
        <w:t>gdzie oczekiwany jest wzrost potoków ruchu</w:t>
      </w:r>
      <w:r w:rsidR="00AD3531" w:rsidRPr="009B78DA">
        <w:rPr>
          <w:rFonts w:ascii="Arial" w:hAnsi="Arial" w:cs="Arial"/>
          <w:color w:val="000000" w:themeColor="text1"/>
          <w:sz w:val="22"/>
          <w:szCs w:val="22"/>
        </w:rPr>
        <w:t>.</w:t>
      </w:r>
      <w:r w:rsidR="003C4FEF" w:rsidRPr="009B78DA">
        <w:rPr>
          <w:rFonts w:ascii="Arial" w:hAnsi="Arial" w:cs="Arial"/>
          <w:color w:val="000000" w:themeColor="text1"/>
          <w:sz w:val="22"/>
          <w:szCs w:val="22"/>
        </w:rPr>
        <w:t xml:space="preserve"> </w:t>
      </w:r>
      <w:r w:rsidR="00AD3531" w:rsidRPr="009B78DA">
        <w:rPr>
          <w:rFonts w:ascii="Arial" w:hAnsi="Arial" w:cs="Arial"/>
          <w:color w:val="000000" w:themeColor="text1"/>
          <w:sz w:val="22"/>
          <w:szCs w:val="22"/>
        </w:rPr>
        <w:t>Prognozuje</w:t>
      </w:r>
      <w:r w:rsidR="003C4FEF" w:rsidRPr="009B78DA">
        <w:rPr>
          <w:rFonts w:ascii="Arial" w:hAnsi="Arial" w:cs="Arial"/>
          <w:color w:val="000000" w:themeColor="text1"/>
          <w:sz w:val="22"/>
          <w:szCs w:val="22"/>
        </w:rPr>
        <w:t xml:space="preserve"> się, że </w:t>
      </w:r>
      <w:r w:rsidR="00AD3531" w:rsidRPr="009B78DA">
        <w:rPr>
          <w:rFonts w:ascii="Arial" w:hAnsi="Arial" w:cs="Arial"/>
          <w:color w:val="000000" w:themeColor="text1"/>
          <w:sz w:val="22"/>
          <w:szCs w:val="22"/>
        </w:rPr>
        <w:t>tymi kierunkami</w:t>
      </w:r>
      <w:r w:rsidR="00CA07B9" w:rsidRPr="009B78DA">
        <w:rPr>
          <w:rFonts w:ascii="Arial" w:hAnsi="Arial" w:cs="Arial"/>
          <w:color w:val="000000" w:themeColor="text1"/>
          <w:sz w:val="22"/>
          <w:szCs w:val="22"/>
        </w:rPr>
        <w:t xml:space="preserve">, </w:t>
      </w:r>
      <w:r w:rsidR="00AD3531" w:rsidRPr="009B78DA">
        <w:rPr>
          <w:rFonts w:ascii="Arial" w:hAnsi="Arial" w:cs="Arial"/>
          <w:color w:val="000000" w:themeColor="text1"/>
          <w:sz w:val="22"/>
          <w:szCs w:val="22"/>
        </w:rPr>
        <w:t>zwłaszcza w dojazdach do pracy</w:t>
      </w:r>
      <w:r w:rsidR="00CA07B9" w:rsidRPr="009B78DA">
        <w:rPr>
          <w:rFonts w:ascii="Arial" w:hAnsi="Arial" w:cs="Arial"/>
          <w:color w:val="000000" w:themeColor="text1"/>
          <w:sz w:val="22"/>
          <w:szCs w:val="22"/>
        </w:rPr>
        <w:t>,</w:t>
      </w:r>
      <w:r w:rsidR="00AD3531" w:rsidRPr="009B78DA">
        <w:rPr>
          <w:rFonts w:ascii="Arial" w:hAnsi="Arial" w:cs="Arial"/>
          <w:color w:val="000000" w:themeColor="text1"/>
          <w:sz w:val="22"/>
          <w:szCs w:val="22"/>
        </w:rPr>
        <w:t xml:space="preserve"> </w:t>
      </w:r>
      <w:r w:rsidR="003C4FEF" w:rsidRPr="009B78DA">
        <w:rPr>
          <w:rFonts w:ascii="Arial" w:hAnsi="Arial" w:cs="Arial"/>
          <w:color w:val="000000" w:themeColor="text1"/>
          <w:sz w:val="22"/>
          <w:szCs w:val="22"/>
        </w:rPr>
        <w:t>będ</w:t>
      </w:r>
      <w:r w:rsidR="00AD3531" w:rsidRPr="009B78DA">
        <w:rPr>
          <w:rFonts w:ascii="Arial" w:hAnsi="Arial" w:cs="Arial"/>
          <w:color w:val="000000" w:themeColor="text1"/>
          <w:sz w:val="22"/>
          <w:szCs w:val="22"/>
        </w:rPr>
        <w:t>ą:</w:t>
      </w:r>
      <w:r w:rsidR="003C4FEF" w:rsidRPr="009B78DA">
        <w:rPr>
          <w:rFonts w:ascii="Arial" w:hAnsi="Arial" w:cs="Arial"/>
          <w:color w:val="000000" w:themeColor="text1"/>
          <w:sz w:val="22"/>
          <w:szCs w:val="22"/>
        </w:rPr>
        <w:t xml:space="preserve"> Rzeszów</w:t>
      </w:r>
      <w:r w:rsidR="00490CEF" w:rsidRPr="009B78DA">
        <w:rPr>
          <w:rFonts w:ascii="Arial" w:hAnsi="Arial" w:cs="Arial"/>
          <w:color w:val="000000" w:themeColor="text1"/>
          <w:sz w:val="22"/>
          <w:szCs w:val="22"/>
        </w:rPr>
        <w:t xml:space="preserve"> i</w:t>
      </w:r>
      <w:r w:rsidR="003C4FEF" w:rsidRPr="009B78DA">
        <w:rPr>
          <w:rFonts w:ascii="Arial" w:hAnsi="Arial" w:cs="Arial"/>
          <w:color w:val="000000" w:themeColor="text1"/>
          <w:sz w:val="22"/>
          <w:szCs w:val="22"/>
        </w:rPr>
        <w:t xml:space="preserve"> Krosno.</w:t>
      </w:r>
      <w:r w:rsidR="00F37C41" w:rsidRPr="009B78DA">
        <w:rPr>
          <w:rFonts w:ascii="Arial" w:hAnsi="Arial" w:cs="Arial"/>
          <w:color w:val="000000" w:themeColor="text1"/>
          <w:sz w:val="22"/>
          <w:szCs w:val="22"/>
        </w:rPr>
        <w:t xml:space="preserve"> Z</w:t>
      </w:r>
      <w:r w:rsidR="00817743" w:rsidRPr="009B78DA">
        <w:rPr>
          <w:rFonts w:ascii="Arial" w:hAnsi="Arial" w:cs="Arial"/>
          <w:color w:val="000000" w:themeColor="text1"/>
          <w:sz w:val="22"/>
          <w:szCs w:val="22"/>
        </w:rPr>
        <w:t xml:space="preserve"> kolei z</w:t>
      </w:r>
      <w:r w:rsidR="00F37C41" w:rsidRPr="009B78DA">
        <w:rPr>
          <w:rFonts w:ascii="Arial" w:hAnsi="Arial" w:cs="Arial"/>
          <w:color w:val="000000" w:themeColor="text1"/>
          <w:sz w:val="22"/>
          <w:szCs w:val="22"/>
        </w:rPr>
        <w:t xml:space="preserve">e względu na pojawianie się </w:t>
      </w:r>
      <w:r w:rsidR="00817743" w:rsidRPr="009B78DA">
        <w:rPr>
          <w:rFonts w:ascii="Arial" w:hAnsi="Arial" w:cs="Arial"/>
          <w:color w:val="000000" w:themeColor="text1"/>
          <w:sz w:val="22"/>
          <w:szCs w:val="22"/>
        </w:rPr>
        <w:t xml:space="preserve">wykluczenia transportowego </w:t>
      </w:r>
      <w:r w:rsidR="00F37C41" w:rsidRPr="009B78DA">
        <w:rPr>
          <w:rFonts w:ascii="Arial" w:hAnsi="Arial" w:cs="Arial"/>
          <w:color w:val="000000" w:themeColor="text1"/>
          <w:sz w:val="22"/>
          <w:szCs w:val="22"/>
        </w:rPr>
        <w:t>powodowanego spadkiem rentowności połączeń, należy poszukiwać kierunków o największych potencjalnych efektach ewentualnych zmian modalnych. Należy zaznaczyć, że w drodze analizy dostępnych danych nie zaobserwowano ruchu wzbudzonego na modernizowanych odcinkach drogowych w strefach peryferyjnych.</w:t>
      </w:r>
    </w:p>
    <w:p w14:paraId="6A0D3A1D" w14:textId="6BC70BD6" w:rsidR="00805909"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System transportu oparty o zasadę zrównoważonego rozwoju powinien utrzymywać harmonię układu komunikacyjnego z jego otoczeniem krajobrazowym: przyrodniczym, kulturowym oraz społeczno-gospodarczym, polegającą na korzystaniu z istniejących zasobów w sposób umożliwiający ciągłość ich użytkowania i zachowania dla przyszłych pokoleń.</w:t>
      </w:r>
      <w:r w:rsidR="00CD53CB" w:rsidRPr="009B78DA">
        <w:rPr>
          <w:rFonts w:ascii="Arial" w:hAnsi="Arial" w:cs="Arial"/>
          <w:color w:val="000000" w:themeColor="text1"/>
          <w:sz w:val="22"/>
          <w:szCs w:val="22"/>
        </w:rPr>
        <w:t xml:space="preserve"> </w:t>
      </w:r>
    </w:p>
    <w:p w14:paraId="6DDF9270" w14:textId="09786026"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Oczekiwane rezultaty:</w:t>
      </w:r>
    </w:p>
    <w:p w14:paraId="3501D091" w14:textId="37965679" w:rsidR="002D5970" w:rsidRPr="009B78DA" w:rsidRDefault="002D5970" w:rsidP="00716611">
      <w:pPr>
        <w:pStyle w:val="Akapitzlist"/>
        <w:numPr>
          <w:ilvl w:val="0"/>
          <w:numId w:val="75"/>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Rozwój transportu publicznego w kierunku neutralnym klimatycznie</w:t>
      </w:r>
      <w:r w:rsidR="004E7EA9"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p>
    <w:p w14:paraId="21AB2A83" w14:textId="1D8028CA" w:rsidR="002D5970" w:rsidRPr="009B78DA" w:rsidRDefault="002D5970" w:rsidP="00716611">
      <w:pPr>
        <w:pStyle w:val="Akapitzlist"/>
        <w:numPr>
          <w:ilvl w:val="0"/>
          <w:numId w:val="75"/>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Tworzenie warunków do rozwoju elektromobilności</w:t>
      </w:r>
      <w:r w:rsidR="004E7EA9"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p>
    <w:p w14:paraId="3E8AA348" w14:textId="58A99623" w:rsidR="002D5970" w:rsidRPr="009B78DA" w:rsidRDefault="002D5970" w:rsidP="00716611">
      <w:pPr>
        <w:pStyle w:val="Akapitzlist"/>
        <w:numPr>
          <w:ilvl w:val="0"/>
          <w:numId w:val="75"/>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Wzmocnienie zmiany w kierunku tzw. zielonej gospodarki</w:t>
      </w:r>
      <w:r w:rsidR="004E7EA9"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p>
    <w:p w14:paraId="67A6C3C4" w14:textId="7CF1A4DD" w:rsidR="002D5970" w:rsidRPr="009B78DA" w:rsidRDefault="002D5970" w:rsidP="00716611">
      <w:pPr>
        <w:pStyle w:val="Akapitzlist"/>
        <w:numPr>
          <w:ilvl w:val="0"/>
          <w:numId w:val="75"/>
        </w:numPr>
        <w:spacing w:after="240" w:line="271"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Odciążenie obszarów szczególnie wrażliwych środowiskowo oraz zapobieganie zjawiskom niekontrolowanej ingerencji oraz degradacji środowiska naturalnego</w:t>
      </w:r>
      <w:r w:rsidR="004E7EA9" w:rsidRPr="009B78DA">
        <w:rPr>
          <w:rFonts w:ascii="Arial" w:hAnsi="Arial" w:cs="Arial"/>
          <w:color w:val="000000" w:themeColor="text1"/>
          <w:sz w:val="22"/>
          <w:szCs w:val="22"/>
        </w:rPr>
        <w:t>.</w:t>
      </w:r>
    </w:p>
    <w:p w14:paraId="46374732" w14:textId="427F44F1" w:rsidR="001019FF" w:rsidRPr="009B78DA" w:rsidRDefault="00546800" w:rsidP="00716611">
      <w:pPr>
        <w:spacing w:after="0" w:line="271" w:lineRule="auto"/>
        <w:rPr>
          <w:rFonts w:ascii="Arial" w:hAnsi="Arial" w:cs="Arial"/>
          <w:b/>
          <w:bCs/>
          <w:color w:val="000000" w:themeColor="text1"/>
          <w:sz w:val="22"/>
          <w:szCs w:val="22"/>
        </w:rPr>
      </w:pPr>
      <w:r w:rsidRPr="009B78DA">
        <w:rPr>
          <w:rFonts w:ascii="Arial" w:hAnsi="Arial" w:cs="Arial"/>
          <w:b/>
          <w:bCs/>
          <w:color w:val="000000" w:themeColor="text1"/>
          <w:sz w:val="22"/>
          <w:szCs w:val="22"/>
        </w:rPr>
        <w:t>C</w:t>
      </w:r>
      <w:r w:rsidR="00716611">
        <w:rPr>
          <w:rFonts w:ascii="Arial" w:hAnsi="Arial" w:cs="Arial"/>
          <w:b/>
          <w:bCs/>
          <w:color w:val="000000" w:themeColor="text1"/>
          <w:sz w:val="22"/>
          <w:szCs w:val="22"/>
        </w:rPr>
        <w:t xml:space="preserve">el horyzontalny 2. </w:t>
      </w:r>
      <w:r w:rsidR="00716611">
        <w:rPr>
          <w:rFonts w:ascii="Arial" w:hAnsi="Arial" w:cs="Arial"/>
          <w:b/>
          <w:bCs/>
          <w:color w:val="000000" w:themeColor="text1"/>
          <w:sz w:val="22"/>
          <w:szCs w:val="22"/>
        </w:rPr>
        <w:br/>
      </w:r>
      <w:r w:rsidR="001019FF" w:rsidRPr="009B78DA">
        <w:rPr>
          <w:rFonts w:ascii="Arial" w:hAnsi="Arial" w:cs="Arial"/>
          <w:b/>
          <w:bCs/>
          <w:color w:val="000000" w:themeColor="text1"/>
          <w:sz w:val="22"/>
          <w:szCs w:val="22"/>
        </w:rPr>
        <w:t xml:space="preserve">Wzmocnienie rozwiązań multimodalnych </w:t>
      </w:r>
    </w:p>
    <w:p w14:paraId="3D8187FC" w14:textId="156A813A"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Stopniowa optymalizacja procesów transportowych będzie odbywała się przede wszystkim poprzez integrację wysokiej elastyczności transportu drogowego z wysoką wydajnością kolei wspomaganych efektywnie przez pozostałe gałęzie, tj.: transport lotniczy, wodny śródlądowy oraz transport miejski. Platformą integracji poszczególnych gałęzi transportu jest intermodalność i multimodalność, a zasadniczą rolę w tym kontekście odgrywają transport drogowy i kolejowy. </w:t>
      </w:r>
      <w:r w:rsidR="00546800" w:rsidRPr="009B78DA">
        <w:rPr>
          <w:rFonts w:ascii="Arial" w:hAnsi="Arial" w:cs="Arial"/>
          <w:color w:val="000000" w:themeColor="text1"/>
          <w:sz w:val="22"/>
          <w:szCs w:val="22"/>
        </w:rPr>
        <w:t>Z</w:t>
      </w:r>
      <w:r w:rsidRPr="009B78DA">
        <w:rPr>
          <w:rFonts w:ascii="Arial" w:hAnsi="Arial" w:cs="Arial"/>
          <w:color w:val="000000" w:themeColor="text1"/>
          <w:sz w:val="22"/>
          <w:szCs w:val="22"/>
        </w:rPr>
        <w:t>atem</w:t>
      </w:r>
      <w:r w:rsidR="00546800" w:rsidRPr="009B78DA">
        <w:rPr>
          <w:rFonts w:ascii="Arial" w:hAnsi="Arial" w:cs="Arial"/>
          <w:color w:val="000000" w:themeColor="text1"/>
          <w:sz w:val="22"/>
          <w:szCs w:val="22"/>
        </w:rPr>
        <w:t>, aby</w:t>
      </w:r>
      <w:r w:rsidRPr="009B78DA">
        <w:rPr>
          <w:rFonts w:ascii="Arial" w:hAnsi="Arial" w:cs="Arial"/>
          <w:color w:val="000000" w:themeColor="text1"/>
          <w:sz w:val="22"/>
          <w:szCs w:val="22"/>
        </w:rPr>
        <w:t xml:space="preserve"> zrealizować jeden z kierunków interwencji programu strategicznego, jakim jest poprawa sposobu organizacji i zarządzania systemem transportowym, należy skupić wysiłki na podjęciu działań odnoszących się do wymienionych gałęzi transportu. Szczególną rolę w tym zakresie, dla osiągnięcia maksymalizacji korzyści ze zrównoważonego rozwoju transportu ładunków, odgrywają terminale intermodalne </w:t>
      </w:r>
      <w:r w:rsidR="00297FBE"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i multimodalne umożliwiające integrację fizycznych przepływów ładunków pomiędzy różnymi gałęziami transportu. Prace na rzecz rozbudowy brakujących elementów infrastruktury transportowej, jak również jej modernizacji, powinny </w:t>
      </w:r>
      <w:r w:rsidR="00546800" w:rsidRPr="009B78DA">
        <w:rPr>
          <w:rFonts w:ascii="Arial" w:hAnsi="Arial" w:cs="Arial"/>
          <w:color w:val="000000" w:themeColor="text1"/>
          <w:sz w:val="22"/>
          <w:szCs w:val="22"/>
        </w:rPr>
        <w:t xml:space="preserve">uwzględniać </w:t>
      </w:r>
      <w:r w:rsidRPr="009B78DA">
        <w:rPr>
          <w:rFonts w:ascii="Arial" w:hAnsi="Arial" w:cs="Arial"/>
          <w:color w:val="000000" w:themeColor="text1"/>
          <w:sz w:val="22"/>
          <w:szCs w:val="22"/>
        </w:rPr>
        <w:t>również zamierzenia UE związane ze zwiększeniem możliwości obronnych, w tym zwi</w:t>
      </w:r>
      <w:r w:rsidR="00AD7484" w:rsidRPr="009B78DA">
        <w:rPr>
          <w:rFonts w:ascii="Arial" w:hAnsi="Arial" w:cs="Arial"/>
          <w:color w:val="000000" w:themeColor="text1"/>
          <w:sz w:val="22"/>
          <w:szCs w:val="22"/>
        </w:rPr>
        <w:t>ązanych z mobilnością wojskową.</w:t>
      </w:r>
    </w:p>
    <w:p w14:paraId="557D27CB" w14:textId="2784B821" w:rsidR="00805909"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Uspójnienie całego systemu transportowego wymaga zarówno dynamicznej rozbudowy brakujących elementów infrastruktury, jak również poprawy </w:t>
      </w:r>
      <w:r w:rsidR="000B2483" w:rsidRPr="009B78DA">
        <w:rPr>
          <w:rFonts w:ascii="Arial" w:hAnsi="Arial" w:cs="Arial"/>
          <w:color w:val="000000" w:themeColor="text1"/>
          <w:sz w:val="22"/>
          <w:szCs w:val="22"/>
        </w:rPr>
        <w:t xml:space="preserve">jej </w:t>
      </w:r>
      <w:r w:rsidRPr="009B78DA">
        <w:rPr>
          <w:rFonts w:ascii="Arial" w:hAnsi="Arial" w:cs="Arial"/>
          <w:color w:val="000000" w:themeColor="text1"/>
          <w:sz w:val="22"/>
          <w:szCs w:val="22"/>
        </w:rPr>
        <w:t xml:space="preserve">jakości </w:t>
      </w:r>
      <w:r w:rsidR="000B2483" w:rsidRPr="009B78DA">
        <w:rPr>
          <w:rFonts w:ascii="Arial" w:hAnsi="Arial" w:cs="Arial"/>
          <w:color w:val="000000" w:themeColor="text1"/>
          <w:sz w:val="22"/>
          <w:szCs w:val="22"/>
        </w:rPr>
        <w:t xml:space="preserve">i </w:t>
      </w:r>
      <w:r w:rsidRPr="009B78DA">
        <w:rPr>
          <w:rFonts w:ascii="Arial" w:hAnsi="Arial" w:cs="Arial"/>
          <w:color w:val="000000" w:themeColor="text1"/>
          <w:sz w:val="22"/>
          <w:szCs w:val="22"/>
        </w:rPr>
        <w:t xml:space="preserve">standardów technicznych oraz wprowadzania rozwiązań i elementów integrujących różne kategorie sieci (węzły multimodalne, centra przesiadkowe i terminale cargo – m.in. przy dworcach kolejowych, wielopoziomowe skrzyżowania wielkich arterii – z uwzględnieniem obszarów pozamiejskich, tunele, systemy sterowania ruchem, przestrzenie parkingowe </w:t>
      </w:r>
      <w:r w:rsidR="00716611">
        <w:rPr>
          <w:rFonts w:ascii="Arial" w:hAnsi="Arial" w:cs="Arial"/>
          <w:color w:val="000000" w:themeColor="text1"/>
          <w:sz w:val="22"/>
          <w:szCs w:val="22"/>
        </w:rPr>
        <w:br/>
      </w:r>
      <w:r w:rsidRPr="009B78DA">
        <w:rPr>
          <w:rFonts w:ascii="Arial" w:hAnsi="Arial" w:cs="Arial"/>
          <w:color w:val="000000" w:themeColor="text1"/>
          <w:sz w:val="22"/>
          <w:szCs w:val="22"/>
        </w:rPr>
        <w:t xml:space="preserve">i postojowe oraz inne elementy punktowe i pomocnicze). </w:t>
      </w:r>
    </w:p>
    <w:p w14:paraId="2244E57F" w14:textId="502278B2"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Oczekiwane rezultaty:</w:t>
      </w:r>
    </w:p>
    <w:p w14:paraId="4824F215" w14:textId="5D4E9E8E" w:rsidR="002D5970" w:rsidRPr="009B78DA" w:rsidRDefault="002D5970" w:rsidP="00716611">
      <w:pPr>
        <w:pStyle w:val="Akapitzlist"/>
        <w:numPr>
          <w:ilvl w:val="0"/>
          <w:numId w:val="76"/>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Rozwój intermodalnego transportu, w tym </w:t>
      </w:r>
      <w:bookmarkStart w:id="269" w:name="_Hlk92612119"/>
      <w:r w:rsidRPr="009B78DA">
        <w:rPr>
          <w:rFonts w:ascii="Arial" w:hAnsi="Arial" w:cs="Arial"/>
          <w:color w:val="000000" w:themeColor="text1"/>
          <w:sz w:val="22"/>
          <w:szCs w:val="22"/>
        </w:rPr>
        <w:t>centr</w:t>
      </w:r>
      <w:r w:rsidR="00A9217F" w:rsidRPr="009B78DA">
        <w:rPr>
          <w:rFonts w:ascii="Arial" w:hAnsi="Arial" w:cs="Arial"/>
          <w:color w:val="000000" w:themeColor="text1"/>
          <w:sz w:val="22"/>
          <w:szCs w:val="22"/>
        </w:rPr>
        <w:t>ów</w:t>
      </w:r>
      <w:r w:rsidRPr="009B78DA">
        <w:rPr>
          <w:rFonts w:ascii="Arial" w:hAnsi="Arial" w:cs="Arial"/>
          <w:color w:val="000000" w:themeColor="text1"/>
          <w:sz w:val="22"/>
          <w:szCs w:val="22"/>
        </w:rPr>
        <w:t xml:space="preserve"> logistycz</w:t>
      </w:r>
      <w:r w:rsidR="00A9217F" w:rsidRPr="009B78DA">
        <w:rPr>
          <w:rFonts w:ascii="Arial" w:hAnsi="Arial" w:cs="Arial"/>
          <w:color w:val="000000" w:themeColor="text1"/>
          <w:sz w:val="22"/>
          <w:szCs w:val="22"/>
        </w:rPr>
        <w:t>nych</w:t>
      </w:r>
      <w:r w:rsidRPr="009B78DA">
        <w:rPr>
          <w:rFonts w:ascii="Arial" w:hAnsi="Arial" w:cs="Arial"/>
          <w:color w:val="000000" w:themeColor="text1"/>
          <w:sz w:val="22"/>
          <w:szCs w:val="22"/>
        </w:rPr>
        <w:t xml:space="preserve"> </w:t>
      </w:r>
      <w:bookmarkEnd w:id="269"/>
      <w:r w:rsidRPr="009B78DA">
        <w:rPr>
          <w:rFonts w:ascii="Arial" w:hAnsi="Arial" w:cs="Arial"/>
          <w:color w:val="000000" w:themeColor="text1"/>
          <w:sz w:val="22"/>
          <w:szCs w:val="22"/>
        </w:rPr>
        <w:t>oraz lokalnych terminali przeładunkowych</w:t>
      </w:r>
      <w:r w:rsidR="004E7EA9" w:rsidRPr="009B78DA">
        <w:rPr>
          <w:rFonts w:ascii="Arial" w:hAnsi="Arial" w:cs="Arial"/>
          <w:color w:val="000000" w:themeColor="text1"/>
          <w:sz w:val="22"/>
          <w:szCs w:val="22"/>
        </w:rPr>
        <w:t>;</w:t>
      </w:r>
    </w:p>
    <w:p w14:paraId="4C67EB44" w14:textId="2C25998F" w:rsidR="002D5970" w:rsidRPr="009B78DA" w:rsidRDefault="002D5970" w:rsidP="00716611">
      <w:pPr>
        <w:pStyle w:val="Akapitzlist"/>
        <w:numPr>
          <w:ilvl w:val="0"/>
          <w:numId w:val="76"/>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Rozwój funkcji logistycznej w ramach multimodalnych systemów transportowych</w:t>
      </w:r>
      <w:r w:rsidR="004E7EA9" w:rsidRPr="009B78DA">
        <w:rPr>
          <w:rFonts w:ascii="Arial" w:hAnsi="Arial" w:cs="Arial"/>
          <w:color w:val="000000" w:themeColor="text1"/>
          <w:sz w:val="22"/>
          <w:szCs w:val="22"/>
        </w:rPr>
        <w:t>;</w:t>
      </w:r>
    </w:p>
    <w:p w14:paraId="49B96F29" w14:textId="3980D2F9" w:rsidR="002D5970" w:rsidRPr="009B78DA" w:rsidRDefault="002D5970" w:rsidP="00716611">
      <w:pPr>
        <w:pStyle w:val="Akapitzlist"/>
        <w:numPr>
          <w:ilvl w:val="0"/>
          <w:numId w:val="76"/>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Realizacja zadań związanych ze zmianą modalną w transporcie międzyaglomeracyjnym</w:t>
      </w:r>
      <w:r w:rsidR="004E7EA9"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p>
    <w:p w14:paraId="05EFDF9C" w14:textId="48369DE5" w:rsidR="00716611" w:rsidRDefault="002D5970" w:rsidP="00716611">
      <w:pPr>
        <w:pStyle w:val="Akapitzlist"/>
        <w:numPr>
          <w:ilvl w:val="0"/>
          <w:numId w:val="76"/>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Wprowadzenie zintegrowanego</w:t>
      </w:r>
      <w:r w:rsidR="00DF5230" w:rsidRPr="009B78DA">
        <w:rPr>
          <w:rFonts w:ascii="Arial" w:hAnsi="Arial" w:cs="Arial"/>
          <w:color w:val="000000" w:themeColor="text1"/>
          <w:sz w:val="22"/>
          <w:szCs w:val="22"/>
        </w:rPr>
        <w:t xml:space="preserve"> systemu transportu publicznego</w:t>
      </w:r>
      <w:r w:rsidR="004E7EA9" w:rsidRPr="009B78DA">
        <w:rPr>
          <w:rFonts w:ascii="Arial" w:hAnsi="Arial" w:cs="Arial"/>
          <w:color w:val="000000" w:themeColor="text1"/>
          <w:sz w:val="22"/>
          <w:szCs w:val="22"/>
        </w:rPr>
        <w:t>.</w:t>
      </w:r>
    </w:p>
    <w:p w14:paraId="725444BD" w14:textId="77777777" w:rsidR="00716611" w:rsidRDefault="00716611">
      <w:pPr>
        <w:rPr>
          <w:rFonts w:ascii="Arial" w:hAnsi="Arial" w:cs="Arial"/>
          <w:color w:val="000000" w:themeColor="text1"/>
          <w:sz w:val="22"/>
          <w:szCs w:val="22"/>
        </w:rPr>
      </w:pPr>
      <w:r>
        <w:rPr>
          <w:rFonts w:ascii="Arial" w:hAnsi="Arial" w:cs="Arial"/>
          <w:color w:val="000000" w:themeColor="text1"/>
          <w:sz w:val="22"/>
          <w:szCs w:val="22"/>
        </w:rPr>
        <w:br w:type="page"/>
      </w:r>
    </w:p>
    <w:p w14:paraId="2187707F" w14:textId="7C8D3CD7" w:rsidR="00157216" w:rsidRPr="009B78DA" w:rsidRDefault="000B2483" w:rsidP="00716611">
      <w:pPr>
        <w:spacing w:after="0" w:line="271" w:lineRule="auto"/>
        <w:rPr>
          <w:rFonts w:ascii="Arial" w:hAnsi="Arial" w:cs="Arial"/>
          <w:b/>
          <w:bCs/>
          <w:color w:val="000000" w:themeColor="text1"/>
          <w:sz w:val="22"/>
          <w:szCs w:val="22"/>
        </w:rPr>
      </w:pPr>
      <w:r w:rsidRPr="009B78DA">
        <w:rPr>
          <w:rFonts w:ascii="Arial" w:hAnsi="Arial" w:cs="Arial"/>
          <w:b/>
          <w:bCs/>
          <w:color w:val="000000" w:themeColor="text1"/>
          <w:sz w:val="22"/>
          <w:szCs w:val="22"/>
        </w:rPr>
        <w:t>C</w:t>
      </w:r>
      <w:r w:rsidR="00716611">
        <w:rPr>
          <w:rFonts w:ascii="Arial" w:hAnsi="Arial" w:cs="Arial"/>
          <w:b/>
          <w:bCs/>
          <w:color w:val="000000" w:themeColor="text1"/>
          <w:sz w:val="22"/>
          <w:szCs w:val="22"/>
        </w:rPr>
        <w:t xml:space="preserve">el horyzontalny 3. </w:t>
      </w:r>
      <w:r w:rsidR="00716611">
        <w:rPr>
          <w:rFonts w:ascii="Arial" w:hAnsi="Arial" w:cs="Arial"/>
          <w:b/>
          <w:bCs/>
          <w:color w:val="000000" w:themeColor="text1"/>
          <w:sz w:val="22"/>
          <w:szCs w:val="22"/>
        </w:rPr>
        <w:br/>
      </w:r>
      <w:r w:rsidR="00157216" w:rsidRPr="009B78DA">
        <w:rPr>
          <w:rFonts w:ascii="Arial" w:hAnsi="Arial" w:cs="Arial"/>
          <w:b/>
          <w:bCs/>
          <w:color w:val="000000" w:themeColor="text1"/>
          <w:sz w:val="22"/>
          <w:szCs w:val="22"/>
        </w:rPr>
        <w:t>Rozwój transportu publicznego</w:t>
      </w:r>
    </w:p>
    <w:p w14:paraId="1A2D6286" w14:textId="055698D4"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Jednym z celów polityki transportowej jest dążenie do osiągnięcia zrównoważonej mobilności poprzez stworzenie warunków do sprawnego, efektywnego i bezpiecznego przemieszczania się osób, przy ograniczeniu szkodliwego wpływu na środowisko naturalne </w:t>
      </w:r>
      <w:r w:rsidR="00D52BD3" w:rsidRPr="009B78DA">
        <w:rPr>
          <w:rFonts w:ascii="Arial" w:hAnsi="Arial" w:cs="Arial"/>
          <w:color w:val="000000" w:themeColor="text1"/>
          <w:sz w:val="22"/>
          <w:szCs w:val="22"/>
        </w:rPr>
        <w:br/>
      </w:r>
      <w:r w:rsidRPr="009B78DA">
        <w:rPr>
          <w:rFonts w:ascii="Arial" w:hAnsi="Arial" w:cs="Arial"/>
          <w:color w:val="000000" w:themeColor="text1"/>
          <w:sz w:val="22"/>
          <w:szCs w:val="22"/>
        </w:rPr>
        <w:t>i warunki życia mieszkańców oraz do poprawy dostępności komunikacyjnej w obrębie m</w:t>
      </w:r>
      <w:r w:rsidR="00716611">
        <w:rPr>
          <w:rFonts w:ascii="Arial" w:hAnsi="Arial" w:cs="Arial"/>
          <w:color w:val="000000" w:themeColor="text1"/>
          <w:sz w:val="22"/>
          <w:szCs w:val="22"/>
        </w:rPr>
        <w:t>iasta i obszaru funkcjonalnego.</w:t>
      </w:r>
    </w:p>
    <w:p w14:paraId="5A297EDA" w14:textId="3B4D468D"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Konieczny jest przegląd niezbędnych działań (prawnych, organizacyjnych oraz inwestycyjnych) sprzyjających poprawie funkcjonowania publicznego transportu zbiorowego, przechodzeniu na tabor niskoemisyjny i wprowadzani</w:t>
      </w:r>
      <w:r w:rsidR="000B2483" w:rsidRPr="009B78DA">
        <w:rPr>
          <w:rFonts w:ascii="Arial" w:hAnsi="Arial" w:cs="Arial"/>
          <w:color w:val="000000" w:themeColor="text1"/>
          <w:sz w:val="22"/>
          <w:szCs w:val="22"/>
        </w:rPr>
        <w:t>u</w:t>
      </w:r>
      <w:r w:rsidRPr="009B78DA">
        <w:rPr>
          <w:rFonts w:ascii="Arial" w:hAnsi="Arial" w:cs="Arial"/>
          <w:color w:val="000000" w:themeColor="text1"/>
          <w:sz w:val="22"/>
          <w:szCs w:val="22"/>
        </w:rPr>
        <w:t xml:space="preserve"> niskoemisyjnych pojazdów samochodowych, a także stref z zakazem ruchu.</w:t>
      </w:r>
    </w:p>
    <w:p w14:paraId="073654E3" w14:textId="1C3B38B7" w:rsidR="00DD3B2B"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Aby osiągnąć zakładany cel, niezbędne jest prowadzenie kompleksowych działań na rzecz zmian w indywidualnej i zbiorowej mobilności oraz zaoferowanie mieszkańcom atrakcyjnej oferty w zakresie transportu publicznego. Wprowadzenie preferencji i zachęt przyczyniających się do zmian dotychczasowych indywidualnych zachowań mobilnych obywateli na rzecz użytkowania transportu zbiorowego, jako podstawowego środka komunikacji w obszarach zurbanizowanych, wpłynie pozytywnie na kształtowanie świadomości społecznej i nastawienie do problemu przemieszczania się w mieście w sposób zgodny z zasadami zrównoważonej mobilności i rozwoju. Działanie to może wymagać zmian w organizacji ruchu miejskiego, poprzez uprzywilejowanie transportu publicznego kosztem indywidualnego, np. t</w:t>
      </w:r>
      <w:r w:rsidR="00716611">
        <w:rPr>
          <w:rFonts w:ascii="Arial" w:hAnsi="Arial" w:cs="Arial"/>
          <w:color w:val="000000" w:themeColor="text1"/>
          <w:sz w:val="22"/>
          <w:szCs w:val="22"/>
        </w:rPr>
        <w:t>zw. zielona fala dla autobusów.</w:t>
      </w:r>
    </w:p>
    <w:p w14:paraId="7F3C7EB7" w14:textId="18A01EE5" w:rsidR="00DD3B2B" w:rsidRPr="009B78DA" w:rsidRDefault="00281DD9"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Szczególnie na terenach zagrożonych wykluczeniem transportowym,</w:t>
      </w:r>
      <w:r w:rsidR="006D70C6" w:rsidRPr="009B78DA">
        <w:rPr>
          <w:rFonts w:ascii="Arial" w:hAnsi="Arial" w:cs="Arial"/>
          <w:color w:val="000000" w:themeColor="text1"/>
          <w:sz w:val="22"/>
          <w:szCs w:val="22"/>
        </w:rPr>
        <w:t xml:space="preserve"> gdzie </w:t>
      </w:r>
      <w:r w:rsidR="00310A0B" w:rsidRPr="009B78DA">
        <w:rPr>
          <w:rFonts w:ascii="Arial" w:hAnsi="Arial" w:cs="Arial"/>
          <w:color w:val="000000" w:themeColor="text1"/>
          <w:sz w:val="22"/>
          <w:szCs w:val="22"/>
        </w:rPr>
        <w:t>funkcjonowanie prywatnych przewoźników jest często nieopłacalne</w:t>
      </w:r>
      <w:r w:rsidR="006D70C6"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duże znaczenie mogą odegrać lokalne rozwiązania alternatywne</w:t>
      </w:r>
      <w:r w:rsidR="006D70C6"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(typu car</w:t>
      </w:r>
      <w:r w:rsidR="00E959F4" w:rsidRPr="009B78DA">
        <w:rPr>
          <w:rFonts w:ascii="Arial" w:hAnsi="Arial" w:cs="Arial"/>
          <w:color w:val="000000" w:themeColor="text1"/>
          <w:sz w:val="22"/>
          <w:szCs w:val="22"/>
        </w:rPr>
        <w:t>-</w:t>
      </w:r>
      <w:r w:rsidRPr="009B78DA">
        <w:rPr>
          <w:rFonts w:ascii="Arial" w:hAnsi="Arial" w:cs="Arial"/>
          <w:color w:val="000000" w:themeColor="text1"/>
          <w:sz w:val="22"/>
          <w:szCs w:val="22"/>
        </w:rPr>
        <w:t>sharing, car</w:t>
      </w:r>
      <w:r w:rsidR="00E959F4" w:rsidRPr="009B78DA">
        <w:rPr>
          <w:rFonts w:ascii="Arial" w:hAnsi="Arial" w:cs="Arial"/>
          <w:color w:val="000000" w:themeColor="text1"/>
          <w:sz w:val="22"/>
          <w:szCs w:val="22"/>
        </w:rPr>
        <w:t>-</w:t>
      </w:r>
      <w:r w:rsidRPr="009B78DA">
        <w:rPr>
          <w:rFonts w:ascii="Arial" w:hAnsi="Arial" w:cs="Arial"/>
          <w:color w:val="000000" w:themeColor="text1"/>
          <w:sz w:val="22"/>
          <w:szCs w:val="22"/>
        </w:rPr>
        <w:t>pool</w:t>
      </w:r>
      <w:r w:rsidR="00716611">
        <w:rPr>
          <w:rFonts w:ascii="Arial" w:hAnsi="Arial" w:cs="Arial"/>
          <w:color w:val="000000" w:themeColor="text1"/>
          <w:sz w:val="22"/>
          <w:szCs w:val="22"/>
        </w:rPr>
        <w:t>ing, autobus na życzenie itp.).</w:t>
      </w:r>
    </w:p>
    <w:p w14:paraId="333B2939" w14:textId="51CDEB31" w:rsidR="00DD3B2B"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rozbudowywanym systemie transportowym konieczne jest także uwzględnianie zmian demograficznych stwarzających dodatkowe wyzwania w zakresie mobilności w każdej grupie wiekowej, jak również uwzględnianie potrzeb osób o ograniczonej sprawności, w tym osób starszych oraz z niepełnosprawnością. Planując rozbudowę systemów transportu publicznego należy wziąć pod uwagę konieczność takiego kształtowania i wykorzystania przestrzeni miast oraz ich obszarów funkcjonalnych, aby zachowana była równowaga pomiędzy dostępnością do kluczowych celów podróży, w tym usług oraz optymalną wydajnością i efektywnością kosztową transportu osób i przewozu towarów, przy jednoczesnym ukształtowaniu przestrzeni ulic jako przyjaznych dla użytkowników, </w:t>
      </w:r>
      <w:r w:rsidR="00C7779F" w:rsidRPr="009B78DA">
        <w:rPr>
          <w:rFonts w:ascii="Arial" w:hAnsi="Arial" w:cs="Arial"/>
          <w:color w:val="000000" w:themeColor="text1"/>
          <w:sz w:val="22"/>
          <w:szCs w:val="22"/>
        </w:rPr>
        <w:br/>
      </w:r>
      <w:r w:rsidRPr="009B78DA">
        <w:rPr>
          <w:rFonts w:ascii="Arial" w:hAnsi="Arial" w:cs="Arial"/>
          <w:color w:val="000000" w:themeColor="text1"/>
          <w:sz w:val="22"/>
          <w:szCs w:val="22"/>
        </w:rPr>
        <w:t>w szczególności pieszych i rowerzystów.</w:t>
      </w:r>
    </w:p>
    <w:p w14:paraId="2CFA9268" w14:textId="05F1079B"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Oczekiwane rezultaty:</w:t>
      </w:r>
    </w:p>
    <w:p w14:paraId="23CF640B" w14:textId="02A0CA1C" w:rsidR="002D5970" w:rsidRPr="009B78DA" w:rsidRDefault="002D5970" w:rsidP="00716611">
      <w:pPr>
        <w:pStyle w:val="Akapitzlist"/>
        <w:numPr>
          <w:ilvl w:val="0"/>
          <w:numId w:val="77"/>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Podwyższenie konkurencyjności publicznego transportu zbiorowego wobec indywidualnego transportu samochodowego</w:t>
      </w:r>
      <w:r w:rsidR="004E7EA9" w:rsidRPr="009B78DA">
        <w:rPr>
          <w:rFonts w:ascii="Arial" w:hAnsi="Arial" w:cs="Arial"/>
          <w:color w:val="000000" w:themeColor="text1"/>
          <w:sz w:val="22"/>
          <w:szCs w:val="22"/>
        </w:rPr>
        <w:t>;</w:t>
      </w:r>
    </w:p>
    <w:p w14:paraId="663DBFAD" w14:textId="0743F160" w:rsidR="002D5970" w:rsidRPr="009B78DA" w:rsidRDefault="002D5970" w:rsidP="00716611">
      <w:pPr>
        <w:pStyle w:val="Akapitzlist"/>
        <w:numPr>
          <w:ilvl w:val="0"/>
          <w:numId w:val="77"/>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Niwelowanie barier transportowych poprzez rozwój systemów transportu zbiorowego</w:t>
      </w:r>
      <w:r w:rsidR="006D70C6" w:rsidRPr="009B78DA">
        <w:rPr>
          <w:rFonts w:ascii="Arial" w:hAnsi="Arial" w:cs="Arial"/>
          <w:color w:val="000000" w:themeColor="text1"/>
          <w:sz w:val="22"/>
          <w:szCs w:val="22"/>
        </w:rPr>
        <w:t xml:space="preserve"> oraz</w:t>
      </w:r>
      <w:r w:rsidR="00296CE0" w:rsidRPr="009B78DA">
        <w:rPr>
          <w:rFonts w:ascii="Arial" w:hAnsi="Arial" w:cs="Arial"/>
          <w:color w:val="000000" w:themeColor="text1"/>
          <w:sz w:val="22"/>
          <w:szCs w:val="22"/>
        </w:rPr>
        <w:t xml:space="preserve"> </w:t>
      </w:r>
      <w:r w:rsidR="006D70C6" w:rsidRPr="009B78DA">
        <w:rPr>
          <w:rFonts w:ascii="Arial" w:hAnsi="Arial" w:cs="Arial"/>
          <w:color w:val="000000" w:themeColor="text1"/>
          <w:sz w:val="22"/>
          <w:szCs w:val="22"/>
        </w:rPr>
        <w:t>loka</w:t>
      </w:r>
      <w:r w:rsidR="00296CE0" w:rsidRPr="009B78DA">
        <w:rPr>
          <w:rFonts w:ascii="Arial" w:hAnsi="Arial" w:cs="Arial"/>
          <w:color w:val="000000" w:themeColor="text1"/>
          <w:sz w:val="22"/>
          <w:szCs w:val="22"/>
        </w:rPr>
        <w:t>ln</w:t>
      </w:r>
      <w:r w:rsidR="00B54017" w:rsidRPr="009B78DA">
        <w:rPr>
          <w:rFonts w:ascii="Arial" w:hAnsi="Arial" w:cs="Arial"/>
          <w:color w:val="000000" w:themeColor="text1"/>
          <w:sz w:val="22"/>
          <w:szCs w:val="22"/>
        </w:rPr>
        <w:t>ych</w:t>
      </w:r>
      <w:r w:rsidR="00296CE0" w:rsidRPr="009B78DA">
        <w:rPr>
          <w:rFonts w:ascii="Arial" w:hAnsi="Arial" w:cs="Arial"/>
          <w:color w:val="000000" w:themeColor="text1"/>
          <w:sz w:val="22"/>
          <w:szCs w:val="22"/>
        </w:rPr>
        <w:t xml:space="preserve"> </w:t>
      </w:r>
      <w:r w:rsidR="006D70C6" w:rsidRPr="009B78DA">
        <w:rPr>
          <w:rFonts w:ascii="Arial" w:hAnsi="Arial" w:cs="Arial"/>
          <w:color w:val="000000" w:themeColor="text1"/>
          <w:sz w:val="22"/>
          <w:szCs w:val="22"/>
        </w:rPr>
        <w:t>rozwiąza</w:t>
      </w:r>
      <w:r w:rsidR="00B54017" w:rsidRPr="009B78DA">
        <w:rPr>
          <w:rFonts w:ascii="Arial" w:hAnsi="Arial" w:cs="Arial"/>
          <w:color w:val="000000" w:themeColor="text1"/>
          <w:sz w:val="22"/>
          <w:szCs w:val="22"/>
        </w:rPr>
        <w:t>ń</w:t>
      </w:r>
      <w:r w:rsidR="006D70C6" w:rsidRPr="009B78DA">
        <w:rPr>
          <w:rFonts w:ascii="Arial" w:hAnsi="Arial" w:cs="Arial"/>
          <w:color w:val="000000" w:themeColor="text1"/>
          <w:sz w:val="22"/>
          <w:szCs w:val="22"/>
        </w:rPr>
        <w:t xml:space="preserve"> alternatywn</w:t>
      </w:r>
      <w:r w:rsidR="00B54017" w:rsidRPr="009B78DA">
        <w:rPr>
          <w:rFonts w:ascii="Arial" w:hAnsi="Arial" w:cs="Arial"/>
          <w:color w:val="000000" w:themeColor="text1"/>
          <w:sz w:val="22"/>
          <w:szCs w:val="22"/>
        </w:rPr>
        <w:t>ych</w:t>
      </w:r>
      <w:r w:rsidR="004E7EA9" w:rsidRPr="009B78DA">
        <w:rPr>
          <w:rFonts w:ascii="Arial" w:hAnsi="Arial" w:cs="Arial"/>
          <w:color w:val="000000" w:themeColor="text1"/>
          <w:sz w:val="22"/>
          <w:szCs w:val="22"/>
        </w:rPr>
        <w:t>;</w:t>
      </w:r>
    </w:p>
    <w:p w14:paraId="69EF4D33" w14:textId="60B59623" w:rsidR="002D5970" w:rsidRPr="009B78DA" w:rsidRDefault="002D5970" w:rsidP="00716611">
      <w:pPr>
        <w:pStyle w:val="Akapitzlist"/>
        <w:numPr>
          <w:ilvl w:val="0"/>
          <w:numId w:val="77"/>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Zdywersyfikowanie sieci przewoźników, w tym zapewnienie obsługi transportu publicznego dla obszarów peryfe</w:t>
      </w:r>
      <w:r w:rsidR="00DF5230" w:rsidRPr="009B78DA">
        <w:rPr>
          <w:rFonts w:ascii="Arial" w:hAnsi="Arial" w:cs="Arial"/>
          <w:color w:val="000000" w:themeColor="text1"/>
          <w:sz w:val="22"/>
          <w:szCs w:val="22"/>
        </w:rPr>
        <w:t>ryjnych i o niskiej dostępności</w:t>
      </w:r>
      <w:r w:rsidR="004E7EA9" w:rsidRPr="009B78DA">
        <w:rPr>
          <w:rFonts w:ascii="Arial" w:hAnsi="Arial" w:cs="Arial"/>
          <w:color w:val="000000" w:themeColor="text1"/>
          <w:sz w:val="22"/>
          <w:szCs w:val="22"/>
        </w:rPr>
        <w:t>;</w:t>
      </w:r>
    </w:p>
    <w:p w14:paraId="7583430B" w14:textId="0494AE93" w:rsidR="00574336" w:rsidRPr="00716611" w:rsidRDefault="00A9217F" w:rsidP="00716611">
      <w:pPr>
        <w:pStyle w:val="Akapitzlist"/>
        <w:numPr>
          <w:ilvl w:val="0"/>
          <w:numId w:val="77"/>
        </w:numPr>
        <w:spacing w:after="240" w:line="271" w:lineRule="auto"/>
        <w:ind w:left="714" w:hanging="357"/>
        <w:contextualSpacing w:val="0"/>
        <w:rPr>
          <w:rFonts w:ascii="Arial" w:hAnsi="Arial" w:cs="Arial"/>
          <w:color w:val="000000" w:themeColor="text1"/>
          <w:sz w:val="22"/>
          <w:szCs w:val="22"/>
        </w:rPr>
      </w:pPr>
      <w:bookmarkStart w:id="270" w:name="_Hlk92612209"/>
      <w:r w:rsidRPr="009B78DA">
        <w:rPr>
          <w:rFonts w:ascii="Arial" w:hAnsi="Arial" w:cs="Arial"/>
          <w:color w:val="000000" w:themeColor="text1"/>
          <w:sz w:val="22"/>
          <w:szCs w:val="22"/>
        </w:rPr>
        <w:t>Integracja oferty przewozowej w tym koordynacja rozkładów jazdy pomiędzy przewoźnikami oraz wspólny bilet</w:t>
      </w:r>
      <w:r w:rsidR="004E7EA9" w:rsidRPr="009B78DA">
        <w:rPr>
          <w:rFonts w:ascii="Arial" w:hAnsi="Arial" w:cs="Arial"/>
          <w:color w:val="000000" w:themeColor="text1"/>
          <w:sz w:val="22"/>
          <w:szCs w:val="22"/>
        </w:rPr>
        <w:t>.</w:t>
      </w:r>
    </w:p>
    <w:bookmarkEnd w:id="270"/>
    <w:p w14:paraId="2CB39CCC" w14:textId="4D39DD4A" w:rsidR="001019FF" w:rsidRPr="009B78DA" w:rsidRDefault="000B2483" w:rsidP="00716611">
      <w:pPr>
        <w:spacing w:after="0" w:line="271" w:lineRule="auto"/>
        <w:rPr>
          <w:rFonts w:ascii="Arial" w:hAnsi="Arial" w:cs="Arial"/>
          <w:b/>
          <w:bCs/>
          <w:color w:val="000000" w:themeColor="text1"/>
          <w:sz w:val="22"/>
          <w:szCs w:val="22"/>
        </w:rPr>
      </w:pPr>
      <w:r w:rsidRPr="009B78DA">
        <w:rPr>
          <w:rFonts w:ascii="Arial" w:hAnsi="Arial" w:cs="Arial"/>
          <w:b/>
          <w:bCs/>
          <w:color w:val="000000" w:themeColor="text1"/>
          <w:sz w:val="22"/>
          <w:szCs w:val="22"/>
        </w:rPr>
        <w:t>C</w:t>
      </w:r>
      <w:r w:rsidR="00716611">
        <w:rPr>
          <w:rFonts w:ascii="Arial" w:hAnsi="Arial" w:cs="Arial"/>
          <w:b/>
          <w:bCs/>
          <w:color w:val="000000" w:themeColor="text1"/>
          <w:sz w:val="22"/>
          <w:szCs w:val="22"/>
        </w:rPr>
        <w:t xml:space="preserve">el horyzontalny 4. </w:t>
      </w:r>
      <w:r w:rsidR="00716611">
        <w:rPr>
          <w:rFonts w:ascii="Arial" w:hAnsi="Arial" w:cs="Arial"/>
          <w:b/>
          <w:bCs/>
          <w:color w:val="000000" w:themeColor="text1"/>
          <w:sz w:val="22"/>
          <w:szCs w:val="22"/>
        </w:rPr>
        <w:br/>
      </w:r>
      <w:r w:rsidR="001019FF" w:rsidRPr="009B78DA">
        <w:rPr>
          <w:rFonts w:ascii="Arial" w:hAnsi="Arial" w:cs="Arial"/>
          <w:b/>
          <w:bCs/>
          <w:color w:val="000000" w:themeColor="text1"/>
          <w:sz w:val="22"/>
          <w:szCs w:val="22"/>
        </w:rPr>
        <w:t xml:space="preserve">Poprawa bezpieczeństwa w transporcie </w:t>
      </w:r>
    </w:p>
    <w:p w14:paraId="4D13483C" w14:textId="1E9873DB"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Ze wszystkich gałęzi transportu najbardziej niebezpiecznym i kosztownym społecznie, a jednocześnie </w:t>
      </w:r>
      <w:r w:rsidR="000B2483" w:rsidRPr="009B78DA">
        <w:rPr>
          <w:rFonts w:ascii="Arial" w:hAnsi="Arial" w:cs="Arial"/>
          <w:color w:val="000000" w:themeColor="text1"/>
          <w:sz w:val="22"/>
          <w:szCs w:val="22"/>
        </w:rPr>
        <w:t xml:space="preserve">najczęściej wykorzystywanym </w:t>
      </w:r>
      <w:r w:rsidRPr="009B78DA">
        <w:rPr>
          <w:rFonts w:ascii="Arial" w:hAnsi="Arial" w:cs="Arial"/>
          <w:color w:val="000000" w:themeColor="text1"/>
          <w:sz w:val="22"/>
          <w:szCs w:val="22"/>
        </w:rPr>
        <w:t>w przewozach pasażerskich jest transport drogowy. Dlatego też bezpieczeństwo na drogach jest priorytetem w tym zakresie. Jego poprawa wymaga podjęcia działań, które przyczynią się do istotnego zmniejszenia liczby ofiar śmiertelnych.</w:t>
      </w:r>
    </w:p>
    <w:p w14:paraId="77C70C25" w14:textId="3FEB3B39"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Efektem ciągłej i systematycznej pracy instytucji odpowiedzialnych za bezpieczeństwo ruchu drogowego jest zmniejszenie liczby ofiar śmiertelnych wypadków drogowych. W naturalny sposób do istotnego zmniejszenia liczby wypadków przyczynia się przeniesienie dużej części ruchu pasażerskiego na sieć autostrad, dróg ekspresowych oraz obwodnic miast.</w:t>
      </w:r>
    </w:p>
    <w:p w14:paraId="2A29EC4A" w14:textId="77777777"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transporcie kolejowym poważne wypadki pociągające za sobą ofiary wśród pasażerów są rzadkie. Niemniej oczekuje się, że długookresowy trend liczby ofiar powinien się obniżać, m.in. poprzez realizację działań inwestycyjnych na sieci kolejowej.</w:t>
      </w:r>
    </w:p>
    <w:p w14:paraId="70E5E5FE" w14:textId="77777777" w:rsidR="00805909"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Lotnictwo to jeden z najbezpieczniejszych środków transportu, niemniej jednak zdarzają się katastrofy i wypadki lotnicze spowodowane nie tylko przez błędy ludzkie czy awarie samolotów, ale także spowodowane przez akty bezprawnej ingerencji.</w:t>
      </w:r>
    </w:p>
    <w:p w14:paraId="22EBC385" w14:textId="72CE56D4" w:rsidR="002D5970" w:rsidRPr="009B78DA" w:rsidRDefault="002D5970" w:rsidP="00716611">
      <w:pPr>
        <w:spacing w:after="0" w:line="271"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Oczekiwane rezultaty:</w:t>
      </w:r>
    </w:p>
    <w:p w14:paraId="49B88049" w14:textId="0DB45C4A" w:rsidR="002D5970" w:rsidRPr="009B78DA" w:rsidRDefault="002D5970" w:rsidP="00716611">
      <w:pPr>
        <w:pStyle w:val="Akapitzlist"/>
        <w:numPr>
          <w:ilvl w:val="0"/>
          <w:numId w:val="78"/>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 xml:space="preserve">Tworzenie infrastruktury technicznej </w:t>
      </w:r>
      <w:r w:rsidR="000B2483" w:rsidRPr="009B78DA">
        <w:rPr>
          <w:rFonts w:ascii="Arial" w:hAnsi="Arial" w:cs="Arial"/>
          <w:color w:val="000000" w:themeColor="text1"/>
          <w:sz w:val="22"/>
          <w:szCs w:val="22"/>
        </w:rPr>
        <w:t>zapewniającej</w:t>
      </w:r>
      <w:r w:rsidRPr="009B78DA">
        <w:rPr>
          <w:rFonts w:ascii="Arial" w:hAnsi="Arial" w:cs="Arial"/>
          <w:color w:val="000000" w:themeColor="text1"/>
          <w:sz w:val="22"/>
          <w:szCs w:val="22"/>
        </w:rPr>
        <w:t xml:space="preserve"> bezpieczeństw</w:t>
      </w:r>
      <w:r w:rsidR="000B2483" w:rsidRPr="009B78DA">
        <w:rPr>
          <w:rFonts w:ascii="Arial" w:hAnsi="Arial" w:cs="Arial"/>
          <w:color w:val="000000" w:themeColor="text1"/>
          <w:sz w:val="22"/>
          <w:szCs w:val="22"/>
        </w:rPr>
        <w:t>o</w:t>
      </w:r>
      <w:r w:rsidRPr="009B78DA">
        <w:rPr>
          <w:rFonts w:ascii="Arial" w:hAnsi="Arial" w:cs="Arial"/>
          <w:color w:val="000000" w:themeColor="text1"/>
          <w:sz w:val="22"/>
          <w:szCs w:val="22"/>
        </w:rPr>
        <w:t xml:space="preserve"> szlaków komunikacyjnych</w:t>
      </w:r>
      <w:r w:rsidR="004E7EA9" w:rsidRPr="009B78DA">
        <w:rPr>
          <w:rFonts w:ascii="Arial" w:hAnsi="Arial" w:cs="Arial"/>
          <w:color w:val="000000" w:themeColor="text1"/>
          <w:sz w:val="22"/>
          <w:szCs w:val="22"/>
        </w:rPr>
        <w:t>;</w:t>
      </w:r>
    </w:p>
    <w:p w14:paraId="461E487C" w14:textId="5B453682" w:rsidR="002D5970" w:rsidRPr="009B78DA" w:rsidRDefault="002D5970" w:rsidP="00716611">
      <w:pPr>
        <w:pStyle w:val="Akapitzlist"/>
        <w:numPr>
          <w:ilvl w:val="0"/>
          <w:numId w:val="78"/>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Bezpieczeństwo rozwiązań komunikacyjnych we wszystkich sektorach transportu</w:t>
      </w:r>
      <w:r w:rsidR="004E7EA9" w:rsidRPr="009B78DA">
        <w:rPr>
          <w:rFonts w:ascii="Arial" w:hAnsi="Arial" w:cs="Arial"/>
          <w:color w:val="000000" w:themeColor="text1"/>
          <w:sz w:val="22"/>
          <w:szCs w:val="22"/>
        </w:rPr>
        <w:t>;</w:t>
      </w:r>
    </w:p>
    <w:p w14:paraId="12CFA054" w14:textId="0948F8D7" w:rsidR="002D5970" w:rsidRPr="009B78DA" w:rsidRDefault="002D5970" w:rsidP="00716611">
      <w:pPr>
        <w:pStyle w:val="Akapitzlist"/>
        <w:numPr>
          <w:ilvl w:val="0"/>
          <w:numId w:val="78"/>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Poprawa bezpieczeństwa uczestników ruchu oraz przewożonych towarów</w:t>
      </w:r>
      <w:r w:rsidR="004E7EA9" w:rsidRPr="009B78DA">
        <w:rPr>
          <w:rFonts w:ascii="Arial" w:hAnsi="Arial" w:cs="Arial"/>
          <w:color w:val="000000" w:themeColor="text1"/>
          <w:sz w:val="22"/>
          <w:szCs w:val="22"/>
        </w:rPr>
        <w:t>;</w:t>
      </w:r>
    </w:p>
    <w:p w14:paraId="7211D2A1" w14:textId="4F7EFAE4" w:rsidR="008D793A" w:rsidRPr="009B78DA" w:rsidRDefault="002D5970" w:rsidP="00716611">
      <w:pPr>
        <w:pStyle w:val="Akapitzlist"/>
        <w:numPr>
          <w:ilvl w:val="0"/>
          <w:numId w:val="78"/>
        </w:numPr>
        <w:spacing w:after="0" w:line="271" w:lineRule="auto"/>
        <w:rPr>
          <w:rFonts w:ascii="Arial" w:hAnsi="Arial" w:cs="Arial"/>
          <w:color w:val="000000" w:themeColor="text1"/>
          <w:sz w:val="22"/>
          <w:szCs w:val="22"/>
        </w:rPr>
      </w:pPr>
      <w:r w:rsidRPr="009B78DA">
        <w:rPr>
          <w:rFonts w:ascii="Arial" w:hAnsi="Arial" w:cs="Arial"/>
          <w:color w:val="000000" w:themeColor="text1"/>
          <w:sz w:val="22"/>
          <w:szCs w:val="22"/>
        </w:rPr>
        <w:t>Higiena i bezpieczeństwo epidemiczne w zakresie transportu publicznego</w:t>
      </w:r>
      <w:bookmarkStart w:id="271" w:name="_Hlk75263302"/>
      <w:r w:rsidR="004E7EA9" w:rsidRPr="009B78DA">
        <w:rPr>
          <w:rFonts w:ascii="Arial" w:hAnsi="Arial" w:cs="Arial"/>
          <w:color w:val="000000" w:themeColor="text1"/>
          <w:sz w:val="22"/>
          <w:szCs w:val="22"/>
        </w:rPr>
        <w:t>.</w:t>
      </w:r>
    </w:p>
    <w:p w14:paraId="0E0324AF" w14:textId="30CA6A78" w:rsidR="001019FF" w:rsidRPr="009B78DA" w:rsidRDefault="001019FF" w:rsidP="00CB276D">
      <w:pPr>
        <w:spacing w:after="0" w:line="252" w:lineRule="auto"/>
        <w:jc w:val="both"/>
        <w:rPr>
          <w:rFonts w:ascii="Arial" w:hAnsi="Arial" w:cs="Arial"/>
          <w:color w:val="000000" w:themeColor="text1"/>
          <w:sz w:val="22"/>
          <w:szCs w:val="22"/>
        </w:rPr>
        <w:sectPr w:rsidR="001019FF" w:rsidRPr="009B78DA" w:rsidSect="00DB4A79">
          <w:pgSz w:w="11906" w:h="16838"/>
          <w:pgMar w:top="1417" w:right="1417" w:bottom="1417" w:left="1417" w:header="708" w:footer="708" w:gutter="0"/>
          <w:cols w:space="708"/>
          <w:docGrid w:linePitch="360"/>
        </w:sectPr>
      </w:pPr>
    </w:p>
    <w:p w14:paraId="547CF239" w14:textId="4BD1CC9E" w:rsidR="00FD7C64" w:rsidRPr="009B78DA" w:rsidRDefault="00E672FF" w:rsidP="00584B50">
      <w:pPr>
        <w:pStyle w:val="Nagwek2"/>
        <w:numPr>
          <w:ilvl w:val="0"/>
          <w:numId w:val="264"/>
        </w:numPr>
        <w:ind w:left="357" w:hanging="357"/>
        <w:rPr>
          <w:rFonts w:cs="Arial"/>
          <w:b w:val="0"/>
          <w:bCs/>
          <w:sz w:val="24"/>
          <w:szCs w:val="24"/>
        </w:rPr>
      </w:pPr>
      <w:bookmarkStart w:id="272" w:name="_Toc100335076"/>
      <w:bookmarkStart w:id="273" w:name="_Hlk76100356"/>
      <w:bookmarkStart w:id="274" w:name="_Toc146785802"/>
      <w:bookmarkEnd w:id="271"/>
      <w:r w:rsidRPr="009B78DA">
        <w:rPr>
          <w:rFonts w:cs="Arial"/>
          <w:bCs/>
          <w:sz w:val="24"/>
          <w:szCs w:val="24"/>
        </w:rPr>
        <w:t>Kierunki rozwoju w ramach celów podstawowych i horyzontalnych</w:t>
      </w:r>
      <w:bookmarkEnd w:id="272"/>
      <w:bookmarkEnd w:id="273"/>
      <w:bookmarkEnd w:id="274"/>
    </w:p>
    <w:p w14:paraId="7B4EEE07" w14:textId="7B5F7D4F" w:rsidR="004A7E99" w:rsidRPr="009B78DA" w:rsidRDefault="004A7E99" w:rsidP="004A7E99">
      <w:pPr>
        <w:pStyle w:val="Legenda"/>
        <w:keepNext/>
        <w:rPr>
          <w:rFonts w:ascii="Arial" w:hAnsi="Arial" w:cs="Arial"/>
          <w:i w:val="0"/>
          <w:color w:val="000000" w:themeColor="text1"/>
          <w:sz w:val="22"/>
          <w:szCs w:val="22"/>
        </w:rPr>
      </w:pPr>
      <w:bookmarkStart w:id="275" w:name="_Toc146785753"/>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Cele i kierunki rozwoju regionalnego systemu transportowego</w:t>
      </w:r>
      <w:bookmarkEnd w:id="275"/>
    </w:p>
    <w:tbl>
      <w:tblPr>
        <w:tblStyle w:val="Tabela-Siatka"/>
        <w:tblW w:w="5000" w:type="pct"/>
        <w:tblLook w:val="04A0" w:firstRow="1" w:lastRow="0" w:firstColumn="1" w:lastColumn="0" w:noHBand="0" w:noVBand="1"/>
        <w:tblCaption w:val="Tabela 23 Cele i kierunki rozwoju regionalnego systemu transportowego"/>
        <w:tblDescription w:val="Tabela zawiera Cele podstawowe/ Gałęzie transportu, Cel podstawowy 1.Dostępność zewnętrzna Zwiększenie dostępności zewnętrznej regionu (krajowej i zagranicznej) Kierunki podstawowe, Cel podstawowy 2. Transportowa spójność wewnętrzna Zwiększenie powiązań transportowych w regionie, w tym likwidowanie obszarów wykluczenia transportowego Kierunki podstawowe, Cel podstawowy 3. Integracja MOF Integracja wewnętrzna obszaru funkcjonalnego Rzeszowa i obszarów funkcjonalnych biegunów wzrostu Kierunki podstawowe&#10;"/>
      </w:tblPr>
      <w:tblGrid>
        <w:gridCol w:w="1776"/>
        <w:gridCol w:w="4376"/>
        <w:gridCol w:w="4949"/>
        <w:gridCol w:w="4287"/>
      </w:tblGrid>
      <w:tr w:rsidR="006F4FD2" w:rsidRPr="009B78DA" w14:paraId="706919F1" w14:textId="77777777" w:rsidTr="00584B50">
        <w:trPr>
          <w:tblHeader/>
        </w:trPr>
        <w:tc>
          <w:tcPr>
            <w:tcW w:w="577" w:type="pct"/>
            <w:shd w:val="clear" w:color="auto" w:fill="DEEAF6" w:themeFill="accent1" w:themeFillTint="33"/>
            <w:vAlign w:val="center"/>
          </w:tcPr>
          <w:p w14:paraId="1617F147" w14:textId="77777777" w:rsidR="00BB2181" w:rsidRPr="009B78DA" w:rsidRDefault="00BB2181" w:rsidP="00717315">
            <w:pPr>
              <w:spacing w:line="276" w:lineRule="auto"/>
              <w:rPr>
                <w:rFonts w:ascii="Arial" w:hAnsi="Arial" w:cs="Arial"/>
                <w:b/>
                <w:color w:val="000000" w:themeColor="text1"/>
                <w:sz w:val="22"/>
                <w:szCs w:val="22"/>
              </w:rPr>
            </w:pPr>
            <w:r w:rsidRPr="009B78DA">
              <w:rPr>
                <w:rFonts w:ascii="Arial" w:hAnsi="Arial" w:cs="Arial"/>
                <w:b/>
                <w:color w:val="000000" w:themeColor="text1"/>
                <w:sz w:val="22"/>
                <w:szCs w:val="22"/>
              </w:rPr>
              <w:t>Cele podstawowe/ Gałęzie transportu</w:t>
            </w:r>
          </w:p>
        </w:tc>
        <w:tc>
          <w:tcPr>
            <w:tcW w:w="1422" w:type="pct"/>
            <w:shd w:val="clear" w:color="auto" w:fill="DEEAF6" w:themeFill="accent1" w:themeFillTint="33"/>
            <w:vAlign w:val="center"/>
          </w:tcPr>
          <w:p w14:paraId="2F8FDFD9" w14:textId="77777777" w:rsidR="00BB2181" w:rsidRPr="009B78DA" w:rsidRDefault="00BB2181" w:rsidP="00717315">
            <w:pPr>
              <w:spacing w:after="12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Cel podstawowy 1.</w:t>
            </w:r>
            <w:r w:rsidRPr="009B78DA">
              <w:rPr>
                <w:rFonts w:ascii="Arial" w:hAnsi="Arial" w:cs="Arial"/>
                <w:b/>
                <w:color w:val="000000" w:themeColor="text1"/>
                <w:sz w:val="22"/>
                <w:szCs w:val="22"/>
              </w:rPr>
              <w:br/>
              <w:t>Dostępność zewnętrzna</w:t>
            </w:r>
          </w:p>
          <w:p w14:paraId="3D8B645E" w14:textId="25C9984A" w:rsidR="00BB2181" w:rsidRPr="009B78DA" w:rsidRDefault="00BB2181" w:rsidP="00717315">
            <w:pPr>
              <w:spacing w:after="120" w:line="276" w:lineRule="auto"/>
              <w:jc w:val="center"/>
              <w:rPr>
                <w:rFonts w:ascii="Arial" w:hAnsi="Arial" w:cs="Arial"/>
                <w:color w:val="000000" w:themeColor="text1"/>
                <w:sz w:val="20"/>
                <w:szCs w:val="20"/>
              </w:rPr>
            </w:pPr>
            <w:r w:rsidRPr="009B78DA">
              <w:rPr>
                <w:rFonts w:ascii="Arial" w:hAnsi="Arial" w:cs="Arial"/>
                <w:color w:val="000000" w:themeColor="text1"/>
                <w:sz w:val="20"/>
                <w:szCs w:val="20"/>
              </w:rPr>
              <w:t xml:space="preserve">Zwiększenie dostępności zewnętrznej regionu (krajowej i zagranicznej) wynikającej </w:t>
            </w:r>
            <w:r w:rsidR="00584B50">
              <w:rPr>
                <w:rFonts w:ascii="Arial" w:hAnsi="Arial" w:cs="Arial"/>
                <w:color w:val="000000" w:themeColor="text1"/>
                <w:sz w:val="20"/>
                <w:szCs w:val="20"/>
              </w:rPr>
              <w:br/>
            </w:r>
            <w:r w:rsidRPr="009B78DA">
              <w:rPr>
                <w:rFonts w:ascii="Arial" w:hAnsi="Arial" w:cs="Arial"/>
                <w:color w:val="000000" w:themeColor="text1"/>
                <w:sz w:val="20"/>
                <w:szCs w:val="20"/>
              </w:rPr>
              <w:t>z peryferyjnego położenia województwa</w:t>
            </w:r>
          </w:p>
        </w:tc>
        <w:tc>
          <w:tcPr>
            <w:tcW w:w="1608" w:type="pct"/>
            <w:shd w:val="clear" w:color="auto" w:fill="DEEAF6" w:themeFill="accent1" w:themeFillTint="33"/>
            <w:vAlign w:val="center"/>
          </w:tcPr>
          <w:p w14:paraId="27965081" w14:textId="77777777" w:rsidR="00BB2181" w:rsidRPr="009B78DA" w:rsidRDefault="00BB2181" w:rsidP="00717315">
            <w:pPr>
              <w:spacing w:after="12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Cel podstawowy 2.</w:t>
            </w:r>
            <w:r w:rsidRPr="009B78DA">
              <w:rPr>
                <w:rFonts w:ascii="Arial" w:hAnsi="Arial" w:cs="Arial"/>
                <w:b/>
                <w:color w:val="000000" w:themeColor="text1"/>
                <w:sz w:val="22"/>
                <w:szCs w:val="22"/>
              </w:rPr>
              <w:br/>
              <w:t>Transportowa spójność wewnętrzna</w:t>
            </w:r>
          </w:p>
          <w:p w14:paraId="4C9B1CFC" w14:textId="014C2C3E" w:rsidR="00BB2181" w:rsidRPr="009B78DA" w:rsidRDefault="00BB2181" w:rsidP="00717315">
            <w:pPr>
              <w:spacing w:after="120" w:line="276" w:lineRule="auto"/>
              <w:jc w:val="center"/>
              <w:rPr>
                <w:rFonts w:ascii="Arial" w:hAnsi="Arial" w:cs="Arial"/>
                <w:color w:val="000000" w:themeColor="text1"/>
                <w:sz w:val="20"/>
                <w:szCs w:val="20"/>
              </w:rPr>
            </w:pPr>
            <w:r w:rsidRPr="009B78DA">
              <w:rPr>
                <w:rFonts w:ascii="Arial" w:hAnsi="Arial" w:cs="Arial"/>
                <w:color w:val="000000" w:themeColor="text1"/>
                <w:sz w:val="20"/>
                <w:szCs w:val="20"/>
              </w:rPr>
              <w:t xml:space="preserve">Zwiększenie powiązań transportowych w regionie, </w:t>
            </w:r>
            <w:r w:rsidR="00584B50">
              <w:rPr>
                <w:rFonts w:ascii="Arial" w:hAnsi="Arial" w:cs="Arial"/>
                <w:color w:val="000000" w:themeColor="text1"/>
                <w:sz w:val="20"/>
                <w:szCs w:val="20"/>
              </w:rPr>
              <w:br/>
            </w:r>
            <w:r w:rsidRPr="009B78DA">
              <w:rPr>
                <w:rFonts w:ascii="Arial" w:hAnsi="Arial" w:cs="Arial"/>
                <w:color w:val="000000" w:themeColor="text1"/>
                <w:sz w:val="20"/>
                <w:szCs w:val="20"/>
              </w:rPr>
              <w:t>w tym likwidowanie obszarów wykluczenia transportowego spowodowanego niskim zaludnieniem,</w:t>
            </w:r>
            <w:r w:rsidR="00B32D1A">
              <w:rPr>
                <w:rFonts w:ascii="Arial" w:hAnsi="Arial" w:cs="Arial"/>
                <w:color w:val="000000" w:themeColor="text1"/>
                <w:sz w:val="20"/>
                <w:szCs w:val="20"/>
              </w:rPr>
              <w:t xml:space="preserve"> obszarami górzystymi, </w:t>
            </w:r>
            <w:r w:rsidRPr="009B78DA">
              <w:rPr>
                <w:rFonts w:ascii="Arial" w:hAnsi="Arial" w:cs="Arial"/>
                <w:color w:val="000000" w:themeColor="text1"/>
                <w:sz w:val="20"/>
                <w:szCs w:val="20"/>
              </w:rPr>
              <w:t xml:space="preserve">obszarami </w:t>
            </w:r>
            <w:r w:rsidR="00584B50">
              <w:rPr>
                <w:rFonts w:ascii="Arial" w:hAnsi="Arial" w:cs="Arial"/>
                <w:color w:val="000000" w:themeColor="text1"/>
                <w:sz w:val="20"/>
                <w:szCs w:val="20"/>
              </w:rPr>
              <w:br/>
            </w:r>
            <w:r w:rsidRPr="009B78DA">
              <w:rPr>
                <w:rFonts w:ascii="Arial" w:hAnsi="Arial" w:cs="Arial"/>
                <w:color w:val="000000" w:themeColor="text1"/>
                <w:sz w:val="20"/>
                <w:szCs w:val="20"/>
              </w:rPr>
              <w:t>o niskiej skali zatrudniania</w:t>
            </w:r>
          </w:p>
        </w:tc>
        <w:tc>
          <w:tcPr>
            <w:tcW w:w="1394" w:type="pct"/>
            <w:shd w:val="clear" w:color="auto" w:fill="DEEAF6" w:themeFill="accent1" w:themeFillTint="33"/>
            <w:vAlign w:val="center"/>
          </w:tcPr>
          <w:p w14:paraId="75B3CB42" w14:textId="77777777" w:rsidR="00BB2181" w:rsidRPr="009B78DA" w:rsidRDefault="00BB2181" w:rsidP="00717315">
            <w:pPr>
              <w:spacing w:after="12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Cel podstawowy 3.</w:t>
            </w:r>
            <w:r w:rsidRPr="009B78DA">
              <w:rPr>
                <w:rFonts w:ascii="Arial" w:hAnsi="Arial" w:cs="Arial"/>
                <w:b/>
                <w:color w:val="000000" w:themeColor="text1"/>
                <w:sz w:val="22"/>
                <w:szCs w:val="22"/>
              </w:rPr>
              <w:br/>
              <w:t>Integracja MOF</w:t>
            </w:r>
          </w:p>
          <w:p w14:paraId="0D898968" w14:textId="77777777" w:rsidR="00BB2181" w:rsidRPr="009B78DA" w:rsidRDefault="00BB2181" w:rsidP="00717315">
            <w:pPr>
              <w:spacing w:line="276" w:lineRule="auto"/>
              <w:ind w:left="-12"/>
              <w:jc w:val="center"/>
              <w:rPr>
                <w:rFonts w:ascii="Arial" w:hAnsi="Arial" w:cs="Arial"/>
                <w:color w:val="000000" w:themeColor="text1"/>
                <w:sz w:val="20"/>
                <w:szCs w:val="20"/>
              </w:rPr>
            </w:pPr>
            <w:r w:rsidRPr="009B78DA">
              <w:rPr>
                <w:rFonts w:ascii="Arial" w:hAnsi="Arial" w:cs="Arial"/>
                <w:color w:val="000000" w:themeColor="text1"/>
                <w:sz w:val="20"/>
                <w:szCs w:val="20"/>
              </w:rPr>
              <w:t>Integracja wewnętrzna Rzeszowskiego Obszaru Funkcjonalnego i miejskich obszarów funkcjonalnych biegunów wzrostu, uwzględniająca policentryczny układ województwa i umożliwiająca integrację głównych rynków pracy</w:t>
            </w:r>
          </w:p>
        </w:tc>
      </w:tr>
      <w:tr w:rsidR="006F4FD2" w:rsidRPr="009B78DA" w14:paraId="40E37F9A" w14:textId="77777777" w:rsidTr="00584B50">
        <w:tc>
          <w:tcPr>
            <w:tcW w:w="577" w:type="pct"/>
            <w:vAlign w:val="center"/>
          </w:tcPr>
          <w:p w14:paraId="0B15377A" w14:textId="77777777" w:rsidR="00BB2181" w:rsidRPr="009B78DA" w:rsidRDefault="00BB2181" w:rsidP="00717315">
            <w:pPr>
              <w:spacing w:line="276" w:lineRule="auto"/>
              <w:rPr>
                <w:rFonts w:ascii="Arial" w:hAnsi="Arial" w:cs="Arial"/>
                <w:b/>
                <w:color w:val="000000" w:themeColor="text1"/>
                <w:sz w:val="22"/>
                <w:szCs w:val="22"/>
              </w:rPr>
            </w:pPr>
            <w:r w:rsidRPr="009B78DA">
              <w:rPr>
                <w:rFonts w:ascii="Arial" w:hAnsi="Arial" w:cs="Arial"/>
                <w:b/>
                <w:color w:val="000000" w:themeColor="text1"/>
                <w:sz w:val="22"/>
                <w:szCs w:val="22"/>
              </w:rPr>
              <w:t>Drogowy</w:t>
            </w:r>
          </w:p>
        </w:tc>
        <w:tc>
          <w:tcPr>
            <w:tcW w:w="1422" w:type="pct"/>
            <w:vAlign w:val="center"/>
          </w:tcPr>
          <w:p w14:paraId="47FDFFCA" w14:textId="7CDDE2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Rozwój drogowej sieci transportowej </w:t>
            </w:r>
            <w:r w:rsidR="00B32D1A">
              <w:rPr>
                <w:rFonts w:ascii="Arial" w:hAnsi="Arial" w:cs="Arial"/>
                <w:color w:val="000000" w:themeColor="text1"/>
                <w:sz w:val="22"/>
                <w:szCs w:val="22"/>
              </w:rPr>
              <w:br/>
            </w:r>
            <w:r w:rsidRPr="009B78DA">
              <w:rPr>
                <w:rFonts w:ascii="Arial" w:hAnsi="Arial" w:cs="Arial"/>
                <w:color w:val="000000" w:themeColor="text1"/>
                <w:sz w:val="22"/>
                <w:szCs w:val="22"/>
              </w:rPr>
              <w:t xml:space="preserve">w wymiarze krajowym </w:t>
            </w:r>
            <w:r w:rsidR="00B32D1A">
              <w:rPr>
                <w:rFonts w:ascii="Arial" w:hAnsi="Arial" w:cs="Arial"/>
                <w:color w:val="000000" w:themeColor="text1"/>
                <w:sz w:val="22"/>
                <w:szCs w:val="22"/>
              </w:rPr>
              <w:br/>
            </w:r>
            <w:r w:rsidRPr="009B78DA">
              <w:rPr>
                <w:rFonts w:ascii="Arial" w:hAnsi="Arial" w:cs="Arial"/>
                <w:color w:val="000000" w:themeColor="text1"/>
                <w:sz w:val="22"/>
                <w:szCs w:val="22"/>
              </w:rPr>
              <w:t>i międzynarodowym w ramach sieci TEN-T (autostrady i drogi ekspresowe)</w:t>
            </w:r>
          </w:p>
          <w:p w14:paraId="764AB242" w14:textId="79BA65AD"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bookmarkStart w:id="276" w:name="_Hlk76100390"/>
            <w:r w:rsidRPr="009B78DA">
              <w:rPr>
                <w:rFonts w:ascii="Arial" w:hAnsi="Arial" w:cs="Arial"/>
                <w:color w:val="000000" w:themeColor="text1"/>
                <w:sz w:val="22"/>
                <w:szCs w:val="22"/>
              </w:rPr>
              <w:t xml:space="preserve">Rozwój dróg krajowych (w tym 9; 73 </w:t>
            </w:r>
            <w:r w:rsidR="00B32D1A">
              <w:rPr>
                <w:rFonts w:ascii="Arial" w:hAnsi="Arial" w:cs="Arial"/>
                <w:color w:val="000000" w:themeColor="text1"/>
                <w:sz w:val="22"/>
                <w:szCs w:val="22"/>
              </w:rPr>
              <w:br/>
            </w:r>
            <w:r w:rsidRPr="009B78DA">
              <w:rPr>
                <w:rFonts w:ascii="Arial" w:hAnsi="Arial" w:cs="Arial"/>
                <w:color w:val="000000" w:themeColor="text1"/>
                <w:sz w:val="22"/>
                <w:szCs w:val="22"/>
              </w:rPr>
              <w:t>i 28 o parametrach dróg ekspresowyc</w:t>
            </w:r>
            <w:r w:rsidR="00B32D1A">
              <w:rPr>
                <w:rFonts w:ascii="Arial" w:hAnsi="Arial" w:cs="Arial"/>
                <w:color w:val="000000" w:themeColor="text1"/>
                <w:sz w:val="22"/>
                <w:szCs w:val="22"/>
              </w:rPr>
              <w:t>h)</w:t>
            </w:r>
          </w:p>
          <w:bookmarkEnd w:id="276"/>
          <w:p w14:paraId="2AA591ED" w14:textId="777777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Rozwój drogowej sieci transportowej wzmacniającej dostępność zewnętrzną poprzez przebudowę istniejących dróg krajowych, w tym powiązanie z siecią TEN-T (również na styku województw)</w:t>
            </w:r>
          </w:p>
          <w:p w14:paraId="2CDC05FE" w14:textId="777777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Rozwój komunikacyjnych powiązań łączących Rzeszów najkrótszym przebiegiem ze stolicą kraju oraz innymi krajowymi ośrodkami wzrostu (w tym regionami Polski Wschodniej) </w:t>
            </w:r>
          </w:p>
          <w:p w14:paraId="0FDEB366" w14:textId="777777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Pełniejsze włączenie autostrad i dróg ekspresowych w system dróg w województwie poprzez dodatkowe łączniki z autostradami i drogami ekspresowymi.</w:t>
            </w:r>
          </w:p>
          <w:p w14:paraId="6D950686" w14:textId="777777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Usprawnienie systemu drogowego województwa poprzez rozbudowę istniejących i budowę nowych odcinków dróg krajowych łączących bieguny wzrostu (w tym poprawę płynności i zwiększenie nośności dróg).</w:t>
            </w:r>
          </w:p>
          <w:p w14:paraId="092844E9" w14:textId="777777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Poprawa połączeń sieci dróg krajowych i samorządowych – tworzenie nowych korytarzy drogowych (w szczególności do węzłów autostrad i dróg ekspresowych) poprzez zoptymalizowaną kategoryzację istniejących ciągów dróg wojewódzkich i powiatowych oraz ich modernizację</w:t>
            </w:r>
          </w:p>
          <w:p w14:paraId="68E8466E" w14:textId="777777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Likwidacja barier rozwojowych poprzez budowę obwodnic na drogach krajowych.</w:t>
            </w:r>
          </w:p>
          <w:p w14:paraId="31E2D51C" w14:textId="777777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Likwidacja barier rozwojowych poprzez budowę i modernizację mostów na drogach krajowych.</w:t>
            </w:r>
          </w:p>
          <w:p w14:paraId="66166345" w14:textId="777777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Modernizacja systemu głównych drogowych, powiązań komunikacyjnych województwa podkarpackiego z sąsiadującymi województwami.</w:t>
            </w:r>
          </w:p>
          <w:p w14:paraId="03EB2E94" w14:textId="159DCCC6"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Poprawa dostępności drogowej do przejść granicznych oraz rozbudowa infrastruktury drogowej (parkingi </w:t>
            </w:r>
            <w:r w:rsidR="00B32D1A">
              <w:rPr>
                <w:rFonts w:ascii="Arial" w:hAnsi="Arial" w:cs="Arial"/>
                <w:color w:val="000000" w:themeColor="text1"/>
                <w:sz w:val="22"/>
                <w:szCs w:val="22"/>
              </w:rPr>
              <w:br/>
            </w:r>
            <w:r w:rsidRPr="009B78DA">
              <w:rPr>
                <w:rFonts w:ascii="Arial" w:hAnsi="Arial" w:cs="Arial"/>
                <w:color w:val="000000" w:themeColor="text1"/>
                <w:sz w:val="22"/>
                <w:szCs w:val="22"/>
              </w:rPr>
              <w:t>i zatoczki).</w:t>
            </w:r>
          </w:p>
          <w:p w14:paraId="70669571" w14:textId="777777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Budowa dróg poprzecznych łączących przejścia graniczne w celu zarządzania ruchem granicznym.</w:t>
            </w:r>
          </w:p>
          <w:p w14:paraId="2A7FFA4D" w14:textId="2DC4CC50"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Rozwój drogowej sieci transportowej </w:t>
            </w:r>
            <w:r w:rsidR="00B32D1A">
              <w:rPr>
                <w:rFonts w:ascii="Arial" w:hAnsi="Arial" w:cs="Arial"/>
                <w:color w:val="000000" w:themeColor="text1"/>
                <w:sz w:val="22"/>
                <w:szCs w:val="22"/>
              </w:rPr>
              <w:br/>
            </w:r>
            <w:r w:rsidRPr="009B78DA">
              <w:rPr>
                <w:rFonts w:ascii="Arial" w:hAnsi="Arial" w:cs="Arial"/>
                <w:color w:val="000000" w:themeColor="text1"/>
                <w:sz w:val="22"/>
                <w:szCs w:val="22"/>
              </w:rPr>
              <w:t>o charakterze militarnym.</w:t>
            </w:r>
          </w:p>
          <w:p w14:paraId="0AB22555" w14:textId="777777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Skomunikowane drogowe z węzłami kolejowymi (w tym powstałe w ramach CPK)</w:t>
            </w:r>
          </w:p>
          <w:p w14:paraId="6F4EDAAF" w14:textId="77777777" w:rsidR="00BB2181" w:rsidRPr="009B78DA" w:rsidRDefault="00BB2181" w:rsidP="00717315">
            <w:pPr>
              <w:pStyle w:val="Akapitzlist"/>
              <w:numPr>
                <w:ilvl w:val="0"/>
                <w:numId w:val="7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Dostosowanie nawierzchni dróg krajowych do parametrów nośności określonych przepisami prawa</w:t>
            </w:r>
          </w:p>
        </w:tc>
        <w:tc>
          <w:tcPr>
            <w:tcW w:w="1608" w:type="pct"/>
            <w:vAlign w:val="center"/>
          </w:tcPr>
          <w:p w14:paraId="3F285D3E" w14:textId="61FDB054" w:rsidR="00BB2181" w:rsidRPr="009B78DA" w:rsidRDefault="00BB2181" w:rsidP="00717315">
            <w:pPr>
              <w:pStyle w:val="Akapitzlist"/>
              <w:numPr>
                <w:ilvl w:val="0"/>
                <w:numId w:val="8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Usprawnienie systemu drogowego województwa poprzez rozbudowę istniejących i budowę nowych odcinków dróg wojewódzkich łączących bieguny wzrostu </w:t>
            </w:r>
            <w:r w:rsidR="00B32D1A">
              <w:rPr>
                <w:rFonts w:ascii="Arial" w:hAnsi="Arial" w:cs="Arial"/>
                <w:color w:val="000000" w:themeColor="text1"/>
                <w:sz w:val="22"/>
                <w:szCs w:val="22"/>
              </w:rPr>
              <w:br/>
            </w:r>
            <w:r w:rsidRPr="009B78DA">
              <w:rPr>
                <w:rFonts w:ascii="Arial" w:hAnsi="Arial" w:cs="Arial"/>
                <w:color w:val="000000" w:themeColor="text1"/>
                <w:sz w:val="22"/>
                <w:szCs w:val="22"/>
              </w:rPr>
              <w:t xml:space="preserve">(w tym poprawę płynności ruchu </w:t>
            </w:r>
            <w:r w:rsidR="00B32D1A">
              <w:rPr>
                <w:rFonts w:ascii="Arial" w:hAnsi="Arial" w:cs="Arial"/>
                <w:color w:val="000000" w:themeColor="text1"/>
                <w:sz w:val="22"/>
                <w:szCs w:val="22"/>
              </w:rPr>
              <w:br/>
            </w:r>
            <w:r w:rsidRPr="009B78DA">
              <w:rPr>
                <w:rFonts w:ascii="Arial" w:hAnsi="Arial" w:cs="Arial"/>
                <w:color w:val="000000" w:themeColor="text1"/>
                <w:sz w:val="22"/>
                <w:szCs w:val="22"/>
              </w:rPr>
              <w:t>i zwiększenie nośności dróg).</w:t>
            </w:r>
          </w:p>
          <w:p w14:paraId="0A8DDC22" w14:textId="77777777" w:rsidR="00BB2181" w:rsidRPr="009B78DA" w:rsidRDefault="00BB2181" w:rsidP="00717315">
            <w:pPr>
              <w:pStyle w:val="Akapitzlist"/>
              <w:numPr>
                <w:ilvl w:val="0"/>
                <w:numId w:val="8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Likwidacja barier rozwojowych poprzez budowę obwodnic (obwodnice usprawniające tranzyt).</w:t>
            </w:r>
          </w:p>
          <w:p w14:paraId="7F42B833" w14:textId="77777777" w:rsidR="00BB2181" w:rsidRPr="009B78DA" w:rsidRDefault="00BB2181" w:rsidP="00717315">
            <w:pPr>
              <w:pStyle w:val="Akapitzlist"/>
              <w:numPr>
                <w:ilvl w:val="0"/>
                <w:numId w:val="8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Likwidacja barier rozwojowych poprzez budowę i modernizację obiektów mostowych (w tym mostów na Wiśle, Sanie i ich głównych dopływach).</w:t>
            </w:r>
          </w:p>
          <w:p w14:paraId="3DA1710B" w14:textId="3EA28B79" w:rsidR="00BB2181" w:rsidRPr="009B78DA" w:rsidRDefault="00BB2181" w:rsidP="00717315">
            <w:pPr>
              <w:pStyle w:val="Akapitzlist"/>
              <w:numPr>
                <w:ilvl w:val="0"/>
                <w:numId w:val="81"/>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Zapewnienie odpowiednich standardów, </w:t>
            </w:r>
            <w:r w:rsidR="00717315">
              <w:rPr>
                <w:rFonts w:ascii="Arial" w:hAnsi="Arial" w:cs="Arial"/>
                <w:color w:val="000000" w:themeColor="text1"/>
                <w:sz w:val="22"/>
                <w:szCs w:val="22"/>
              </w:rPr>
              <w:br/>
            </w:r>
            <w:r w:rsidRPr="009B78DA">
              <w:rPr>
                <w:rFonts w:ascii="Arial" w:hAnsi="Arial" w:cs="Arial"/>
                <w:color w:val="000000" w:themeColor="text1"/>
                <w:sz w:val="22"/>
                <w:szCs w:val="22"/>
              </w:rPr>
              <w:t xml:space="preserve">w tym nośności obiektów mostowych </w:t>
            </w:r>
            <w:r w:rsidR="00717315">
              <w:rPr>
                <w:rFonts w:ascii="Arial" w:hAnsi="Arial" w:cs="Arial"/>
                <w:color w:val="000000" w:themeColor="text1"/>
                <w:sz w:val="22"/>
                <w:szCs w:val="22"/>
              </w:rPr>
              <w:br/>
            </w:r>
            <w:r w:rsidRPr="009B78DA">
              <w:rPr>
                <w:rFonts w:ascii="Arial" w:hAnsi="Arial" w:cs="Arial"/>
                <w:color w:val="000000" w:themeColor="text1"/>
                <w:sz w:val="22"/>
                <w:szCs w:val="22"/>
              </w:rPr>
              <w:t xml:space="preserve">w ciągach dróg wojewódzkich, </w:t>
            </w:r>
            <w:r w:rsidR="00717315">
              <w:rPr>
                <w:rFonts w:ascii="Arial" w:hAnsi="Arial" w:cs="Arial"/>
                <w:color w:val="000000" w:themeColor="text1"/>
                <w:sz w:val="22"/>
                <w:szCs w:val="22"/>
              </w:rPr>
              <w:br/>
            </w:r>
            <w:r w:rsidRPr="009B78DA">
              <w:rPr>
                <w:rFonts w:ascii="Arial" w:hAnsi="Arial" w:cs="Arial"/>
                <w:color w:val="000000" w:themeColor="text1"/>
                <w:sz w:val="22"/>
                <w:szCs w:val="22"/>
              </w:rPr>
              <w:t>w szczególności na obszarze Bieszczad (transport drewna).</w:t>
            </w:r>
          </w:p>
          <w:p w14:paraId="757A77DA" w14:textId="7CCD6D88" w:rsidR="00BB2181" w:rsidRPr="009B78DA" w:rsidRDefault="00BB2181" w:rsidP="00717315">
            <w:pPr>
              <w:pStyle w:val="Akapitzlist"/>
              <w:numPr>
                <w:ilvl w:val="0"/>
                <w:numId w:val="81"/>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Wzmocnienie kierunków diagonalnych poprzez </w:t>
            </w:r>
            <w:bookmarkStart w:id="277" w:name="_Hlk118801390"/>
            <w:r w:rsidRPr="009B78DA">
              <w:rPr>
                <w:rFonts w:ascii="Arial" w:hAnsi="Arial" w:cs="Arial"/>
                <w:color w:val="000000" w:themeColor="text1"/>
                <w:sz w:val="22"/>
                <w:szCs w:val="22"/>
              </w:rPr>
              <w:t>podnoszenie standardu dróg wojewódzkich i powiatowych na osiach północ-południe i wschód-zachód.</w:t>
            </w:r>
            <w:bookmarkEnd w:id="277"/>
          </w:p>
          <w:p w14:paraId="7654E39F" w14:textId="0626B92F" w:rsidR="00BB2181" w:rsidRPr="009B78DA" w:rsidRDefault="00BB2181" w:rsidP="00717315">
            <w:pPr>
              <w:pStyle w:val="Akapitzlist"/>
              <w:numPr>
                <w:ilvl w:val="0"/>
                <w:numId w:val="81"/>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Skrócenie czasu dojazdu między Rzeszowem a miastami powiatowymi,</w:t>
            </w:r>
          </w:p>
          <w:p w14:paraId="169AE9F6" w14:textId="738F01FA" w:rsidR="004023FC" w:rsidRPr="009B78DA" w:rsidRDefault="004023FC" w:rsidP="00717315">
            <w:pPr>
              <w:pStyle w:val="Akapitzlist"/>
              <w:numPr>
                <w:ilvl w:val="0"/>
                <w:numId w:val="81"/>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Wzmacnianie wydolności transportowej na kierunku potoków ruchu Dębica – Mielec – Stalowa Wola.</w:t>
            </w:r>
          </w:p>
          <w:p w14:paraId="31AD4DAA" w14:textId="77777777" w:rsidR="00BB2181" w:rsidRPr="009B78DA" w:rsidRDefault="00BB2181" w:rsidP="00717315">
            <w:pPr>
              <w:pStyle w:val="Akapitzlist"/>
              <w:numPr>
                <w:ilvl w:val="0"/>
                <w:numId w:val="81"/>
              </w:numPr>
              <w:spacing w:line="276" w:lineRule="auto"/>
              <w:rPr>
                <w:rFonts w:ascii="Arial" w:hAnsi="Arial" w:cs="Arial"/>
                <w:strike/>
                <w:color w:val="000000" w:themeColor="text1"/>
                <w:sz w:val="22"/>
                <w:szCs w:val="22"/>
              </w:rPr>
            </w:pPr>
            <w:r w:rsidRPr="009B78DA">
              <w:rPr>
                <w:rFonts w:ascii="Arial" w:hAnsi="Arial" w:cs="Arial"/>
                <w:color w:val="000000" w:themeColor="text1"/>
                <w:sz w:val="22"/>
                <w:szCs w:val="22"/>
              </w:rPr>
              <w:t>Poprawa dostępności transportowej dla obszarów o utrudnionym dostępie, w szczególności Bieszczady, Beskid Niski, Roztocze, Pogórze Dynowskie oraz Pogórze Przemyskie z uwzględnieniem poprawy infrastruktury komunikacyjnej.</w:t>
            </w:r>
          </w:p>
          <w:p w14:paraId="608932D2" w14:textId="3FCFAEEF" w:rsidR="00BB2181" w:rsidRPr="009B78DA" w:rsidRDefault="00BB2181" w:rsidP="00717315">
            <w:pPr>
              <w:pStyle w:val="Akapitzlist"/>
              <w:numPr>
                <w:ilvl w:val="0"/>
                <w:numId w:val="81"/>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Poprawa dostępności komunikacyjnej obszarów poza MOF (obszarów peryferyjnych) w wymiarze lokalnym, regionalnym, krajowym i transgranicznym, </w:t>
            </w:r>
            <w:r w:rsidR="00B32D1A">
              <w:rPr>
                <w:rFonts w:ascii="Arial" w:hAnsi="Arial" w:cs="Arial"/>
                <w:color w:val="000000" w:themeColor="text1"/>
                <w:sz w:val="22"/>
                <w:szCs w:val="22"/>
              </w:rPr>
              <w:br/>
            </w:r>
            <w:r w:rsidRPr="009B78DA">
              <w:rPr>
                <w:rFonts w:ascii="Arial" w:hAnsi="Arial" w:cs="Arial"/>
                <w:color w:val="000000" w:themeColor="text1"/>
                <w:sz w:val="22"/>
                <w:szCs w:val="22"/>
              </w:rPr>
              <w:t>w tym w relacji do najbliższego regionalnego bieguna wzrostu.</w:t>
            </w:r>
          </w:p>
          <w:p w14:paraId="0A6F87BF" w14:textId="3382033B" w:rsidR="00BB2181" w:rsidRPr="009B78DA" w:rsidRDefault="00BB2181" w:rsidP="00717315">
            <w:pPr>
              <w:pStyle w:val="Akapitzlist"/>
              <w:numPr>
                <w:ilvl w:val="0"/>
                <w:numId w:val="81"/>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Poprawa dostępności transportowej </w:t>
            </w:r>
            <w:r w:rsidR="00B32D1A">
              <w:rPr>
                <w:rFonts w:ascii="Arial" w:hAnsi="Arial" w:cs="Arial"/>
                <w:color w:val="000000" w:themeColor="text1"/>
                <w:sz w:val="22"/>
                <w:szCs w:val="22"/>
              </w:rPr>
              <w:br/>
            </w:r>
            <w:r w:rsidRPr="009B78DA">
              <w:rPr>
                <w:rFonts w:ascii="Arial" w:hAnsi="Arial" w:cs="Arial"/>
                <w:color w:val="000000" w:themeColor="text1"/>
                <w:sz w:val="22"/>
                <w:szCs w:val="22"/>
              </w:rPr>
              <w:t xml:space="preserve">i ekspozycji turystycznej terenów, miejsc </w:t>
            </w:r>
            <w:r w:rsidR="00B32D1A">
              <w:rPr>
                <w:rFonts w:ascii="Arial" w:hAnsi="Arial" w:cs="Arial"/>
                <w:color w:val="000000" w:themeColor="text1"/>
                <w:sz w:val="22"/>
                <w:szCs w:val="22"/>
              </w:rPr>
              <w:br/>
            </w:r>
            <w:r w:rsidRPr="009B78DA">
              <w:rPr>
                <w:rFonts w:ascii="Arial" w:hAnsi="Arial" w:cs="Arial"/>
                <w:color w:val="000000" w:themeColor="text1"/>
                <w:sz w:val="22"/>
                <w:szCs w:val="22"/>
              </w:rPr>
              <w:t>i obiektów reprezentujących unikatowe dziedzictwo przyrodnicze i kulturowe regionu.</w:t>
            </w:r>
          </w:p>
          <w:p w14:paraId="73B75B9D" w14:textId="77777777" w:rsidR="00BB2181" w:rsidRPr="009B78DA" w:rsidRDefault="00BB2181" w:rsidP="00717315">
            <w:pPr>
              <w:pStyle w:val="Akapitzlist"/>
              <w:numPr>
                <w:ilvl w:val="0"/>
                <w:numId w:val="81"/>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Rozwój infrastruktury drogowej, celem wzmocnienia spójności terytorialnej regionu z uwzględnieniem specyfiki obszarów podgórskich i górskich.</w:t>
            </w:r>
          </w:p>
          <w:p w14:paraId="5C427CD6" w14:textId="77777777" w:rsidR="00BB2181" w:rsidRPr="009B78DA" w:rsidRDefault="00BB2181" w:rsidP="00717315">
            <w:pPr>
              <w:pStyle w:val="Akapitzlist"/>
              <w:numPr>
                <w:ilvl w:val="0"/>
                <w:numId w:val="81"/>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Likwidacja wąskich gardeł dla transportu ciężkiego, które utrudniają działalność gospodarczą na terenach poza MOF (obszarów peryferyjnych).</w:t>
            </w:r>
          </w:p>
          <w:p w14:paraId="7DBBFFAC" w14:textId="4C300AF0" w:rsidR="00BB2181" w:rsidRPr="009B78DA" w:rsidRDefault="00BB2181" w:rsidP="00717315">
            <w:pPr>
              <w:pStyle w:val="Akapitzlist"/>
              <w:numPr>
                <w:ilvl w:val="0"/>
                <w:numId w:val="81"/>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Dostosowanie nawierzchni dróg wojewódzkich do parametrów nośności określonych przepisami prawa</w:t>
            </w:r>
          </w:p>
        </w:tc>
        <w:tc>
          <w:tcPr>
            <w:tcW w:w="1394" w:type="pct"/>
            <w:vAlign w:val="center"/>
          </w:tcPr>
          <w:p w14:paraId="304C52D6" w14:textId="77777777" w:rsidR="00BB2181" w:rsidRPr="009B78DA" w:rsidRDefault="00BB2181" w:rsidP="00717315">
            <w:pPr>
              <w:pStyle w:val="Akapitzlist"/>
              <w:numPr>
                <w:ilvl w:val="0"/>
                <w:numId w:val="8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Poprawa infrastruktury transportowej (drogowej) pozwalająca na większą integrację miejskich obszarów funkcjonalnych.</w:t>
            </w:r>
          </w:p>
          <w:p w14:paraId="7B129E33" w14:textId="54B0EC07" w:rsidR="00BB2181" w:rsidRPr="009B78DA" w:rsidRDefault="00BB2181" w:rsidP="00717315">
            <w:pPr>
              <w:pStyle w:val="Akapitzlist"/>
              <w:numPr>
                <w:ilvl w:val="0"/>
                <w:numId w:val="8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Zmniejszenie zatłoczenia dróg miejskich i dróg wlotowych/ wylotowych (wyprowadzenie ruchu </w:t>
            </w:r>
            <w:r w:rsidR="00B32D1A">
              <w:rPr>
                <w:rFonts w:ascii="Arial" w:hAnsi="Arial" w:cs="Arial"/>
                <w:color w:val="000000" w:themeColor="text1"/>
                <w:sz w:val="22"/>
                <w:szCs w:val="22"/>
              </w:rPr>
              <w:br/>
            </w:r>
            <w:r w:rsidRPr="009B78DA">
              <w:rPr>
                <w:rFonts w:ascii="Arial" w:hAnsi="Arial" w:cs="Arial"/>
                <w:color w:val="000000" w:themeColor="text1"/>
                <w:sz w:val="22"/>
                <w:szCs w:val="22"/>
              </w:rPr>
              <w:t>z centrum miast).</w:t>
            </w:r>
          </w:p>
          <w:p w14:paraId="144C0F27" w14:textId="77777777" w:rsidR="00BB2181" w:rsidRPr="009B78DA" w:rsidRDefault="00BB2181" w:rsidP="00717315">
            <w:pPr>
              <w:pStyle w:val="Akapitzlist"/>
              <w:numPr>
                <w:ilvl w:val="0"/>
                <w:numId w:val="8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Likwidacja barier rozwojowych poprzez budowę obwodnic biegunów wzrostu.</w:t>
            </w:r>
          </w:p>
          <w:p w14:paraId="44EE1220" w14:textId="765AF011" w:rsidR="00BB2181" w:rsidRPr="009B78DA" w:rsidRDefault="00BB2181" w:rsidP="00717315">
            <w:pPr>
              <w:pStyle w:val="Akapitzlist"/>
              <w:numPr>
                <w:ilvl w:val="0"/>
                <w:numId w:val="8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Tworzenie drogowej infrastruktury technicznej w tym infrastruktury zwiększającej płynność ruchu </w:t>
            </w:r>
            <w:r w:rsidR="00B32D1A">
              <w:rPr>
                <w:rFonts w:ascii="Arial" w:hAnsi="Arial" w:cs="Arial"/>
                <w:color w:val="000000" w:themeColor="text1"/>
                <w:sz w:val="22"/>
                <w:szCs w:val="22"/>
              </w:rPr>
              <w:br/>
              <w:t>i zwiększającej bezpieczeństwo.</w:t>
            </w:r>
          </w:p>
          <w:p w14:paraId="7C3A2FFC" w14:textId="77777777" w:rsidR="00BB2181" w:rsidRPr="009B78DA" w:rsidRDefault="00BB2181" w:rsidP="00717315">
            <w:pPr>
              <w:pStyle w:val="Akapitzlist"/>
              <w:numPr>
                <w:ilvl w:val="0"/>
                <w:numId w:val="8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Poprawa drogowego skomunikowania obszarów usługowo-produkcyjnych, inwestycyjnych i stref przemysłowych (w tym TSSE, Europark Mielec).</w:t>
            </w:r>
          </w:p>
          <w:p w14:paraId="725B3B07" w14:textId="0DCBFFE3" w:rsidR="00805576" w:rsidRPr="009B78DA" w:rsidRDefault="00BB2181" w:rsidP="00717315">
            <w:pPr>
              <w:pStyle w:val="Akapitzlist"/>
              <w:numPr>
                <w:ilvl w:val="0"/>
                <w:numId w:val="8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Pobudzanie procesów rozwojowych poprzez zapewnienie lepszej dostępności komunikacyjnej na zewnątrz, w tym rozwój infrastruktury drogowej łączącej się z węzłami sieci dróg szybkiego ruchu: Lubaczów, Strzyżów, Jasło, Brzozów, Leżajsk </w:t>
            </w:r>
            <w:r w:rsidR="00B32D1A">
              <w:rPr>
                <w:rFonts w:ascii="Arial" w:hAnsi="Arial" w:cs="Arial"/>
                <w:color w:val="000000" w:themeColor="text1"/>
                <w:sz w:val="22"/>
                <w:szCs w:val="22"/>
              </w:rPr>
              <w:br/>
            </w:r>
            <w:r w:rsidRPr="009B78DA">
              <w:rPr>
                <w:rFonts w:ascii="Arial" w:hAnsi="Arial" w:cs="Arial"/>
                <w:color w:val="000000" w:themeColor="text1"/>
                <w:sz w:val="22"/>
                <w:szCs w:val="22"/>
              </w:rPr>
              <w:t>i Mielec.</w:t>
            </w:r>
          </w:p>
          <w:p w14:paraId="5F4FD8FF" w14:textId="0AA7256E" w:rsidR="00BB2181" w:rsidRPr="009B78DA" w:rsidRDefault="00805576" w:rsidP="00717315">
            <w:pPr>
              <w:pStyle w:val="Akapitzlist"/>
              <w:numPr>
                <w:ilvl w:val="0"/>
                <w:numId w:val="8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Zastosowanie rozwiązań uwzględniających oczekiwany wzrost ruchu dojazdowego pracowniczego (dotyczy Rzeszowa, Krosna i Mielca).</w:t>
            </w:r>
          </w:p>
          <w:p w14:paraId="49539619" w14:textId="783128A4" w:rsidR="00805576" w:rsidRPr="009B78DA" w:rsidRDefault="00805576" w:rsidP="00717315">
            <w:pPr>
              <w:pStyle w:val="Akapitzlist"/>
              <w:numPr>
                <w:ilvl w:val="0"/>
                <w:numId w:val="8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Wdrożenie rozwiązań uwzględniających oczekiwany wzrost ruchu dojazdowego do usług (Przemyśl, Sanok).</w:t>
            </w:r>
          </w:p>
          <w:p w14:paraId="1544919F" w14:textId="77777777" w:rsidR="00BB2181" w:rsidRPr="009B78DA" w:rsidRDefault="00BB2181" w:rsidP="00717315">
            <w:pPr>
              <w:pStyle w:val="Akapitzlist"/>
              <w:numPr>
                <w:ilvl w:val="0"/>
                <w:numId w:val="82"/>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Poprawa drogowej dostępności komunikacyjnej MOF poprzez wzmacnianie ciągów komunikacyjnych:</w:t>
            </w:r>
          </w:p>
          <w:p w14:paraId="02933238" w14:textId="77777777" w:rsidR="00BB2181" w:rsidRPr="009B78DA" w:rsidRDefault="00BB2181" w:rsidP="00717315">
            <w:pPr>
              <w:pStyle w:val="Akapitzlist"/>
              <w:spacing w:line="276" w:lineRule="auto"/>
              <w:ind w:left="555" w:hanging="195"/>
              <w:rPr>
                <w:rFonts w:ascii="Arial" w:hAnsi="Arial" w:cs="Arial"/>
                <w:color w:val="000000" w:themeColor="text1"/>
                <w:sz w:val="22"/>
                <w:szCs w:val="22"/>
              </w:rPr>
            </w:pPr>
            <w:r w:rsidRPr="009B78DA">
              <w:rPr>
                <w:rFonts w:ascii="Arial" w:hAnsi="Arial" w:cs="Arial"/>
                <w:color w:val="000000" w:themeColor="text1"/>
                <w:sz w:val="22"/>
                <w:szCs w:val="22"/>
              </w:rPr>
              <w:t>- z MOF Krosno w kierunku MOF Sanok-Lesko oraz w kierunku MOF Jasło i Beskidu Niskiego</w:t>
            </w:r>
          </w:p>
          <w:p w14:paraId="63FA3D52" w14:textId="77777777" w:rsidR="00BB2181" w:rsidRPr="009B78DA" w:rsidRDefault="00BB2181" w:rsidP="00717315">
            <w:pPr>
              <w:pStyle w:val="Akapitzlist"/>
              <w:spacing w:line="276" w:lineRule="auto"/>
              <w:ind w:left="555" w:hanging="195"/>
              <w:rPr>
                <w:rFonts w:ascii="Arial" w:hAnsi="Arial" w:cs="Arial"/>
                <w:color w:val="000000" w:themeColor="text1"/>
                <w:sz w:val="22"/>
                <w:szCs w:val="22"/>
              </w:rPr>
            </w:pPr>
            <w:r w:rsidRPr="009B78DA">
              <w:rPr>
                <w:rFonts w:ascii="Arial" w:hAnsi="Arial" w:cs="Arial"/>
                <w:color w:val="000000" w:themeColor="text1"/>
                <w:sz w:val="22"/>
                <w:szCs w:val="22"/>
              </w:rPr>
              <w:t>- z MOF Przemyśl w kierunku Bieszczad</w:t>
            </w:r>
          </w:p>
          <w:p w14:paraId="120F6EBA" w14:textId="77777777" w:rsidR="00BB2181" w:rsidRPr="009B78DA" w:rsidRDefault="00BB2181" w:rsidP="00717315">
            <w:pPr>
              <w:pStyle w:val="Akapitzlist"/>
              <w:spacing w:line="276" w:lineRule="auto"/>
              <w:ind w:left="555" w:hanging="195"/>
              <w:rPr>
                <w:rFonts w:ascii="Arial" w:hAnsi="Arial" w:cs="Arial"/>
                <w:color w:val="000000" w:themeColor="text1"/>
                <w:sz w:val="22"/>
                <w:szCs w:val="22"/>
              </w:rPr>
            </w:pPr>
            <w:r w:rsidRPr="009B78DA">
              <w:rPr>
                <w:rFonts w:ascii="Arial" w:hAnsi="Arial" w:cs="Arial"/>
                <w:color w:val="000000" w:themeColor="text1"/>
                <w:sz w:val="22"/>
                <w:szCs w:val="22"/>
              </w:rPr>
              <w:t>- z MOF Dębica-Ropczyce w kierunku MOF Jasło</w:t>
            </w:r>
          </w:p>
          <w:p w14:paraId="75178A51" w14:textId="21E90B71" w:rsidR="00BB2181" w:rsidRPr="009B78DA" w:rsidRDefault="00BB2181" w:rsidP="00717315">
            <w:pPr>
              <w:pStyle w:val="Akapitzlist"/>
              <w:spacing w:line="276" w:lineRule="auto"/>
              <w:ind w:left="555" w:hanging="195"/>
              <w:rPr>
                <w:rFonts w:ascii="Arial" w:hAnsi="Arial" w:cs="Arial"/>
                <w:color w:val="000000" w:themeColor="text1"/>
                <w:sz w:val="22"/>
                <w:szCs w:val="22"/>
              </w:rPr>
            </w:pPr>
            <w:r w:rsidRPr="009B78DA">
              <w:rPr>
                <w:rFonts w:ascii="Arial" w:hAnsi="Arial" w:cs="Arial"/>
                <w:color w:val="000000" w:themeColor="text1"/>
                <w:sz w:val="22"/>
                <w:szCs w:val="22"/>
              </w:rPr>
              <w:t xml:space="preserve">- z MOF Jarosław-Przeworsk </w:t>
            </w:r>
            <w:r w:rsidR="00B32D1A">
              <w:rPr>
                <w:rFonts w:ascii="Arial" w:hAnsi="Arial" w:cs="Arial"/>
                <w:color w:val="000000" w:themeColor="text1"/>
                <w:sz w:val="22"/>
                <w:szCs w:val="22"/>
              </w:rPr>
              <w:br/>
            </w:r>
            <w:r w:rsidRPr="009B78DA">
              <w:rPr>
                <w:rFonts w:ascii="Arial" w:hAnsi="Arial" w:cs="Arial"/>
                <w:color w:val="000000" w:themeColor="text1"/>
                <w:sz w:val="22"/>
                <w:szCs w:val="22"/>
              </w:rPr>
              <w:t>w kierunku MOF Sanok-Lesko oraz w kierunku MOF Lubaczów.</w:t>
            </w:r>
          </w:p>
          <w:p w14:paraId="232240D6" w14:textId="5D7AC1D2" w:rsidR="00BB2181" w:rsidRPr="009B78DA" w:rsidRDefault="00BB2181" w:rsidP="00717315">
            <w:pPr>
              <w:pStyle w:val="Akapitzlist"/>
              <w:spacing w:line="276" w:lineRule="auto"/>
              <w:ind w:left="555" w:hanging="195"/>
              <w:rPr>
                <w:rFonts w:ascii="Arial" w:hAnsi="Arial" w:cs="Arial"/>
                <w:color w:val="000000" w:themeColor="text1"/>
                <w:sz w:val="22"/>
                <w:szCs w:val="22"/>
              </w:rPr>
            </w:pPr>
            <w:r w:rsidRPr="009B78DA">
              <w:rPr>
                <w:rFonts w:ascii="Arial" w:hAnsi="Arial" w:cs="Arial"/>
                <w:color w:val="000000" w:themeColor="text1"/>
                <w:sz w:val="22"/>
                <w:szCs w:val="22"/>
              </w:rPr>
              <w:t xml:space="preserve">- z MOF Jasła w kierunku południowym, północnym </w:t>
            </w:r>
            <w:r w:rsidR="00B32D1A">
              <w:rPr>
                <w:rFonts w:ascii="Arial" w:hAnsi="Arial" w:cs="Arial"/>
                <w:color w:val="000000" w:themeColor="text1"/>
                <w:sz w:val="22"/>
                <w:szCs w:val="22"/>
              </w:rPr>
              <w:br/>
            </w:r>
            <w:r w:rsidRPr="009B78DA">
              <w:rPr>
                <w:rFonts w:ascii="Arial" w:hAnsi="Arial" w:cs="Arial"/>
                <w:color w:val="000000" w:themeColor="text1"/>
                <w:sz w:val="22"/>
                <w:szCs w:val="22"/>
              </w:rPr>
              <w:t>(w kierunku autostrady) oraz zachodnim (Małopolska)</w:t>
            </w:r>
          </w:p>
          <w:p w14:paraId="741E0B82" w14:textId="695ED51E" w:rsidR="00BB2181" w:rsidRPr="009B78DA" w:rsidRDefault="00BB2181" w:rsidP="00717315">
            <w:pPr>
              <w:pStyle w:val="Akapitzlist"/>
              <w:spacing w:line="276" w:lineRule="auto"/>
              <w:ind w:left="555" w:hanging="195"/>
              <w:rPr>
                <w:rFonts w:ascii="Arial" w:hAnsi="Arial" w:cs="Arial"/>
                <w:color w:val="000000" w:themeColor="text1"/>
                <w:sz w:val="22"/>
                <w:szCs w:val="22"/>
              </w:rPr>
            </w:pPr>
            <w:r w:rsidRPr="009B78DA">
              <w:rPr>
                <w:rFonts w:ascii="Arial" w:hAnsi="Arial" w:cs="Arial"/>
                <w:color w:val="000000" w:themeColor="text1"/>
                <w:sz w:val="22"/>
                <w:szCs w:val="22"/>
              </w:rPr>
              <w:t xml:space="preserve">- z MOF Lubaczów w kierunku północnym (Zamość i Roztocze) </w:t>
            </w:r>
            <w:r w:rsidR="00B32D1A">
              <w:rPr>
                <w:rFonts w:ascii="Arial" w:hAnsi="Arial" w:cs="Arial"/>
                <w:color w:val="000000" w:themeColor="text1"/>
                <w:sz w:val="22"/>
                <w:szCs w:val="22"/>
              </w:rPr>
              <w:br/>
            </w:r>
            <w:r w:rsidRPr="009B78DA">
              <w:rPr>
                <w:rFonts w:ascii="Arial" w:hAnsi="Arial" w:cs="Arial"/>
                <w:color w:val="000000" w:themeColor="text1"/>
                <w:sz w:val="22"/>
                <w:szCs w:val="22"/>
              </w:rPr>
              <w:t>i południowym (autostrada A4)</w:t>
            </w:r>
          </w:p>
          <w:p w14:paraId="3FAC7C27" w14:textId="77777777" w:rsidR="00BB2181" w:rsidRPr="009B78DA" w:rsidRDefault="00BB2181" w:rsidP="00717315">
            <w:pPr>
              <w:pStyle w:val="Akapitzlist"/>
              <w:numPr>
                <w:ilvl w:val="0"/>
                <w:numId w:val="83"/>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Wzmacnianie procesu integracji rynków pracy grup i par MOF, w tym:</w:t>
            </w:r>
          </w:p>
          <w:p w14:paraId="5723BCCF" w14:textId="77777777" w:rsidR="00BB2181" w:rsidRPr="009B78DA" w:rsidRDefault="00BB2181" w:rsidP="00717315">
            <w:pPr>
              <w:pStyle w:val="Akapitzlist"/>
              <w:spacing w:line="276" w:lineRule="auto"/>
              <w:ind w:left="360"/>
              <w:rPr>
                <w:rFonts w:ascii="Arial" w:hAnsi="Arial" w:cs="Arial"/>
                <w:color w:val="000000" w:themeColor="text1"/>
                <w:sz w:val="22"/>
                <w:szCs w:val="22"/>
              </w:rPr>
            </w:pPr>
            <w:r w:rsidRPr="009B78DA">
              <w:rPr>
                <w:rFonts w:ascii="Arial" w:hAnsi="Arial" w:cs="Arial"/>
                <w:color w:val="000000" w:themeColor="text1"/>
                <w:sz w:val="22"/>
                <w:szCs w:val="22"/>
              </w:rPr>
              <w:t>-Rzeszowskiego Obszaru Funkcjonalnego, MOF Dębica-Ropczyce i MOF Jarosław-Przeworsk</w:t>
            </w:r>
          </w:p>
          <w:p w14:paraId="110F2679" w14:textId="77777777" w:rsidR="00BB2181" w:rsidRPr="009B78DA" w:rsidRDefault="00BB2181" w:rsidP="00717315">
            <w:pPr>
              <w:pStyle w:val="Akapitzlist"/>
              <w:spacing w:line="276" w:lineRule="auto"/>
              <w:ind w:left="360"/>
              <w:rPr>
                <w:rFonts w:ascii="Arial" w:hAnsi="Arial" w:cs="Arial"/>
                <w:color w:val="000000" w:themeColor="text1"/>
                <w:sz w:val="22"/>
                <w:szCs w:val="22"/>
              </w:rPr>
            </w:pPr>
            <w:r w:rsidRPr="009B78DA">
              <w:rPr>
                <w:rFonts w:ascii="Arial" w:hAnsi="Arial" w:cs="Arial"/>
                <w:color w:val="000000" w:themeColor="text1"/>
                <w:sz w:val="22"/>
                <w:szCs w:val="22"/>
              </w:rPr>
              <w:t>-MOF Dębica-Ropczyce i MOF Mielec</w:t>
            </w:r>
          </w:p>
          <w:p w14:paraId="0D439832" w14:textId="77777777" w:rsidR="00BB2181" w:rsidRPr="009B78DA" w:rsidRDefault="00BB2181" w:rsidP="00717315">
            <w:pPr>
              <w:pStyle w:val="Akapitzlist"/>
              <w:spacing w:line="276" w:lineRule="auto"/>
              <w:ind w:left="360"/>
              <w:rPr>
                <w:rFonts w:ascii="Arial" w:hAnsi="Arial" w:cs="Arial"/>
                <w:color w:val="000000" w:themeColor="text1"/>
                <w:sz w:val="22"/>
                <w:szCs w:val="22"/>
              </w:rPr>
            </w:pPr>
            <w:r w:rsidRPr="009B78DA">
              <w:rPr>
                <w:rFonts w:ascii="Arial" w:hAnsi="Arial" w:cs="Arial"/>
                <w:color w:val="000000" w:themeColor="text1"/>
                <w:sz w:val="22"/>
                <w:szCs w:val="22"/>
              </w:rPr>
              <w:t>-MOF Tarnobrzeg i MOF Stalowa Wola (powiązania w ramach Czwórmiasta – Tarnobrzega, Sandomierza, Stalowej Woli i Niska)</w:t>
            </w:r>
          </w:p>
          <w:p w14:paraId="75327E64" w14:textId="02F9D3F6" w:rsidR="00BB2181" w:rsidRPr="009B78DA" w:rsidRDefault="00BB2181" w:rsidP="00717315">
            <w:pPr>
              <w:pStyle w:val="Akapitzlist"/>
              <w:spacing w:line="276" w:lineRule="auto"/>
              <w:ind w:left="360"/>
              <w:rPr>
                <w:rFonts w:ascii="Arial" w:hAnsi="Arial" w:cs="Arial"/>
                <w:color w:val="000000" w:themeColor="text1"/>
                <w:sz w:val="22"/>
                <w:szCs w:val="22"/>
              </w:rPr>
            </w:pPr>
            <w:r w:rsidRPr="009B78DA">
              <w:rPr>
                <w:rFonts w:ascii="Arial" w:hAnsi="Arial" w:cs="Arial"/>
                <w:color w:val="000000" w:themeColor="text1"/>
                <w:sz w:val="22"/>
                <w:szCs w:val="22"/>
              </w:rPr>
              <w:t>-MOF Prz</w:t>
            </w:r>
            <w:r w:rsidR="00B32D1A">
              <w:rPr>
                <w:rFonts w:ascii="Arial" w:hAnsi="Arial" w:cs="Arial"/>
                <w:color w:val="000000" w:themeColor="text1"/>
                <w:sz w:val="22"/>
                <w:szCs w:val="22"/>
              </w:rPr>
              <w:t>emyśl i MOF Jarosław-Przeworsk;</w:t>
            </w:r>
          </w:p>
          <w:p w14:paraId="2D27C66E" w14:textId="77777777" w:rsidR="00BB2181" w:rsidRPr="009B78DA" w:rsidRDefault="00BB2181" w:rsidP="00717315">
            <w:pPr>
              <w:pStyle w:val="Akapitzlist"/>
              <w:spacing w:line="276" w:lineRule="auto"/>
              <w:ind w:left="360"/>
              <w:rPr>
                <w:rFonts w:ascii="Arial" w:hAnsi="Arial" w:cs="Arial"/>
                <w:color w:val="000000" w:themeColor="text1"/>
                <w:sz w:val="22"/>
                <w:szCs w:val="22"/>
              </w:rPr>
            </w:pPr>
            <w:r w:rsidRPr="009B78DA">
              <w:rPr>
                <w:rFonts w:ascii="Arial" w:hAnsi="Arial" w:cs="Arial"/>
                <w:color w:val="000000" w:themeColor="text1"/>
                <w:sz w:val="22"/>
                <w:szCs w:val="22"/>
              </w:rPr>
              <w:t>-MOF Krosno i MOF Jasło</w:t>
            </w:r>
          </w:p>
          <w:p w14:paraId="69F4266D" w14:textId="77777777" w:rsidR="00BB2181" w:rsidRPr="009B78DA" w:rsidRDefault="00BB2181" w:rsidP="00717315">
            <w:pPr>
              <w:pStyle w:val="Akapitzlist"/>
              <w:spacing w:line="276" w:lineRule="auto"/>
              <w:ind w:left="360"/>
              <w:rPr>
                <w:rFonts w:ascii="Arial" w:hAnsi="Arial" w:cs="Arial"/>
                <w:color w:val="000000" w:themeColor="text1"/>
                <w:sz w:val="22"/>
                <w:szCs w:val="22"/>
              </w:rPr>
            </w:pPr>
            <w:r w:rsidRPr="009B78DA">
              <w:rPr>
                <w:rFonts w:ascii="Arial" w:hAnsi="Arial" w:cs="Arial"/>
                <w:color w:val="000000" w:themeColor="text1"/>
                <w:sz w:val="22"/>
                <w:szCs w:val="22"/>
              </w:rPr>
              <w:t>-MOF Jarosław-Przeworsk i MOF Lubaczów</w:t>
            </w:r>
          </w:p>
          <w:p w14:paraId="567313D7" w14:textId="77777777" w:rsidR="00BB2181" w:rsidRPr="009B78DA" w:rsidRDefault="00BB2181" w:rsidP="00717315">
            <w:pPr>
              <w:pStyle w:val="Akapitzlist"/>
              <w:spacing w:line="276" w:lineRule="auto"/>
              <w:ind w:left="360"/>
              <w:rPr>
                <w:rFonts w:ascii="Arial" w:hAnsi="Arial" w:cs="Arial"/>
                <w:color w:val="000000" w:themeColor="text1"/>
                <w:sz w:val="22"/>
                <w:szCs w:val="22"/>
              </w:rPr>
            </w:pPr>
            <w:r w:rsidRPr="009B78DA">
              <w:rPr>
                <w:rFonts w:ascii="Arial" w:hAnsi="Arial" w:cs="Arial"/>
                <w:color w:val="000000" w:themeColor="text1"/>
                <w:sz w:val="22"/>
                <w:szCs w:val="22"/>
              </w:rPr>
              <w:t>-MOF Przemyśl i MOF Lubaczów</w:t>
            </w:r>
          </w:p>
          <w:p w14:paraId="17CCFCB2" w14:textId="77777777" w:rsidR="00BB2181" w:rsidRPr="009B78DA" w:rsidRDefault="00BB2181" w:rsidP="00717315">
            <w:pPr>
              <w:pStyle w:val="Akapitzlist"/>
              <w:numPr>
                <w:ilvl w:val="0"/>
                <w:numId w:val="84"/>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Usprawnienie systemu drogowego Rzeszowa i ROF poprzez budowę, przebudowę i modernizację dróg wszystkich kategorii oraz budowę układu pierścieniowego dróg wokół Rzeszowa</w:t>
            </w:r>
          </w:p>
          <w:p w14:paraId="2E06E71F" w14:textId="01950310" w:rsidR="00BB2181" w:rsidRPr="009B78DA" w:rsidRDefault="00BB2181" w:rsidP="00717315">
            <w:pPr>
              <w:pStyle w:val="Akapitzlist"/>
              <w:numPr>
                <w:ilvl w:val="0"/>
                <w:numId w:val="84"/>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Poprawa skomunikowania stref przemysłowych, w szczególności zlokalizowanych na północy ROF-u</w:t>
            </w:r>
          </w:p>
          <w:p w14:paraId="219AB25D" w14:textId="01AB2A4F" w:rsidR="004F5705" w:rsidRPr="009B78DA" w:rsidRDefault="004F5705" w:rsidP="00717315">
            <w:pPr>
              <w:pStyle w:val="Akapitzlist"/>
              <w:numPr>
                <w:ilvl w:val="0"/>
                <w:numId w:val="84"/>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Wdrożenie rozwiązań pozwalających zapewnić dostępność transportową przy uwzględnieniu przewidywanego spadku dojazdów (głównie Lubaczów)</w:t>
            </w:r>
            <w:r w:rsidR="00427779" w:rsidRPr="009B78DA">
              <w:rPr>
                <w:rFonts w:ascii="Arial" w:hAnsi="Arial" w:cs="Arial"/>
                <w:color w:val="000000" w:themeColor="text1"/>
                <w:sz w:val="22"/>
                <w:szCs w:val="22"/>
              </w:rPr>
              <w:t xml:space="preserve"> </w:t>
            </w:r>
          </w:p>
          <w:p w14:paraId="59DD5B6A" w14:textId="77777777" w:rsidR="00BB2181" w:rsidRPr="009B78DA" w:rsidRDefault="00BB2181" w:rsidP="00717315">
            <w:pPr>
              <w:pStyle w:val="Akapitzlist"/>
              <w:numPr>
                <w:ilvl w:val="0"/>
                <w:numId w:val="84"/>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Rozwój funkcji logistycznej w ramach drogowego systemu transportowego dla poszczególnych MOF</w:t>
            </w:r>
          </w:p>
          <w:p w14:paraId="1C08D278" w14:textId="7CD13B2A" w:rsidR="00BB2181" w:rsidRPr="009B78DA" w:rsidRDefault="00BB2181" w:rsidP="00717315">
            <w:pPr>
              <w:pStyle w:val="Akapitzlist"/>
              <w:numPr>
                <w:ilvl w:val="0"/>
                <w:numId w:val="84"/>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Poprawa połączeń stref działalności gospodarczej poszczególnych MOF </w:t>
            </w:r>
            <w:r w:rsidR="00B32D1A">
              <w:rPr>
                <w:rFonts w:ascii="Arial" w:hAnsi="Arial" w:cs="Arial"/>
                <w:color w:val="000000" w:themeColor="text1"/>
                <w:sz w:val="22"/>
                <w:szCs w:val="22"/>
              </w:rPr>
              <w:br/>
            </w:r>
            <w:r w:rsidRPr="009B78DA">
              <w:rPr>
                <w:rFonts w:ascii="Arial" w:hAnsi="Arial" w:cs="Arial"/>
                <w:color w:val="000000" w:themeColor="text1"/>
                <w:sz w:val="22"/>
                <w:szCs w:val="22"/>
              </w:rPr>
              <w:t>z drogami szybkiego ruchu.</w:t>
            </w:r>
          </w:p>
          <w:p w14:paraId="3765365E" w14:textId="78D9AE84" w:rsidR="00BB2181" w:rsidRPr="009B78DA" w:rsidRDefault="00BB2181" w:rsidP="00717315">
            <w:pPr>
              <w:pStyle w:val="Akapitzlist"/>
              <w:numPr>
                <w:ilvl w:val="0"/>
                <w:numId w:val="84"/>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Wsparcie realizacji inwestycji drogowych obejmujące również kanały technologiczne i infrastrukturę teletechniczną</w:t>
            </w:r>
            <w:r w:rsidR="004F5705" w:rsidRPr="009B78DA">
              <w:rPr>
                <w:rFonts w:ascii="Arial" w:hAnsi="Arial" w:cs="Arial"/>
                <w:color w:val="000000" w:themeColor="text1"/>
                <w:sz w:val="22"/>
                <w:szCs w:val="22"/>
              </w:rPr>
              <w:t>.</w:t>
            </w:r>
          </w:p>
        </w:tc>
      </w:tr>
      <w:tr w:rsidR="006F4FD2" w:rsidRPr="009B78DA" w14:paraId="525CCC2F" w14:textId="77777777" w:rsidTr="00584B50">
        <w:tc>
          <w:tcPr>
            <w:tcW w:w="577" w:type="pct"/>
            <w:vAlign w:val="center"/>
          </w:tcPr>
          <w:p w14:paraId="72A30D69" w14:textId="77777777" w:rsidR="00BB2181" w:rsidRPr="009B78DA" w:rsidRDefault="00BB2181" w:rsidP="00717315">
            <w:pPr>
              <w:spacing w:line="276" w:lineRule="auto"/>
              <w:rPr>
                <w:rFonts w:ascii="Arial" w:hAnsi="Arial" w:cs="Arial"/>
                <w:b/>
                <w:color w:val="000000" w:themeColor="text1"/>
                <w:sz w:val="22"/>
                <w:szCs w:val="22"/>
              </w:rPr>
            </w:pPr>
            <w:r w:rsidRPr="009B78DA">
              <w:rPr>
                <w:rFonts w:ascii="Arial" w:hAnsi="Arial" w:cs="Arial"/>
                <w:b/>
                <w:color w:val="000000" w:themeColor="text1"/>
                <w:sz w:val="22"/>
                <w:szCs w:val="22"/>
              </w:rPr>
              <w:t>Kolejowy</w:t>
            </w:r>
          </w:p>
        </w:tc>
        <w:tc>
          <w:tcPr>
            <w:tcW w:w="1422" w:type="pct"/>
            <w:vAlign w:val="center"/>
          </w:tcPr>
          <w:p w14:paraId="74466682" w14:textId="1A31E8CB"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Budowa nowych linii kolejowych </w:t>
            </w:r>
            <w:r w:rsidR="00717315">
              <w:rPr>
                <w:rFonts w:ascii="Arial" w:hAnsi="Arial" w:cs="Arial"/>
                <w:color w:val="000000" w:themeColor="text1"/>
                <w:sz w:val="22"/>
                <w:szCs w:val="22"/>
              </w:rPr>
              <w:br/>
            </w:r>
            <w:r w:rsidRPr="009B78DA">
              <w:rPr>
                <w:rFonts w:ascii="Arial" w:hAnsi="Arial" w:cs="Arial"/>
                <w:color w:val="000000" w:themeColor="text1"/>
                <w:sz w:val="22"/>
                <w:szCs w:val="22"/>
              </w:rPr>
              <w:t>z podniesieniem dopuszczalnej prędkości, poprawiających dostępność komunikacyjną województwa do krajowych i zagranicznych ośrodków wzrostu.</w:t>
            </w:r>
          </w:p>
          <w:p w14:paraId="4BD782AF" w14:textId="5953494F"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Poprawa infrastruktury w celu połączenia kolejowego z Warszawą </w:t>
            </w:r>
            <w:r w:rsidR="00717315">
              <w:rPr>
                <w:rFonts w:ascii="Arial" w:hAnsi="Arial" w:cs="Arial"/>
                <w:color w:val="000000" w:themeColor="text1"/>
                <w:sz w:val="22"/>
                <w:szCs w:val="22"/>
              </w:rPr>
              <w:br/>
            </w:r>
            <w:r w:rsidRPr="009B78DA">
              <w:rPr>
                <w:rFonts w:ascii="Arial" w:hAnsi="Arial" w:cs="Arial"/>
                <w:color w:val="000000" w:themeColor="text1"/>
                <w:sz w:val="22"/>
                <w:szCs w:val="22"/>
              </w:rPr>
              <w:t>(w tym opracowanie mapy drogowej dla zwiększenia prędkości połączenia z Warszawą</w:t>
            </w:r>
            <w:r w:rsidR="00DF6BDF" w:rsidRPr="009B78DA">
              <w:rPr>
                <w:rFonts w:ascii="Arial" w:hAnsi="Arial" w:cs="Arial"/>
                <w:color w:val="000000" w:themeColor="text1"/>
                <w:sz w:val="22"/>
                <w:szCs w:val="22"/>
              </w:rPr>
              <w:t>)</w:t>
            </w:r>
            <w:r w:rsidR="00717315">
              <w:rPr>
                <w:rFonts w:ascii="Arial" w:hAnsi="Arial" w:cs="Arial"/>
                <w:color w:val="000000" w:themeColor="text1"/>
                <w:sz w:val="22"/>
                <w:szCs w:val="22"/>
              </w:rPr>
              <w:t>.</w:t>
            </w:r>
          </w:p>
          <w:p w14:paraId="25BD5E59" w14:textId="55498F3D"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Budowa sieci kolejowej związanej </w:t>
            </w:r>
            <w:r w:rsidR="00717315">
              <w:rPr>
                <w:rFonts w:ascii="Arial" w:hAnsi="Arial" w:cs="Arial"/>
                <w:color w:val="000000" w:themeColor="text1"/>
                <w:sz w:val="22"/>
                <w:szCs w:val="22"/>
              </w:rPr>
              <w:br/>
            </w:r>
            <w:r w:rsidRPr="009B78DA">
              <w:rPr>
                <w:rFonts w:ascii="Arial" w:hAnsi="Arial" w:cs="Arial"/>
                <w:color w:val="000000" w:themeColor="text1"/>
                <w:sz w:val="22"/>
                <w:szCs w:val="22"/>
              </w:rPr>
              <w:t>z organizacją Centralnego Portu Komunikacyjnego (tzw. szprycha 6).</w:t>
            </w:r>
          </w:p>
          <w:p w14:paraId="6CD94FF3" w14:textId="77777777"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Współpraca z samorządami świętokrzyskim i mazowieckim w celu rezerwacji terenów pod przyszłą geometrię linii 71, 25, 68.</w:t>
            </w:r>
          </w:p>
          <w:p w14:paraId="67DD1263" w14:textId="77777777"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Dostosowanie infrastruktury i sieci kolejowej do pełnego wdrożenia systemu ETCS (poziom 2).</w:t>
            </w:r>
          </w:p>
          <w:p w14:paraId="27175C93" w14:textId="77777777"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Połączenie kolejowe do Portu Lotniczego „Rzeszów-Jasionka”.</w:t>
            </w:r>
          </w:p>
          <w:p w14:paraId="46472980" w14:textId="77777777"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Modernizacja linii kolejowych umożliwiających reaktywacje połączeń transgranicznych ze Słowacją (linią nr 107) i oraz utworzenie kolejowych przejść granicznych z Ukrainą (linią nr 108) (w tym w ramach Karpackiej Kolei Euroregionalnej).</w:t>
            </w:r>
          </w:p>
          <w:p w14:paraId="330FF2E3" w14:textId="27F96BCC"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Skomunikowanie Rzeszowa </w:t>
            </w:r>
            <w:r w:rsidR="0076455A">
              <w:rPr>
                <w:rFonts w:ascii="Arial" w:hAnsi="Arial" w:cs="Arial"/>
                <w:color w:val="000000" w:themeColor="text1"/>
                <w:sz w:val="22"/>
                <w:szCs w:val="22"/>
              </w:rPr>
              <w:br/>
            </w:r>
            <w:r w:rsidRPr="009B78DA">
              <w:rPr>
                <w:rFonts w:ascii="Arial" w:hAnsi="Arial" w:cs="Arial"/>
                <w:color w:val="000000" w:themeColor="text1"/>
                <w:sz w:val="22"/>
                <w:szCs w:val="22"/>
              </w:rPr>
              <w:t>z południową Europą (Karpacka Kolej Euroregionalna)</w:t>
            </w:r>
          </w:p>
          <w:p w14:paraId="05E5AAB6" w14:textId="6BD1DBB6"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Skomunikowanie Rzeszowa </w:t>
            </w:r>
            <w:r w:rsidR="00717315">
              <w:rPr>
                <w:rFonts w:ascii="Arial" w:hAnsi="Arial" w:cs="Arial"/>
                <w:color w:val="000000" w:themeColor="text1"/>
                <w:sz w:val="22"/>
                <w:szCs w:val="22"/>
              </w:rPr>
              <w:br/>
            </w:r>
            <w:r w:rsidRPr="009B78DA">
              <w:rPr>
                <w:rFonts w:ascii="Arial" w:hAnsi="Arial" w:cs="Arial"/>
                <w:color w:val="000000" w:themeColor="text1"/>
                <w:sz w:val="22"/>
                <w:szCs w:val="22"/>
              </w:rPr>
              <w:t>z regionami Polski Wschodniej poprzez wydajne powiązanie kolejowe wzdłuż granicy wschodniej (m.in. przez Wschodnią Magistralę Kolejową.</w:t>
            </w:r>
          </w:p>
          <w:p w14:paraId="56D2BD17" w14:textId="17E19050"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Poprawa dostępności do kolei </w:t>
            </w:r>
            <w:r w:rsidR="00717315">
              <w:rPr>
                <w:rFonts w:ascii="Arial" w:hAnsi="Arial" w:cs="Arial"/>
                <w:color w:val="000000" w:themeColor="text1"/>
                <w:sz w:val="22"/>
                <w:szCs w:val="22"/>
              </w:rPr>
              <w:br/>
            </w:r>
            <w:r w:rsidRPr="009B78DA">
              <w:rPr>
                <w:rFonts w:ascii="Arial" w:hAnsi="Arial" w:cs="Arial"/>
                <w:color w:val="000000" w:themeColor="text1"/>
                <w:sz w:val="22"/>
                <w:szCs w:val="22"/>
              </w:rPr>
              <w:t>w układzie Rzeszów – granica państwa z Ukrainą.</w:t>
            </w:r>
          </w:p>
          <w:p w14:paraId="6DAD054D" w14:textId="77777777"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Przebudowa oraz budowa nowych obiektów dworcowych oraz przystanków (wraz z przygotowaniem infrastruktury typu P&amp;R, B&amp;R oraz K&amp;R).</w:t>
            </w:r>
          </w:p>
          <w:p w14:paraId="21B15508" w14:textId="77777777"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Poprawa stanu technicznego oraz rozbudowa istniejącej infrastruktury kolejowej o znaczeniu ponadregionalnym (w tym modernizacja torowisk, łączniki, podwójne torowiska w celu separacji ruchu, elektryfikacja linii).</w:t>
            </w:r>
          </w:p>
          <w:p w14:paraId="2B17E9B3" w14:textId="77777777" w:rsidR="00BB2181" w:rsidRPr="009B78DA" w:rsidRDefault="00BB2181" w:rsidP="00717315">
            <w:pPr>
              <w:pStyle w:val="Akapitzlist"/>
              <w:numPr>
                <w:ilvl w:val="0"/>
                <w:numId w:val="8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Poprawa infrastruktury dla ruchu towarowego ponadregionalnego.</w:t>
            </w:r>
          </w:p>
        </w:tc>
        <w:tc>
          <w:tcPr>
            <w:tcW w:w="1608" w:type="pct"/>
            <w:vAlign w:val="center"/>
          </w:tcPr>
          <w:p w14:paraId="4F6D510B" w14:textId="77777777" w:rsidR="00BB2181" w:rsidRPr="009B78DA" w:rsidRDefault="00BB2181" w:rsidP="00717315">
            <w:pPr>
              <w:pStyle w:val="Akapitzlist"/>
              <w:numPr>
                <w:ilvl w:val="0"/>
                <w:numId w:val="8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Wykorzystanie w większym stopniu sieci kolejowej w komunikacji wewnątrzregionalnej poprzez usprawnienie połączeń z Rzeszowem oraz pomiędzy miastami województwa, w tym rozwój Podmiejskiej Kolei Aglomeracyjnej (połączenie kolejowe do Portu Lotniczego „Rzeszów-Jasionka” oraz połączenia o zasięgu oddziaływania PKA na kierunkach Kolbuszowa, Strzyżów, Dębica, Przeworsk).</w:t>
            </w:r>
          </w:p>
          <w:p w14:paraId="2FCAE4BF" w14:textId="77777777" w:rsidR="00BB2181" w:rsidRPr="009B78DA" w:rsidRDefault="00BB2181" w:rsidP="00717315">
            <w:pPr>
              <w:pStyle w:val="Akapitzlist"/>
              <w:numPr>
                <w:ilvl w:val="0"/>
                <w:numId w:val="8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Budowa nowych linii kolejowych (np. linii relacji Jasło – Dębica, Przemyśl – Zagórz,) oraz łącznic (w tym łącznicy Jedlicze – Szebnie).</w:t>
            </w:r>
          </w:p>
          <w:p w14:paraId="15B62D62" w14:textId="77777777" w:rsidR="00BB2181" w:rsidRPr="009B78DA" w:rsidRDefault="00BB2181" w:rsidP="00717315">
            <w:pPr>
              <w:pStyle w:val="Akapitzlist"/>
              <w:numPr>
                <w:ilvl w:val="0"/>
                <w:numId w:val="8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Modernizacja linii kolejowych nr 107, 108, 79, 101, 25 i linii do Woli Baranowskiej (linii LHS nr 65)  oraz poprawa dostępności do ich infrastruktury.</w:t>
            </w:r>
          </w:p>
          <w:p w14:paraId="08F7D2B6" w14:textId="77777777" w:rsidR="00BB2181" w:rsidRPr="009B78DA" w:rsidRDefault="00BB2181" w:rsidP="00717315">
            <w:pPr>
              <w:pStyle w:val="Akapitzlist"/>
              <w:numPr>
                <w:ilvl w:val="0"/>
                <w:numId w:val="8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Poprawa zewnętrznej i wewnętrznej spójności terytorialnej Bieszczad, Beskidu Niskiego i Roztocza oraz Pogórza Dynowskiego w wymiarze przestrzennym poprzez modernizację i rozbudowę infrastruktury kolejowej oraz infrastruktury uzupełniającej.</w:t>
            </w:r>
          </w:p>
          <w:p w14:paraId="265B35E2" w14:textId="4C8A3F6C" w:rsidR="00BB2181" w:rsidRPr="009B78DA" w:rsidRDefault="00BB2181" w:rsidP="00717315">
            <w:pPr>
              <w:pStyle w:val="Akapitzlist"/>
              <w:numPr>
                <w:ilvl w:val="0"/>
                <w:numId w:val="8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Poprawa dostępności komunikacyjnej obszarów poza MOF (obszarów peryferyjnych) w wymiarze lokalnym, regionalnym, krajowym i transgranicznym, </w:t>
            </w:r>
            <w:r w:rsidR="00717315">
              <w:rPr>
                <w:rFonts w:ascii="Arial" w:hAnsi="Arial" w:cs="Arial"/>
                <w:color w:val="000000" w:themeColor="text1"/>
                <w:sz w:val="22"/>
                <w:szCs w:val="22"/>
              </w:rPr>
              <w:br/>
            </w:r>
            <w:r w:rsidRPr="009B78DA">
              <w:rPr>
                <w:rFonts w:ascii="Arial" w:hAnsi="Arial" w:cs="Arial"/>
                <w:color w:val="000000" w:themeColor="text1"/>
                <w:sz w:val="22"/>
                <w:szCs w:val="22"/>
              </w:rPr>
              <w:t>w tym w relacji do najbliższego regionalnego bieguna wzrostu.</w:t>
            </w:r>
          </w:p>
          <w:p w14:paraId="142EE78F" w14:textId="77777777" w:rsidR="00BB2181" w:rsidRPr="009B78DA" w:rsidRDefault="00BB2181" w:rsidP="00717315">
            <w:pPr>
              <w:pStyle w:val="Akapitzlist"/>
              <w:numPr>
                <w:ilvl w:val="0"/>
                <w:numId w:val="8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Skrócenie czasu dojazdu między Rzeszowem a miastami powiatowymi, dzięki inwestycjom w infrastrukturę kolejową oraz na skutek zmian organizacyjnych (np. częstotliwość połączeń kolejowych).</w:t>
            </w:r>
          </w:p>
          <w:p w14:paraId="66762539" w14:textId="77777777" w:rsidR="00BB2181" w:rsidRPr="009B78DA" w:rsidRDefault="00BB2181" w:rsidP="00717315">
            <w:pPr>
              <w:pStyle w:val="Akapitzlist"/>
              <w:numPr>
                <w:ilvl w:val="0"/>
                <w:numId w:val="8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Poprawa stanu technicznego oraz rozbudowa istniejącej infrastruktury kolejowej o znaczeniu regionalnym (w tym modernizacja torowisk, łączniki, podwójne torowiska, elektryfikacja linii, mijanki).</w:t>
            </w:r>
          </w:p>
          <w:p w14:paraId="5D7EF876" w14:textId="77777777" w:rsidR="00BB2181" w:rsidRPr="009B78DA" w:rsidRDefault="00BB2181" w:rsidP="00717315">
            <w:pPr>
              <w:pStyle w:val="Akapitzlist"/>
              <w:numPr>
                <w:ilvl w:val="0"/>
                <w:numId w:val="86"/>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Zwiększenie funkcjonalności kolei poprzez doprowadzenie linii kolejowych do terenów inwestycyjnych.</w:t>
            </w:r>
          </w:p>
          <w:p w14:paraId="6B0EB143" w14:textId="77777777" w:rsidR="00BB2181" w:rsidRPr="009B78DA" w:rsidRDefault="00BB2181" w:rsidP="00717315">
            <w:pPr>
              <w:pStyle w:val="Akapitzlist"/>
              <w:numPr>
                <w:ilvl w:val="0"/>
                <w:numId w:val="86"/>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Poprawa infrastruktury dla ruchu towarowego regionalnego.</w:t>
            </w:r>
          </w:p>
          <w:p w14:paraId="2DB354D9" w14:textId="4E834854" w:rsidR="00BB2181" w:rsidRPr="009B78DA" w:rsidRDefault="00BB2181" w:rsidP="00717315">
            <w:pPr>
              <w:pStyle w:val="Akapitzlist"/>
              <w:numPr>
                <w:ilvl w:val="0"/>
                <w:numId w:val="86"/>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Poprawa dostępności transportowej </w:t>
            </w:r>
            <w:r w:rsidR="00717315">
              <w:rPr>
                <w:rFonts w:ascii="Arial" w:hAnsi="Arial" w:cs="Arial"/>
                <w:color w:val="000000" w:themeColor="text1"/>
                <w:sz w:val="22"/>
                <w:szCs w:val="22"/>
              </w:rPr>
              <w:br/>
            </w:r>
            <w:r w:rsidRPr="009B78DA">
              <w:rPr>
                <w:rFonts w:ascii="Arial" w:hAnsi="Arial" w:cs="Arial"/>
                <w:color w:val="000000" w:themeColor="text1"/>
                <w:sz w:val="22"/>
                <w:szCs w:val="22"/>
              </w:rPr>
              <w:t xml:space="preserve">i ekspozycji turystycznej terenów, miejsc </w:t>
            </w:r>
            <w:r w:rsidR="00717315">
              <w:rPr>
                <w:rFonts w:ascii="Arial" w:hAnsi="Arial" w:cs="Arial"/>
                <w:color w:val="000000" w:themeColor="text1"/>
                <w:sz w:val="22"/>
                <w:szCs w:val="22"/>
              </w:rPr>
              <w:br/>
            </w:r>
            <w:r w:rsidRPr="009B78DA">
              <w:rPr>
                <w:rFonts w:ascii="Arial" w:hAnsi="Arial" w:cs="Arial"/>
                <w:color w:val="000000" w:themeColor="text1"/>
                <w:sz w:val="22"/>
                <w:szCs w:val="22"/>
              </w:rPr>
              <w:t>i obiektów reprezentujących unikatowe dziedzictwo przyrodnicze i kulturowe regionu.</w:t>
            </w:r>
          </w:p>
        </w:tc>
        <w:tc>
          <w:tcPr>
            <w:tcW w:w="1394" w:type="pct"/>
            <w:vAlign w:val="center"/>
          </w:tcPr>
          <w:p w14:paraId="53CAC5E6" w14:textId="77777777"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Rozwój i integracja systemu transportowego wewnątrz MOF.</w:t>
            </w:r>
          </w:p>
          <w:p w14:paraId="2516E3D2" w14:textId="77777777"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Poprawa kolejowego skomunikowania z obszarami usługowo-produkcyjnymi oraz inwestycyjnymi.</w:t>
            </w:r>
          </w:p>
          <w:p w14:paraId="7A2EABE7" w14:textId="77777777"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Tworzenie kolejowej infrastruktury technicznej do zabezpieczenia szlaków komunikacyjnych.</w:t>
            </w:r>
          </w:p>
          <w:p w14:paraId="6B85BB18" w14:textId="77777777"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Poprawa kolejowej infrastruktury transportowej pozwalającej na większą integrację miejskich obszarów funkcjonalnych.</w:t>
            </w:r>
          </w:p>
          <w:p w14:paraId="0467836E" w14:textId="77777777"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Rozwój szybkiej kolei miejskiej – Podmiejskiej Kolei Aglomeracyjnej, obsługującej ROF wraz z budową linii kolejowej do Portu Lotniczego „Rzeszów-Jasionka”. </w:t>
            </w:r>
          </w:p>
          <w:p w14:paraId="1229C23E" w14:textId="6A48BD9B"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Rozwój kolejowych powiązań </w:t>
            </w:r>
            <w:r w:rsidR="00717315">
              <w:rPr>
                <w:rFonts w:ascii="Arial" w:hAnsi="Arial" w:cs="Arial"/>
                <w:color w:val="000000" w:themeColor="text1"/>
                <w:sz w:val="22"/>
                <w:szCs w:val="22"/>
              </w:rPr>
              <w:br/>
            </w:r>
            <w:r w:rsidRPr="009B78DA">
              <w:rPr>
                <w:rFonts w:ascii="Arial" w:hAnsi="Arial" w:cs="Arial"/>
                <w:color w:val="000000" w:themeColor="text1"/>
                <w:sz w:val="22"/>
                <w:szCs w:val="22"/>
              </w:rPr>
              <w:t xml:space="preserve">w ramach miast i poszczególnych obszarów funkcjonalnych (w tym przebudowa układów kolejowych </w:t>
            </w:r>
            <w:r w:rsidR="00717315">
              <w:rPr>
                <w:rFonts w:ascii="Arial" w:hAnsi="Arial" w:cs="Arial"/>
                <w:color w:val="000000" w:themeColor="text1"/>
                <w:sz w:val="22"/>
                <w:szCs w:val="22"/>
              </w:rPr>
              <w:br/>
            </w:r>
            <w:r w:rsidRPr="009B78DA">
              <w:rPr>
                <w:rFonts w:ascii="Arial" w:hAnsi="Arial" w:cs="Arial"/>
                <w:color w:val="000000" w:themeColor="text1"/>
                <w:sz w:val="22"/>
                <w:szCs w:val="22"/>
              </w:rPr>
              <w:t>w miastach)</w:t>
            </w:r>
          </w:p>
          <w:p w14:paraId="670D8F99" w14:textId="29D8F947"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Poprawa dostępności układów kolejowych Czwórmiasta (Tarnobrzeg, Stalowa Wola, Nisko </w:t>
            </w:r>
            <w:r w:rsidR="00717315">
              <w:rPr>
                <w:rFonts w:ascii="Arial" w:hAnsi="Arial" w:cs="Arial"/>
                <w:color w:val="000000" w:themeColor="text1"/>
                <w:sz w:val="22"/>
                <w:szCs w:val="22"/>
              </w:rPr>
              <w:br/>
            </w:r>
            <w:r w:rsidRPr="009B78DA">
              <w:rPr>
                <w:rFonts w:ascii="Arial" w:hAnsi="Arial" w:cs="Arial"/>
                <w:color w:val="000000" w:themeColor="text1"/>
                <w:sz w:val="22"/>
                <w:szCs w:val="22"/>
              </w:rPr>
              <w:t>i Sandomierz), Krosna, Sanoka-Leska-Zagórza do Rzeszowa.</w:t>
            </w:r>
          </w:p>
          <w:p w14:paraId="0E4AE0F0" w14:textId="4BDB1513"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Rozwój infrastruktury kolejowej </w:t>
            </w:r>
            <w:r w:rsidR="00717315">
              <w:rPr>
                <w:rFonts w:ascii="Arial" w:hAnsi="Arial" w:cs="Arial"/>
                <w:color w:val="000000" w:themeColor="text1"/>
                <w:sz w:val="22"/>
                <w:szCs w:val="22"/>
              </w:rPr>
              <w:br/>
            </w:r>
            <w:r w:rsidRPr="009B78DA">
              <w:rPr>
                <w:rFonts w:ascii="Arial" w:hAnsi="Arial" w:cs="Arial"/>
                <w:color w:val="000000" w:themeColor="text1"/>
                <w:sz w:val="22"/>
                <w:szCs w:val="22"/>
              </w:rPr>
              <w:t>w kierunku wschodnim i południowo-wschodnim od Przemyśla.</w:t>
            </w:r>
          </w:p>
          <w:p w14:paraId="69A4106E" w14:textId="77777777"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Rozwój i integracja połączeń kolejowych w ramach Czwórmiasta, powiązanie z siecią CPK.</w:t>
            </w:r>
          </w:p>
          <w:p w14:paraId="56174378" w14:textId="77777777"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Rozwój i integracja połączeń kolejowych z MOF Dębica-Ropczyce, Padew-Wola Baranowska.</w:t>
            </w:r>
          </w:p>
          <w:p w14:paraId="558447EE" w14:textId="77777777"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Budowa nowych przystanków na liniach kolejowych</w:t>
            </w:r>
          </w:p>
          <w:p w14:paraId="4EC86088" w14:textId="77777777" w:rsidR="00BB2181"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Rozwój funkcji logistycznej w ramach kolejowego systemu transportowego dla poszczególnych MOF</w:t>
            </w:r>
          </w:p>
          <w:p w14:paraId="6702257B" w14:textId="77777777" w:rsidR="005F64E2" w:rsidRPr="009B78DA" w:rsidRDefault="00BB2181"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Wsparcie realizacji inwestycji kolejowych obejmujące również kanały technologiczne i infrastrukturę teletechniczną</w:t>
            </w:r>
            <w:r w:rsidR="005F64E2" w:rsidRPr="009B78DA">
              <w:rPr>
                <w:color w:val="000000" w:themeColor="text1"/>
              </w:rPr>
              <w:t xml:space="preserve"> </w:t>
            </w:r>
          </w:p>
          <w:p w14:paraId="3EDB736B" w14:textId="6870CED6" w:rsidR="005F64E2" w:rsidRPr="009B78DA" w:rsidRDefault="005F64E2"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Zastosowanie rozwiązań uwzględniających oczekiwany wzrost ruchu dojazdowego pracowniczego (dotyczy Rzeszowa, Krosna).</w:t>
            </w:r>
          </w:p>
          <w:p w14:paraId="43B03B12" w14:textId="5AD6F888" w:rsidR="005F64E2" w:rsidRPr="009B78DA" w:rsidRDefault="005F64E2"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Wdrożenie rozwiązań uwzględniających oczekiwany wzrost ruchu dojazdowego do usług (Przemyśl, Sanok)</w:t>
            </w:r>
          </w:p>
          <w:p w14:paraId="782C30E5" w14:textId="44AD00CD" w:rsidR="00BB2181" w:rsidRPr="009B78DA" w:rsidRDefault="005F64E2" w:rsidP="00717315">
            <w:pPr>
              <w:pStyle w:val="Akapitzlist"/>
              <w:numPr>
                <w:ilvl w:val="0"/>
                <w:numId w:val="8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Wdrożenie rozwiązań pozwalających zapewnić dostępność transportową przy uwzględnieniu przewidywanego spadku dojazdów (głównie Lubaczów).</w:t>
            </w:r>
          </w:p>
        </w:tc>
      </w:tr>
      <w:tr w:rsidR="006F4FD2" w:rsidRPr="009B78DA" w14:paraId="7E0259F5" w14:textId="77777777" w:rsidTr="00584B50">
        <w:tc>
          <w:tcPr>
            <w:tcW w:w="577" w:type="pct"/>
            <w:vAlign w:val="center"/>
          </w:tcPr>
          <w:p w14:paraId="4D11FED1" w14:textId="77777777" w:rsidR="00BB2181" w:rsidRPr="009B78DA" w:rsidRDefault="00BB2181" w:rsidP="00717315">
            <w:pPr>
              <w:spacing w:line="276" w:lineRule="auto"/>
              <w:rPr>
                <w:rFonts w:ascii="Arial" w:hAnsi="Arial" w:cs="Arial"/>
                <w:b/>
                <w:color w:val="000000" w:themeColor="text1"/>
                <w:sz w:val="22"/>
                <w:szCs w:val="22"/>
              </w:rPr>
            </w:pPr>
            <w:r w:rsidRPr="009B78DA">
              <w:rPr>
                <w:rFonts w:ascii="Arial" w:hAnsi="Arial" w:cs="Arial"/>
                <w:b/>
                <w:color w:val="000000" w:themeColor="text1"/>
                <w:sz w:val="22"/>
                <w:szCs w:val="22"/>
              </w:rPr>
              <w:t>Lotniczy</w:t>
            </w:r>
          </w:p>
        </w:tc>
        <w:tc>
          <w:tcPr>
            <w:tcW w:w="1422" w:type="pct"/>
            <w:vAlign w:val="center"/>
          </w:tcPr>
          <w:p w14:paraId="4669664D" w14:textId="66777293" w:rsidR="00BB2181" w:rsidRPr="009B78DA" w:rsidRDefault="00BB2181" w:rsidP="00717315">
            <w:pPr>
              <w:pStyle w:val="Akapitzlist"/>
              <w:numPr>
                <w:ilvl w:val="0"/>
                <w:numId w:val="8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Wzrost krajowej i międzynarodowej rangi portu lotniczego Rzeszów-Jasionka dzięki zwiększeniu udziału </w:t>
            </w:r>
            <w:r w:rsidR="00717315">
              <w:rPr>
                <w:rFonts w:ascii="Arial" w:hAnsi="Arial" w:cs="Arial"/>
                <w:color w:val="000000" w:themeColor="text1"/>
                <w:sz w:val="22"/>
                <w:szCs w:val="22"/>
              </w:rPr>
              <w:br/>
            </w:r>
            <w:r w:rsidRPr="009B78DA">
              <w:rPr>
                <w:rFonts w:ascii="Arial" w:hAnsi="Arial" w:cs="Arial"/>
                <w:color w:val="000000" w:themeColor="text1"/>
                <w:sz w:val="22"/>
                <w:szCs w:val="22"/>
              </w:rPr>
              <w:t>w obsłudze ruchu osobowego oraz otwarciu nowych połączeń lotniczych krajowych i zagranicznych.</w:t>
            </w:r>
          </w:p>
          <w:p w14:paraId="548671A9" w14:textId="788CBDC3" w:rsidR="00BB2181" w:rsidRPr="009B78DA" w:rsidRDefault="00BB2181" w:rsidP="00717315">
            <w:pPr>
              <w:pStyle w:val="Akapitzlist"/>
              <w:numPr>
                <w:ilvl w:val="0"/>
                <w:numId w:val="8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Wzrost krajowej i międzynarodowej rangi portu lotniczego Rzeszów-Jasionka dzięki zwiększeniu udziału </w:t>
            </w:r>
            <w:r w:rsidR="00717315">
              <w:rPr>
                <w:rFonts w:ascii="Arial" w:hAnsi="Arial" w:cs="Arial"/>
                <w:color w:val="000000" w:themeColor="text1"/>
                <w:sz w:val="22"/>
                <w:szCs w:val="22"/>
              </w:rPr>
              <w:br/>
            </w:r>
            <w:r w:rsidRPr="009B78DA">
              <w:rPr>
                <w:rFonts w:ascii="Arial" w:hAnsi="Arial" w:cs="Arial"/>
                <w:color w:val="000000" w:themeColor="text1"/>
                <w:sz w:val="22"/>
                <w:szCs w:val="22"/>
              </w:rPr>
              <w:t>w obsłudze ruchu towarowego</w:t>
            </w:r>
          </w:p>
          <w:p w14:paraId="44C34A7E" w14:textId="77777777" w:rsidR="00BB2181" w:rsidRPr="009B78DA" w:rsidRDefault="00BB2181" w:rsidP="00717315">
            <w:pPr>
              <w:pStyle w:val="Akapitzlist"/>
              <w:numPr>
                <w:ilvl w:val="0"/>
                <w:numId w:val="8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Rozwój Portu Lotniczego „Rzeszów-Jasionka” poprzez realizacje inwestycji w infrastrukturę. </w:t>
            </w:r>
          </w:p>
          <w:p w14:paraId="130DA568" w14:textId="025F0D5B" w:rsidR="00BB2181" w:rsidRPr="009B78DA" w:rsidRDefault="00BB2181" w:rsidP="00717315">
            <w:pPr>
              <w:pStyle w:val="Akapitzlist"/>
              <w:numPr>
                <w:ilvl w:val="0"/>
                <w:numId w:val="8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Poprawa systemu komunikacji publicznej łączącej Port Lotniczy </w:t>
            </w:r>
            <w:r w:rsidR="00717315">
              <w:rPr>
                <w:rFonts w:ascii="Arial" w:hAnsi="Arial" w:cs="Arial"/>
                <w:color w:val="000000" w:themeColor="text1"/>
                <w:sz w:val="22"/>
                <w:szCs w:val="22"/>
              </w:rPr>
              <w:br/>
            </w:r>
            <w:r w:rsidRPr="009B78DA">
              <w:rPr>
                <w:rFonts w:ascii="Arial" w:hAnsi="Arial" w:cs="Arial"/>
                <w:color w:val="000000" w:themeColor="text1"/>
                <w:sz w:val="22"/>
                <w:szCs w:val="22"/>
              </w:rPr>
              <w:t>z centrum Rzeszowa dzięki uruchomieniu nowych dogodnych dla pasażerów połączeń.</w:t>
            </w:r>
          </w:p>
          <w:p w14:paraId="73FB8CC0" w14:textId="5234C996" w:rsidR="00BB2181" w:rsidRPr="00717315" w:rsidRDefault="00BB2181" w:rsidP="00717315">
            <w:pPr>
              <w:pStyle w:val="Akapitzlist"/>
              <w:numPr>
                <w:ilvl w:val="0"/>
                <w:numId w:val="88"/>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Integracja Portu Lotniczego Rzeszów-Jasionka z systemem transportu kolejowego poprzez budowę odgałęzienia linii kolejowej nr 71.</w:t>
            </w:r>
          </w:p>
        </w:tc>
        <w:tc>
          <w:tcPr>
            <w:tcW w:w="1608" w:type="pct"/>
            <w:vAlign w:val="center"/>
          </w:tcPr>
          <w:p w14:paraId="1453A541" w14:textId="77777777" w:rsidR="00BB2181" w:rsidRPr="009B78DA" w:rsidRDefault="00BB2181" w:rsidP="00717315">
            <w:pPr>
              <w:pStyle w:val="Akapitzlist"/>
              <w:numPr>
                <w:ilvl w:val="0"/>
                <w:numId w:val="89"/>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Wzmocnienie szans rozwojowych, dzięki modernizacji i rozbudowie lotnisk lokalnych w kierunku lotnictwa ogólnego, transportu pasażerskiego i towarowego, w tym:</w:t>
            </w:r>
          </w:p>
          <w:p w14:paraId="67F759B2" w14:textId="77777777" w:rsidR="00BB2181" w:rsidRPr="009B78DA" w:rsidRDefault="00BB2181" w:rsidP="00717315">
            <w:pPr>
              <w:pStyle w:val="Akapitzlist"/>
              <w:numPr>
                <w:ilvl w:val="0"/>
                <w:numId w:val="9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Mielec</w:t>
            </w:r>
          </w:p>
          <w:p w14:paraId="1738EC84" w14:textId="77777777" w:rsidR="00BB2181" w:rsidRPr="009B78DA" w:rsidRDefault="00BB2181" w:rsidP="00717315">
            <w:pPr>
              <w:pStyle w:val="Akapitzlist"/>
              <w:numPr>
                <w:ilvl w:val="0"/>
                <w:numId w:val="9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Krosno</w:t>
            </w:r>
          </w:p>
          <w:p w14:paraId="7DD6382D" w14:textId="77777777" w:rsidR="00BB2181" w:rsidRPr="009B78DA" w:rsidRDefault="00BB2181" w:rsidP="00717315">
            <w:pPr>
              <w:pStyle w:val="Akapitzlist"/>
              <w:numPr>
                <w:ilvl w:val="0"/>
                <w:numId w:val="9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Rzeszów (Ośrodek Kształcenia Lotniczego Politechniki Rzeszowskiej)</w:t>
            </w:r>
          </w:p>
          <w:p w14:paraId="1E360758" w14:textId="77777777" w:rsidR="00BB2181" w:rsidRPr="009B78DA" w:rsidRDefault="00BB2181" w:rsidP="00717315">
            <w:pPr>
              <w:pStyle w:val="Akapitzlist"/>
              <w:numPr>
                <w:ilvl w:val="0"/>
                <w:numId w:val="9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Turbia k/Stalowej Woli</w:t>
            </w:r>
          </w:p>
          <w:p w14:paraId="19C46B26" w14:textId="77777777" w:rsidR="00BB2181" w:rsidRPr="009B78DA" w:rsidRDefault="00BB2181" w:rsidP="00717315">
            <w:pPr>
              <w:pStyle w:val="Akapitzlist"/>
              <w:numPr>
                <w:ilvl w:val="0"/>
                <w:numId w:val="9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Sanok - Baza</w:t>
            </w:r>
          </w:p>
          <w:p w14:paraId="1F4F62C7" w14:textId="77777777" w:rsidR="00BB2181" w:rsidRPr="009B78DA" w:rsidRDefault="00BB2181" w:rsidP="00717315">
            <w:pPr>
              <w:pStyle w:val="Akapitzlist"/>
              <w:numPr>
                <w:ilvl w:val="0"/>
                <w:numId w:val="91"/>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Wzmocnienie szans rozwojowych, dzięki modernizacji i rozbudowie lądowisk lokalnych w kierunku funkcji sportowo-rekreacyjnej, w tym:</w:t>
            </w:r>
          </w:p>
          <w:p w14:paraId="438D3B31" w14:textId="77777777" w:rsidR="00BB2181" w:rsidRPr="009B78DA" w:rsidRDefault="00BB2181" w:rsidP="00717315">
            <w:pPr>
              <w:pStyle w:val="Akapitzlist"/>
              <w:numPr>
                <w:ilvl w:val="0"/>
                <w:numId w:val="92"/>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Bezmiechowa,</w:t>
            </w:r>
          </w:p>
          <w:p w14:paraId="1C24AAE8" w14:textId="77777777" w:rsidR="00BB2181" w:rsidRPr="009B78DA" w:rsidRDefault="00BB2181" w:rsidP="00717315">
            <w:pPr>
              <w:pStyle w:val="Akapitzlist"/>
              <w:numPr>
                <w:ilvl w:val="0"/>
                <w:numId w:val="92"/>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Laszki,</w:t>
            </w:r>
          </w:p>
          <w:p w14:paraId="45BD5388" w14:textId="77777777" w:rsidR="00BB2181" w:rsidRPr="009B78DA" w:rsidRDefault="00BB2181" w:rsidP="00717315">
            <w:pPr>
              <w:pStyle w:val="Akapitzlist"/>
              <w:numPr>
                <w:ilvl w:val="0"/>
                <w:numId w:val="92"/>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Arłamów,</w:t>
            </w:r>
          </w:p>
          <w:p w14:paraId="0B3A6CAA" w14:textId="77777777" w:rsidR="00BB2181" w:rsidRPr="009B78DA" w:rsidRDefault="00BB2181" w:rsidP="00717315">
            <w:pPr>
              <w:pStyle w:val="Akapitzlist"/>
              <w:numPr>
                <w:ilvl w:val="0"/>
                <w:numId w:val="92"/>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Stara Wieś,</w:t>
            </w:r>
          </w:p>
          <w:p w14:paraId="5B676A95" w14:textId="77777777" w:rsidR="00BB2181" w:rsidRPr="009B78DA" w:rsidRDefault="00BB2181" w:rsidP="00717315">
            <w:pPr>
              <w:pStyle w:val="Akapitzlist"/>
              <w:numPr>
                <w:ilvl w:val="0"/>
                <w:numId w:val="92"/>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Ikar Jasło,</w:t>
            </w:r>
          </w:p>
          <w:p w14:paraId="2970B224" w14:textId="77777777" w:rsidR="00BB2181" w:rsidRPr="009B78DA" w:rsidRDefault="00BB2181" w:rsidP="00717315">
            <w:pPr>
              <w:pStyle w:val="Akapitzlist"/>
              <w:numPr>
                <w:ilvl w:val="0"/>
                <w:numId w:val="92"/>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Dolina Ruchlinu Horodek,</w:t>
            </w:r>
          </w:p>
          <w:p w14:paraId="636EEB03" w14:textId="77777777" w:rsidR="00BB2181" w:rsidRPr="009B78DA" w:rsidRDefault="00BB2181" w:rsidP="00717315">
            <w:pPr>
              <w:pStyle w:val="Akapitzlist"/>
              <w:numPr>
                <w:ilvl w:val="0"/>
                <w:numId w:val="92"/>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Dolina Ruchlinu Żernica,</w:t>
            </w:r>
          </w:p>
          <w:p w14:paraId="313ACD6C" w14:textId="77777777" w:rsidR="00BB2181" w:rsidRPr="009B78DA" w:rsidRDefault="00BB2181" w:rsidP="00717315">
            <w:pPr>
              <w:pStyle w:val="Akapitzlist"/>
              <w:numPr>
                <w:ilvl w:val="0"/>
                <w:numId w:val="92"/>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Oleszyce,</w:t>
            </w:r>
          </w:p>
          <w:p w14:paraId="37E78153" w14:textId="77777777" w:rsidR="00BB2181" w:rsidRPr="009B78DA" w:rsidRDefault="00BB2181" w:rsidP="00717315">
            <w:pPr>
              <w:pStyle w:val="Akapitzlist"/>
              <w:numPr>
                <w:ilvl w:val="0"/>
                <w:numId w:val="92"/>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Górki Tuszów Narodowy,</w:t>
            </w:r>
          </w:p>
          <w:p w14:paraId="475925DE" w14:textId="77777777" w:rsidR="00BB2181" w:rsidRPr="009B78DA" w:rsidRDefault="00BB2181" w:rsidP="00717315">
            <w:pPr>
              <w:pStyle w:val="Akapitzlist"/>
              <w:numPr>
                <w:ilvl w:val="0"/>
                <w:numId w:val="93"/>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Wzmocnienie szans rozwojowych, dzięki modernizacji i rozbudowie lądowisk lokalnych w kierunku ratownictwa medycznego, w tym:</w:t>
            </w:r>
          </w:p>
          <w:p w14:paraId="420E91E3"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Przemyśl – Szpital,</w:t>
            </w:r>
          </w:p>
          <w:p w14:paraId="43FF7BF2"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Krosno – Szpital,</w:t>
            </w:r>
          </w:p>
          <w:p w14:paraId="3B42BB85"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Rzeszów – Szpital Wojewódzki,</w:t>
            </w:r>
          </w:p>
          <w:p w14:paraId="0A20B789"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Mielec – Szpital,</w:t>
            </w:r>
          </w:p>
          <w:p w14:paraId="242DAA8F"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Brzozów – Szpital,</w:t>
            </w:r>
          </w:p>
          <w:p w14:paraId="06F4F4BD"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Lesko – Szpital,</w:t>
            </w:r>
          </w:p>
          <w:p w14:paraId="7E5DA064"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Sanok – Szpital,</w:t>
            </w:r>
          </w:p>
          <w:p w14:paraId="68DF2332"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Lubaczów – Szpital,</w:t>
            </w:r>
          </w:p>
          <w:p w14:paraId="53563391"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Stalowa Wola – Szpital,</w:t>
            </w:r>
          </w:p>
          <w:p w14:paraId="2D052BED"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Jarosław – Szpital,</w:t>
            </w:r>
          </w:p>
          <w:p w14:paraId="3A72EC4E"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Leżajsk – Szpital,</w:t>
            </w:r>
          </w:p>
          <w:p w14:paraId="65E03191"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Dębica – Szpital</w:t>
            </w:r>
          </w:p>
          <w:p w14:paraId="64DA8195" w14:textId="77777777" w:rsidR="00BB2181" w:rsidRPr="009B78DA" w:rsidRDefault="00BB2181" w:rsidP="00717315">
            <w:pPr>
              <w:pStyle w:val="Akapitzlist"/>
              <w:numPr>
                <w:ilvl w:val="0"/>
                <w:numId w:val="94"/>
              </w:numPr>
              <w:spacing w:line="276" w:lineRule="auto"/>
              <w:ind w:hanging="357"/>
              <w:rPr>
                <w:rFonts w:ascii="Arial" w:hAnsi="Arial" w:cs="Arial"/>
                <w:color w:val="000000" w:themeColor="text1"/>
                <w:sz w:val="22"/>
                <w:szCs w:val="22"/>
              </w:rPr>
            </w:pPr>
            <w:r w:rsidRPr="009B78DA">
              <w:rPr>
                <w:rFonts w:ascii="Arial" w:hAnsi="Arial" w:cs="Arial"/>
                <w:color w:val="000000" w:themeColor="text1"/>
                <w:sz w:val="22"/>
                <w:szCs w:val="22"/>
              </w:rPr>
              <w:t>Ustrzyki – Szpital (do utworzenia)</w:t>
            </w:r>
          </w:p>
          <w:p w14:paraId="2DAA1F46" w14:textId="77777777" w:rsidR="00BB2181" w:rsidRPr="009B78DA" w:rsidRDefault="00BB2181" w:rsidP="00717315">
            <w:pPr>
              <w:pStyle w:val="Akapitzlist"/>
              <w:numPr>
                <w:ilvl w:val="0"/>
                <w:numId w:val="103"/>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Wzmocnienie bazy szkoleniowej na funkcjonujących w województwie lotniskach.</w:t>
            </w:r>
          </w:p>
        </w:tc>
        <w:tc>
          <w:tcPr>
            <w:tcW w:w="1394" w:type="pct"/>
            <w:vAlign w:val="center"/>
          </w:tcPr>
          <w:p w14:paraId="727E9AB7" w14:textId="77777777" w:rsidR="00BB2181" w:rsidRPr="009B78DA" w:rsidRDefault="00BB2181" w:rsidP="00717315">
            <w:pPr>
              <w:spacing w:line="276" w:lineRule="auto"/>
              <w:rPr>
                <w:rFonts w:ascii="Arial" w:hAnsi="Arial" w:cs="Arial"/>
                <w:color w:val="000000" w:themeColor="text1"/>
                <w:sz w:val="22"/>
                <w:szCs w:val="22"/>
              </w:rPr>
            </w:pPr>
          </w:p>
        </w:tc>
      </w:tr>
      <w:tr w:rsidR="00BB2181" w:rsidRPr="009B78DA" w14:paraId="1F70299E" w14:textId="77777777" w:rsidTr="00584B50">
        <w:tc>
          <w:tcPr>
            <w:tcW w:w="577" w:type="pct"/>
            <w:vAlign w:val="center"/>
          </w:tcPr>
          <w:p w14:paraId="3B421965" w14:textId="77777777" w:rsidR="00BB2181" w:rsidRPr="009B78DA" w:rsidRDefault="00BB2181" w:rsidP="00717315">
            <w:pPr>
              <w:spacing w:line="276" w:lineRule="auto"/>
              <w:rPr>
                <w:rFonts w:ascii="Arial" w:hAnsi="Arial" w:cs="Arial"/>
                <w:b/>
                <w:color w:val="000000" w:themeColor="text1"/>
                <w:sz w:val="22"/>
                <w:szCs w:val="22"/>
              </w:rPr>
            </w:pPr>
            <w:r w:rsidRPr="009B78DA">
              <w:rPr>
                <w:rFonts w:ascii="Arial" w:hAnsi="Arial" w:cs="Arial"/>
                <w:b/>
                <w:color w:val="000000" w:themeColor="text1"/>
                <w:sz w:val="22"/>
                <w:szCs w:val="22"/>
              </w:rPr>
              <w:t>Alternatywny</w:t>
            </w:r>
          </w:p>
        </w:tc>
        <w:tc>
          <w:tcPr>
            <w:tcW w:w="1422" w:type="pct"/>
            <w:vAlign w:val="center"/>
          </w:tcPr>
          <w:p w14:paraId="71D5083D" w14:textId="77777777" w:rsidR="00BB2181" w:rsidRPr="009B78DA" w:rsidRDefault="00BB2181" w:rsidP="00717315">
            <w:pPr>
              <w:pStyle w:val="Akapitzlist"/>
              <w:numPr>
                <w:ilvl w:val="0"/>
                <w:numId w:val="9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Zapewnienie spójnego systemu tras rowerowych gwarantujących bezpieczeństwo w poruszaniu się.</w:t>
            </w:r>
          </w:p>
          <w:p w14:paraId="14A9F01E" w14:textId="0C4FFD3E" w:rsidR="00BB2181" w:rsidRPr="009B78DA" w:rsidRDefault="00BB2181" w:rsidP="00717315">
            <w:pPr>
              <w:pStyle w:val="Akapitzlist"/>
              <w:numPr>
                <w:ilvl w:val="0"/>
                <w:numId w:val="9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Rozbudowa sieci turystycznych tras rowerowych na terenie Bieszczad </w:t>
            </w:r>
            <w:r w:rsidR="00717315">
              <w:rPr>
                <w:rFonts w:ascii="Arial" w:hAnsi="Arial" w:cs="Arial"/>
                <w:color w:val="000000" w:themeColor="text1"/>
                <w:sz w:val="22"/>
                <w:szCs w:val="22"/>
              </w:rPr>
              <w:br/>
            </w:r>
            <w:r w:rsidRPr="009B78DA">
              <w:rPr>
                <w:rFonts w:ascii="Arial" w:hAnsi="Arial" w:cs="Arial"/>
                <w:color w:val="000000" w:themeColor="text1"/>
                <w:sz w:val="22"/>
                <w:szCs w:val="22"/>
              </w:rPr>
              <w:t>i Beskidu Niskiego oraz włączenie ich do szlaku rowerowego Green Velo</w:t>
            </w:r>
          </w:p>
          <w:p w14:paraId="566D6E5D" w14:textId="77777777" w:rsidR="00BB2181" w:rsidRPr="009B78DA" w:rsidRDefault="00BB2181" w:rsidP="00717315">
            <w:pPr>
              <w:pStyle w:val="Akapitzlist"/>
              <w:numPr>
                <w:ilvl w:val="0"/>
                <w:numId w:val="95"/>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Budowa zintegrowanej sieci podkarpackiego szlaku wodnego (poprzez stworzenie zintegrowanej wodnej infrastruktury turystycznej)</w:t>
            </w:r>
          </w:p>
          <w:p w14:paraId="3F2FB9DB" w14:textId="77777777" w:rsidR="00BB2181" w:rsidRPr="009B78DA" w:rsidRDefault="00BB2181" w:rsidP="00717315">
            <w:pPr>
              <w:pStyle w:val="Akapitzlist"/>
              <w:numPr>
                <w:ilvl w:val="0"/>
                <w:numId w:val="95"/>
              </w:numPr>
              <w:spacing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Rozwój turystycznego transportu wodnego, w tym infrastruktury służącej ekologii (np. przystanie, mariny) np. Szlak wodny "Błękitny San" na rzece San.</w:t>
            </w:r>
          </w:p>
        </w:tc>
        <w:tc>
          <w:tcPr>
            <w:tcW w:w="1608" w:type="pct"/>
            <w:vAlign w:val="center"/>
          </w:tcPr>
          <w:p w14:paraId="1FFD47EC" w14:textId="77777777" w:rsidR="00BB2181" w:rsidRPr="009B78DA" w:rsidRDefault="00BB2181" w:rsidP="00717315">
            <w:pPr>
              <w:pStyle w:val="Akapitzlist"/>
              <w:numPr>
                <w:ilvl w:val="0"/>
                <w:numId w:val="9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Rozwój zintegrowanej sieci ścieżek rowerowych, tras rowerowych, jako alternatywy dla przemieszczania się na krótkich odcinkach oraz służących rekreacji (w tym szlaków greenways).</w:t>
            </w:r>
          </w:p>
          <w:p w14:paraId="52BCDA1C" w14:textId="77777777" w:rsidR="00BB2181" w:rsidRPr="009B78DA" w:rsidRDefault="00BB2181" w:rsidP="00717315">
            <w:pPr>
              <w:pStyle w:val="Akapitzlist"/>
              <w:numPr>
                <w:ilvl w:val="0"/>
                <w:numId w:val="9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Rozwój infrastruktury związanej z tradycjami flisackimi w formie turystyczno-rekreacyjnej.</w:t>
            </w:r>
          </w:p>
          <w:p w14:paraId="320858E9" w14:textId="77777777" w:rsidR="00BB2181" w:rsidRPr="009B78DA" w:rsidRDefault="00BB2181" w:rsidP="00717315">
            <w:pPr>
              <w:pStyle w:val="Akapitzlist"/>
              <w:numPr>
                <w:ilvl w:val="0"/>
                <w:numId w:val="96"/>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Budowa systemu transportu wykorzystujący bezzałogowe statki powietrzne (drony)</w:t>
            </w:r>
          </w:p>
        </w:tc>
        <w:tc>
          <w:tcPr>
            <w:tcW w:w="1394" w:type="pct"/>
            <w:vAlign w:val="center"/>
          </w:tcPr>
          <w:p w14:paraId="0547BC56" w14:textId="73B2EA5E" w:rsidR="00BB2181" w:rsidRPr="009B78DA" w:rsidRDefault="00BB2181" w:rsidP="00717315">
            <w:pPr>
              <w:pStyle w:val="Akapitzlist"/>
              <w:numPr>
                <w:ilvl w:val="0"/>
                <w:numId w:val="9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Rozwój mobilności miejskiej </w:t>
            </w:r>
            <w:r w:rsidR="00717315">
              <w:rPr>
                <w:rFonts w:ascii="Arial" w:hAnsi="Arial" w:cs="Arial"/>
                <w:color w:val="000000" w:themeColor="text1"/>
                <w:sz w:val="22"/>
                <w:szCs w:val="22"/>
              </w:rPr>
              <w:br/>
            </w:r>
            <w:r w:rsidRPr="009B78DA">
              <w:rPr>
                <w:rFonts w:ascii="Arial" w:hAnsi="Arial" w:cs="Arial"/>
                <w:color w:val="000000" w:themeColor="text1"/>
                <w:sz w:val="22"/>
                <w:szCs w:val="22"/>
              </w:rPr>
              <w:t>z wykorzystaniem ścieżek rowerowych.</w:t>
            </w:r>
          </w:p>
          <w:p w14:paraId="2C10F2FB" w14:textId="77777777" w:rsidR="00BB2181" w:rsidRPr="009B78DA" w:rsidRDefault="00BB2181" w:rsidP="00717315">
            <w:pPr>
              <w:pStyle w:val="Akapitzlist"/>
              <w:numPr>
                <w:ilvl w:val="0"/>
                <w:numId w:val="9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Rozwój zintegrowanej sieci ścieżek rowerowych, tras rowerowych, jako alternatywy dla przemieszczania się na krótkich odcinkach oraz służących rekreacji (w tym szlaków greenways).</w:t>
            </w:r>
          </w:p>
          <w:p w14:paraId="21464274" w14:textId="77777777" w:rsidR="00BB2181" w:rsidRPr="009B78DA" w:rsidRDefault="00BB2181" w:rsidP="00717315">
            <w:pPr>
              <w:pStyle w:val="Akapitzlist"/>
              <w:numPr>
                <w:ilvl w:val="0"/>
                <w:numId w:val="97"/>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Zapewnienie spójnego systemu tras rowerowych gwarantujących bezpieczeństwo w poruszaniu się.</w:t>
            </w:r>
          </w:p>
        </w:tc>
      </w:tr>
    </w:tbl>
    <w:p w14:paraId="47B5BCD1" w14:textId="77777777" w:rsidR="00BB2181" w:rsidRPr="00717315" w:rsidRDefault="00BB2181" w:rsidP="00F45E35">
      <w:pPr>
        <w:keepNext/>
        <w:spacing w:after="0" w:line="276" w:lineRule="auto"/>
        <w:jc w:val="both"/>
        <w:rPr>
          <w:rFonts w:ascii="Arial" w:hAnsi="Arial" w:cs="Arial"/>
          <w:color w:val="000000" w:themeColor="text1"/>
          <w:sz w:val="2"/>
          <w:szCs w:val="2"/>
        </w:rPr>
      </w:pPr>
    </w:p>
    <w:tbl>
      <w:tblPr>
        <w:tblStyle w:val="Tabela-Siatka"/>
        <w:tblW w:w="5000" w:type="pct"/>
        <w:tblLook w:val="04A0" w:firstRow="1" w:lastRow="0" w:firstColumn="1" w:lastColumn="0" w:noHBand="0" w:noVBand="1"/>
        <w:tblCaption w:val="Kierunki rozwoju w ramach celów horyzontalnych"/>
        <w:tblDescription w:val="Tabela zawiera Cele horyzontalne i Kierunki horyzontalne"/>
      </w:tblPr>
      <w:tblGrid>
        <w:gridCol w:w="3075"/>
        <w:gridCol w:w="12313"/>
      </w:tblGrid>
      <w:tr w:rsidR="006F4FD2" w:rsidRPr="00717315" w14:paraId="75BD23E0" w14:textId="77777777" w:rsidTr="00717315">
        <w:trPr>
          <w:trHeight w:val="340"/>
          <w:tblHeader/>
        </w:trPr>
        <w:tc>
          <w:tcPr>
            <w:tcW w:w="999" w:type="pct"/>
            <w:shd w:val="clear" w:color="auto" w:fill="DEEAF6" w:themeFill="accent1" w:themeFillTint="33"/>
            <w:vAlign w:val="center"/>
          </w:tcPr>
          <w:p w14:paraId="59F74514" w14:textId="7BF8E7F2" w:rsidR="00732AF5" w:rsidRPr="00717315" w:rsidRDefault="00717315" w:rsidP="00717315">
            <w:pPr>
              <w:spacing w:line="276" w:lineRule="auto"/>
              <w:rPr>
                <w:rFonts w:ascii="Arial" w:hAnsi="Arial" w:cs="Arial"/>
                <w:b/>
                <w:color w:val="000000" w:themeColor="text1"/>
                <w:sz w:val="22"/>
                <w:szCs w:val="22"/>
              </w:rPr>
            </w:pPr>
            <w:r w:rsidRPr="00717315">
              <w:rPr>
                <w:rFonts w:ascii="Arial" w:hAnsi="Arial" w:cs="Arial"/>
                <w:b/>
                <w:color w:val="000000" w:themeColor="text1"/>
                <w:sz w:val="22"/>
                <w:szCs w:val="22"/>
              </w:rPr>
              <w:t>Cele horyzontalne</w:t>
            </w:r>
          </w:p>
        </w:tc>
        <w:tc>
          <w:tcPr>
            <w:tcW w:w="4001" w:type="pct"/>
            <w:shd w:val="clear" w:color="auto" w:fill="DEEAF6" w:themeFill="accent1" w:themeFillTint="33"/>
            <w:vAlign w:val="center"/>
          </w:tcPr>
          <w:p w14:paraId="7E21E78E" w14:textId="77777777" w:rsidR="00A95073" w:rsidRPr="00717315" w:rsidRDefault="00A95073" w:rsidP="00717315">
            <w:pPr>
              <w:spacing w:line="276" w:lineRule="auto"/>
              <w:rPr>
                <w:rFonts w:ascii="Arial" w:hAnsi="Arial" w:cs="Arial"/>
                <w:b/>
                <w:color w:val="000000" w:themeColor="text1"/>
                <w:sz w:val="22"/>
                <w:szCs w:val="22"/>
              </w:rPr>
            </w:pPr>
            <w:r w:rsidRPr="00717315">
              <w:rPr>
                <w:rFonts w:ascii="Arial" w:hAnsi="Arial" w:cs="Arial"/>
                <w:b/>
                <w:color w:val="000000" w:themeColor="text1"/>
                <w:sz w:val="22"/>
                <w:szCs w:val="22"/>
              </w:rPr>
              <w:t>Kierunki horyzontalne</w:t>
            </w:r>
          </w:p>
        </w:tc>
      </w:tr>
      <w:tr w:rsidR="006F4FD2" w:rsidRPr="00717315" w14:paraId="3623AC3E" w14:textId="77777777" w:rsidTr="00717315">
        <w:tc>
          <w:tcPr>
            <w:tcW w:w="999" w:type="pct"/>
            <w:vAlign w:val="center"/>
          </w:tcPr>
          <w:p w14:paraId="74163ACA" w14:textId="5A3FCE48" w:rsidR="001B57A8" w:rsidRPr="00717315" w:rsidRDefault="00157216" w:rsidP="00717315">
            <w:pPr>
              <w:spacing w:line="276" w:lineRule="auto"/>
              <w:rPr>
                <w:rFonts w:ascii="Arial" w:hAnsi="Arial" w:cs="Arial"/>
                <w:b/>
                <w:bCs/>
                <w:color w:val="000000" w:themeColor="text1"/>
                <w:sz w:val="22"/>
                <w:szCs w:val="22"/>
              </w:rPr>
            </w:pPr>
            <w:r w:rsidRPr="00717315">
              <w:rPr>
                <w:rFonts w:ascii="Arial" w:hAnsi="Arial" w:cs="Arial"/>
                <w:b/>
                <w:bCs/>
                <w:color w:val="000000" w:themeColor="text1"/>
                <w:sz w:val="22"/>
                <w:szCs w:val="22"/>
              </w:rPr>
              <w:t>Cel horyzonta</w:t>
            </w:r>
            <w:r w:rsidR="00717315" w:rsidRPr="00717315">
              <w:rPr>
                <w:rFonts w:ascii="Arial" w:hAnsi="Arial" w:cs="Arial"/>
                <w:b/>
                <w:bCs/>
                <w:color w:val="000000" w:themeColor="text1"/>
                <w:sz w:val="22"/>
                <w:szCs w:val="22"/>
              </w:rPr>
              <w:t xml:space="preserve">lny 1. </w:t>
            </w:r>
            <w:r w:rsidR="001B57A8" w:rsidRPr="00717315">
              <w:rPr>
                <w:rFonts w:ascii="Arial" w:hAnsi="Arial" w:cs="Arial"/>
                <w:b/>
                <w:color w:val="000000" w:themeColor="text1"/>
                <w:sz w:val="22"/>
                <w:szCs w:val="22"/>
              </w:rPr>
              <w:t>Ograniczenie negatywnego oddziaływania sektora transportu na klimat oraz na regionalne środowisko naturalne</w:t>
            </w:r>
          </w:p>
        </w:tc>
        <w:tc>
          <w:tcPr>
            <w:tcW w:w="4001" w:type="pct"/>
            <w:vAlign w:val="center"/>
          </w:tcPr>
          <w:p w14:paraId="476740BA" w14:textId="77777777" w:rsidR="001B57A8" w:rsidRPr="00717315" w:rsidRDefault="001B57A8"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Wprowadzenie systemów zarządzaniem ruchem w celu jego upłynnienia i zmniejszenia emisji spalin i hałasu, których źródłem są środki transportu.</w:t>
            </w:r>
          </w:p>
          <w:p w14:paraId="5F2AEDCB" w14:textId="4CAA06F6" w:rsidR="001B57A8" w:rsidRPr="00717315" w:rsidRDefault="001B57A8"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Rozwój transportu publicznego (miejskiego oraz pozamiejskiego) w kierunku neutralnym klimatycznie m</w:t>
            </w:r>
            <w:r w:rsidR="00BF04C4" w:rsidRPr="00717315">
              <w:rPr>
                <w:rFonts w:ascii="Arial" w:hAnsi="Arial" w:cs="Arial"/>
                <w:color w:val="000000" w:themeColor="text1"/>
                <w:sz w:val="22"/>
                <w:szCs w:val="22"/>
              </w:rPr>
              <w:t xml:space="preserve">. </w:t>
            </w:r>
            <w:r w:rsidRPr="00717315">
              <w:rPr>
                <w:rFonts w:ascii="Arial" w:hAnsi="Arial" w:cs="Arial"/>
                <w:color w:val="000000" w:themeColor="text1"/>
                <w:sz w:val="22"/>
                <w:szCs w:val="22"/>
              </w:rPr>
              <w:t>in. poprzez wymianę taboru na niskoemisyjny bądź zeroemisyjny (zakup oraz poprawa jakości taboru wyk</w:t>
            </w:r>
            <w:r w:rsidR="00717315">
              <w:rPr>
                <w:rFonts w:ascii="Arial" w:hAnsi="Arial" w:cs="Arial"/>
                <w:color w:val="000000" w:themeColor="text1"/>
                <w:sz w:val="22"/>
                <w:szCs w:val="22"/>
              </w:rPr>
              <w:t>orzystywanego do przewozu osób.</w:t>
            </w:r>
          </w:p>
          <w:p w14:paraId="0CF176DE" w14:textId="6EC7E22F" w:rsidR="001B57A8" w:rsidRPr="00717315" w:rsidRDefault="001B57A8"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Tworzenie warunków do rozwoju elektromobilności (w tym infrastruktury ładowania oraz warunków społeczno-gospodarczo-prawnych związanych z projektowaniem, produkcją, nabywaniem i uż</w:t>
            </w:r>
            <w:r w:rsidR="0076455A">
              <w:rPr>
                <w:rFonts w:ascii="Arial" w:hAnsi="Arial" w:cs="Arial"/>
                <w:color w:val="000000" w:themeColor="text1"/>
                <w:sz w:val="22"/>
                <w:szCs w:val="22"/>
              </w:rPr>
              <w:t>ywaniem pojazdów elektrycznych.</w:t>
            </w:r>
            <w:r w:rsidRPr="00717315">
              <w:rPr>
                <w:rFonts w:ascii="Arial" w:hAnsi="Arial" w:cs="Arial"/>
                <w:color w:val="000000" w:themeColor="text1"/>
                <w:sz w:val="22"/>
                <w:szCs w:val="22"/>
              </w:rPr>
              <w:t>)</w:t>
            </w:r>
          </w:p>
          <w:p w14:paraId="2669C844" w14:textId="7B006F5D" w:rsidR="001B57A8" w:rsidRPr="00717315" w:rsidRDefault="00DF6BDF"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Rozbudowa infrastruktury</w:t>
            </w:r>
            <w:r w:rsidR="001B57A8" w:rsidRPr="00717315">
              <w:rPr>
                <w:rFonts w:ascii="Arial" w:hAnsi="Arial" w:cs="Arial"/>
                <w:color w:val="000000" w:themeColor="text1"/>
                <w:sz w:val="22"/>
                <w:szCs w:val="22"/>
              </w:rPr>
              <w:t xml:space="preserve"> ładowania pojazdów elektrycznych przy głównych ciągach międzynarodowych.</w:t>
            </w:r>
          </w:p>
          <w:p w14:paraId="43349339" w14:textId="77777777" w:rsidR="001B57A8" w:rsidRPr="00717315" w:rsidRDefault="001B57A8"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Wzmocnienie zmiany w kierunku tzw. zielonej gospodarki w Porcie Lotniczym Rzeszów-Jasionka, związanej z wymianą floty transportowej na pojazdy zeroemisyjne lub niskoemisyjne. </w:t>
            </w:r>
          </w:p>
          <w:p w14:paraId="5300C63A" w14:textId="168E9A17" w:rsidR="001B57A8" w:rsidRPr="00717315" w:rsidRDefault="001B57A8"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Wprowadzenie stref niskiej emisyjności w miastach</w:t>
            </w:r>
            <w:r w:rsidR="00617D88" w:rsidRPr="00717315">
              <w:rPr>
                <w:rFonts w:ascii="Arial" w:hAnsi="Arial" w:cs="Arial"/>
                <w:color w:val="000000" w:themeColor="text1"/>
                <w:sz w:val="22"/>
                <w:szCs w:val="22"/>
              </w:rPr>
              <w:t>.</w:t>
            </w:r>
          </w:p>
          <w:p w14:paraId="5FC174B6" w14:textId="77BA33B4" w:rsidR="001B57A8" w:rsidRPr="00717315" w:rsidRDefault="001B57A8"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Tworzenie warunków dotyczących obowiązku projektowania ścieżek rowerowych w ciągu budowanych/przebudowanych dróg</w:t>
            </w:r>
            <w:r w:rsidR="00617D88" w:rsidRPr="00717315">
              <w:rPr>
                <w:rFonts w:ascii="Arial" w:hAnsi="Arial" w:cs="Arial"/>
                <w:color w:val="000000" w:themeColor="text1"/>
                <w:sz w:val="22"/>
                <w:szCs w:val="22"/>
              </w:rPr>
              <w:t>.</w:t>
            </w:r>
          </w:p>
          <w:p w14:paraId="1BA75B90" w14:textId="3D5E67F1" w:rsidR="001B57A8" w:rsidRPr="00717315" w:rsidRDefault="001B57A8"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Zapewnienie płynności ruchu, likwidacja wąskich gardeł (szczególnie w miastach) </w:t>
            </w:r>
            <w:r w:rsidR="00A05094" w:rsidRPr="00717315">
              <w:rPr>
                <w:rFonts w:ascii="Arial" w:hAnsi="Arial" w:cs="Arial"/>
                <w:color w:val="000000" w:themeColor="text1"/>
                <w:sz w:val="22"/>
                <w:szCs w:val="22"/>
              </w:rPr>
              <w:t>w celu</w:t>
            </w:r>
            <w:r w:rsidRPr="00717315">
              <w:rPr>
                <w:rFonts w:ascii="Arial" w:hAnsi="Arial" w:cs="Arial"/>
                <w:color w:val="000000" w:themeColor="text1"/>
                <w:sz w:val="22"/>
                <w:szCs w:val="22"/>
              </w:rPr>
              <w:t xml:space="preserve"> poprawy jakości środowiska poprzez redukcję emisji spalin, drgań i hałasu</w:t>
            </w:r>
            <w:r w:rsidR="00617D88" w:rsidRPr="00717315">
              <w:rPr>
                <w:rFonts w:ascii="Arial" w:hAnsi="Arial" w:cs="Arial"/>
                <w:color w:val="000000" w:themeColor="text1"/>
                <w:sz w:val="22"/>
                <w:szCs w:val="22"/>
              </w:rPr>
              <w:t>.</w:t>
            </w:r>
          </w:p>
          <w:p w14:paraId="7E7056EF" w14:textId="77777777" w:rsidR="001B57A8" w:rsidRPr="00717315" w:rsidRDefault="001B57A8"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Usprawnienie systemów sterowania i zarządzania ruchem drogowym w miastach.</w:t>
            </w:r>
          </w:p>
          <w:p w14:paraId="36C414CC" w14:textId="77777777" w:rsidR="001B57A8" w:rsidRPr="00717315" w:rsidRDefault="001B57A8"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Odciążenie obszarów szczególnie wrażliwych środowiskowo oraz zapobieganie zjawiskom niekontrolowanej ingerencji oraz degradacji środowiska naturalnego (np. odprowadzanie wód opadowych, zabezpieczanie osuwisk).</w:t>
            </w:r>
          </w:p>
          <w:p w14:paraId="30F7A10F" w14:textId="3049B1D6" w:rsidR="00AD611C" w:rsidRPr="00717315" w:rsidRDefault="001B57A8"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Budowa oraz modernizacja elementów ochrony środowiska (systemy odwodnienia, płotki naprowadzające dla herpetofauny, ekrany akustyczne, osadniki, parkingi dla pojazdów zatrzymanych ze względu na stwarzane zagrożenie dla środowiska oraz dla zatrzymanych transportów odpadów).</w:t>
            </w:r>
          </w:p>
          <w:p w14:paraId="1B5EA742" w14:textId="04734A63" w:rsidR="001B57A8" w:rsidRPr="00717315" w:rsidRDefault="00AD611C"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Wsparcie</w:t>
            </w:r>
            <w:r w:rsidR="004A401A" w:rsidRPr="00717315">
              <w:rPr>
                <w:rFonts w:ascii="Arial" w:hAnsi="Arial" w:cs="Arial"/>
                <w:color w:val="000000" w:themeColor="text1"/>
                <w:sz w:val="22"/>
                <w:szCs w:val="22"/>
              </w:rPr>
              <w:t xml:space="preserve"> projekt</w:t>
            </w:r>
            <w:r w:rsidRPr="00717315">
              <w:rPr>
                <w:rFonts w:ascii="Arial" w:hAnsi="Arial" w:cs="Arial"/>
                <w:color w:val="000000" w:themeColor="text1"/>
                <w:sz w:val="22"/>
                <w:szCs w:val="22"/>
              </w:rPr>
              <w:t>ów</w:t>
            </w:r>
            <w:r w:rsidR="004A401A" w:rsidRPr="00717315">
              <w:rPr>
                <w:rFonts w:ascii="Arial" w:hAnsi="Arial" w:cs="Arial"/>
                <w:color w:val="000000" w:themeColor="text1"/>
                <w:sz w:val="22"/>
                <w:szCs w:val="22"/>
              </w:rPr>
              <w:t xml:space="preserve"> w zakresie infrastruktury </w:t>
            </w:r>
            <w:r w:rsidR="00B65EEF" w:rsidRPr="00717315">
              <w:rPr>
                <w:rFonts w:ascii="Arial" w:hAnsi="Arial" w:cs="Arial"/>
                <w:color w:val="000000" w:themeColor="text1"/>
                <w:sz w:val="22"/>
                <w:szCs w:val="22"/>
              </w:rPr>
              <w:t>transportowej</w:t>
            </w:r>
            <w:r w:rsidR="004A401A" w:rsidRPr="00717315">
              <w:rPr>
                <w:rFonts w:ascii="Arial" w:hAnsi="Arial" w:cs="Arial"/>
                <w:color w:val="000000" w:themeColor="text1"/>
                <w:sz w:val="22"/>
                <w:szCs w:val="22"/>
              </w:rPr>
              <w:t xml:space="preserve"> obejm</w:t>
            </w:r>
            <w:r w:rsidRPr="00717315">
              <w:rPr>
                <w:rFonts w:ascii="Arial" w:hAnsi="Arial" w:cs="Arial"/>
                <w:color w:val="000000" w:themeColor="text1"/>
                <w:sz w:val="22"/>
                <w:szCs w:val="22"/>
              </w:rPr>
              <w:t>ujących</w:t>
            </w:r>
            <w:r w:rsidR="004A401A" w:rsidRPr="00717315">
              <w:rPr>
                <w:rFonts w:ascii="Arial" w:hAnsi="Arial" w:cs="Arial"/>
                <w:color w:val="000000" w:themeColor="text1"/>
                <w:sz w:val="22"/>
                <w:szCs w:val="22"/>
              </w:rPr>
              <w:t xml:space="preserve"> zapewnienie retencji i podczyszczania wód opadowych poprzez wykorzystanie zielonej i niebieskiej infrastruktury oraz rozwiązań opartych na przyrodzie.</w:t>
            </w:r>
          </w:p>
          <w:p w14:paraId="0443BFD9" w14:textId="69C66396" w:rsidR="001B57A8" w:rsidRPr="00717315" w:rsidRDefault="001B57A8" w:rsidP="00717315">
            <w:pPr>
              <w:pStyle w:val="Akapitzlist"/>
              <w:numPr>
                <w:ilvl w:val="0"/>
                <w:numId w:val="98"/>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Realizacja inwestycji towarzyszących zmierzających do zachowania stanu siedlisk i gatunków poprzez budowę korytarzy komunikacyjnych dla zwierząt</w:t>
            </w:r>
            <w:r w:rsidR="00617D88" w:rsidRPr="00717315">
              <w:rPr>
                <w:rFonts w:ascii="Arial" w:hAnsi="Arial" w:cs="Arial"/>
                <w:color w:val="000000" w:themeColor="text1"/>
                <w:sz w:val="22"/>
                <w:szCs w:val="22"/>
              </w:rPr>
              <w:t>.</w:t>
            </w:r>
          </w:p>
        </w:tc>
      </w:tr>
      <w:tr w:rsidR="006F4FD2" w:rsidRPr="00717315" w14:paraId="29E645CE" w14:textId="77777777" w:rsidTr="00717315">
        <w:tc>
          <w:tcPr>
            <w:tcW w:w="999" w:type="pct"/>
            <w:vAlign w:val="center"/>
          </w:tcPr>
          <w:p w14:paraId="11939A26" w14:textId="276FF3FA" w:rsidR="001B57A8" w:rsidRPr="00717315" w:rsidRDefault="00717315" w:rsidP="00717315">
            <w:pPr>
              <w:spacing w:line="276" w:lineRule="auto"/>
              <w:rPr>
                <w:rFonts w:ascii="Arial" w:hAnsi="Arial" w:cs="Arial"/>
                <w:b/>
                <w:bCs/>
                <w:color w:val="000000" w:themeColor="text1"/>
                <w:sz w:val="22"/>
                <w:szCs w:val="22"/>
              </w:rPr>
            </w:pPr>
            <w:r>
              <w:rPr>
                <w:rFonts w:ascii="Arial" w:hAnsi="Arial" w:cs="Arial"/>
                <w:b/>
                <w:bCs/>
                <w:color w:val="000000" w:themeColor="text1"/>
                <w:sz w:val="22"/>
                <w:szCs w:val="22"/>
              </w:rPr>
              <w:t xml:space="preserve">Cel horyzontalny 2. </w:t>
            </w:r>
            <w:r w:rsidR="001B57A8" w:rsidRPr="00717315">
              <w:rPr>
                <w:rFonts w:ascii="Arial" w:hAnsi="Arial" w:cs="Arial"/>
                <w:b/>
                <w:color w:val="000000" w:themeColor="text1"/>
                <w:sz w:val="22"/>
                <w:szCs w:val="22"/>
              </w:rPr>
              <w:t>Wzmocnienie rozwiązań multimodalnych</w:t>
            </w:r>
          </w:p>
        </w:tc>
        <w:tc>
          <w:tcPr>
            <w:tcW w:w="4001" w:type="pct"/>
            <w:vAlign w:val="center"/>
          </w:tcPr>
          <w:p w14:paraId="4E56B683" w14:textId="75AD8872" w:rsidR="001B57A8" w:rsidRPr="00717315" w:rsidRDefault="001B57A8" w:rsidP="00717315">
            <w:pPr>
              <w:pStyle w:val="Akapitzlist"/>
              <w:numPr>
                <w:ilvl w:val="0"/>
                <w:numId w:val="99"/>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Realizacja zadań związanych ze zmianą modalną w transporcie międzyaglomeracyjnym (zastąpienie samochodu </w:t>
            </w:r>
            <w:r w:rsidR="00717315">
              <w:rPr>
                <w:rFonts w:ascii="Arial" w:hAnsi="Arial" w:cs="Arial"/>
                <w:color w:val="000000" w:themeColor="text1"/>
                <w:sz w:val="22"/>
                <w:szCs w:val="22"/>
              </w:rPr>
              <w:br/>
            </w:r>
            <w:r w:rsidRPr="00717315">
              <w:rPr>
                <w:rFonts w:ascii="Arial" w:hAnsi="Arial" w:cs="Arial"/>
                <w:color w:val="000000" w:themeColor="text1"/>
                <w:sz w:val="22"/>
                <w:szCs w:val="22"/>
              </w:rPr>
              <w:t>i samolotu transportem kolejowym).</w:t>
            </w:r>
          </w:p>
          <w:p w14:paraId="6FA490F6" w14:textId="06D981A7" w:rsidR="001B57A8" w:rsidRPr="00717315" w:rsidRDefault="001B57A8" w:rsidP="00717315">
            <w:pPr>
              <w:pStyle w:val="Akapitzlist"/>
              <w:numPr>
                <w:ilvl w:val="0"/>
                <w:numId w:val="99"/>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Zwiększenie funkcjonalności kolei poprzez utworzenie spójnego systemu transportu łączącego transport kolejowy </w:t>
            </w:r>
            <w:r w:rsidR="00717315">
              <w:rPr>
                <w:rFonts w:ascii="Arial" w:hAnsi="Arial" w:cs="Arial"/>
                <w:color w:val="000000" w:themeColor="text1"/>
                <w:sz w:val="22"/>
                <w:szCs w:val="22"/>
              </w:rPr>
              <w:br/>
            </w:r>
            <w:r w:rsidRPr="00717315">
              <w:rPr>
                <w:rFonts w:ascii="Arial" w:hAnsi="Arial" w:cs="Arial"/>
                <w:color w:val="000000" w:themeColor="text1"/>
                <w:sz w:val="22"/>
                <w:szCs w:val="22"/>
              </w:rPr>
              <w:t>z innymi rodzajami transportu (połączenia i platformy multimodalne oraz intermodalne).</w:t>
            </w:r>
          </w:p>
          <w:p w14:paraId="175A1140" w14:textId="77777777" w:rsidR="001B57A8" w:rsidRPr="00717315" w:rsidRDefault="001B57A8" w:rsidP="00717315">
            <w:pPr>
              <w:pStyle w:val="Akapitzlist"/>
              <w:numPr>
                <w:ilvl w:val="0"/>
                <w:numId w:val="99"/>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Rozwój intermodalnego transportu, w tym centrum logistycznego tj. Centrum Logistyczne Medyka-Żurawica, </w:t>
            </w:r>
          </w:p>
          <w:p w14:paraId="75547CAB" w14:textId="77777777" w:rsidR="001B57A8" w:rsidRPr="00717315" w:rsidRDefault="001B57A8" w:rsidP="00717315">
            <w:pPr>
              <w:pStyle w:val="Akapitzlist"/>
              <w:numPr>
                <w:ilvl w:val="0"/>
                <w:numId w:val="99"/>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Rozwój intermodalnego transportu, w tym lokalnych terminali przeładunkowych tj. terminal LHS Wola Baranowska (ewentualnie terminal LHS w Hucie Deręgowskiej oraz terminal LHS w Nowosielcu, terminal przeładunkowy Werchrata).</w:t>
            </w:r>
          </w:p>
          <w:p w14:paraId="453FA3B5" w14:textId="77777777" w:rsidR="001B57A8" w:rsidRPr="00717315" w:rsidRDefault="001B57A8" w:rsidP="00717315">
            <w:pPr>
              <w:pStyle w:val="Akapitzlist"/>
              <w:numPr>
                <w:ilvl w:val="0"/>
                <w:numId w:val="99"/>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Powstanie i rozwój centrów logistyczno-dystrybucyjnych wykorzystujących tranzytowe położenie Rzeszowa i bliskość Portu Lotniczego „Rzeszów-Jasionka”.</w:t>
            </w:r>
          </w:p>
          <w:p w14:paraId="35782CB3" w14:textId="77777777" w:rsidR="001B57A8" w:rsidRPr="00717315" w:rsidRDefault="001B57A8" w:rsidP="00717315">
            <w:pPr>
              <w:pStyle w:val="Akapitzlist"/>
              <w:numPr>
                <w:ilvl w:val="0"/>
                <w:numId w:val="99"/>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Rozbudowa istniejących oraz budowa nowych dróg poprawiających dostępność do przejść granicznych oraz centrów logistycznych.</w:t>
            </w:r>
          </w:p>
          <w:p w14:paraId="5E578F9D" w14:textId="77777777" w:rsidR="001B57A8" w:rsidRPr="00717315" w:rsidRDefault="001B57A8" w:rsidP="00717315">
            <w:pPr>
              <w:pStyle w:val="Akapitzlist"/>
              <w:numPr>
                <w:ilvl w:val="0"/>
                <w:numId w:val="99"/>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Rozbudowa oraz budowa nowych punktów kontroli fitosanitarnych.</w:t>
            </w:r>
          </w:p>
          <w:p w14:paraId="602D69E7" w14:textId="77777777" w:rsidR="001B57A8" w:rsidRPr="00717315" w:rsidRDefault="001B57A8" w:rsidP="00717315">
            <w:pPr>
              <w:pStyle w:val="Akapitzlist"/>
              <w:numPr>
                <w:ilvl w:val="0"/>
                <w:numId w:val="99"/>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Rozwój funkcji logistycznej w ramach multimodalnych systemów transportowych.</w:t>
            </w:r>
          </w:p>
          <w:p w14:paraId="4944A406" w14:textId="62F914C4" w:rsidR="001B57A8" w:rsidRPr="00717315" w:rsidRDefault="001B57A8" w:rsidP="00717315">
            <w:pPr>
              <w:pStyle w:val="Akapitzlist"/>
              <w:numPr>
                <w:ilvl w:val="0"/>
                <w:numId w:val="99"/>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Budowa zintegrowanych węzłów przesiadkowych (pasażerskich) pomiędzy transportem lotniczym, kolejowym </w:t>
            </w:r>
            <w:r w:rsidR="0076455A">
              <w:rPr>
                <w:rFonts w:ascii="Arial" w:hAnsi="Arial" w:cs="Arial"/>
                <w:color w:val="000000" w:themeColor="text1"/>
                <w:sz w:val="22"/>
                <w:szCs w:val="22"/>
              </w:rPr>
              <w:br/>
            </w:r>
            <w:r w:rsidRPr="00717315">
              <w:rPr>
                <w:rFonts w:ascii="Arial" w:hAnsi="Arial" w:cs="Arial"/>
                <w:color w:val="000000" w:themeColor="text1"/>
                <w:sz w:val="22"/>
                <w:szCs w:val="22"/>
              </w:rPr>
              <w:t>i drogowym (autobusowym, komunikacją miejską oraz transportem indywidualnym) oraz budowa i rozbudowa infrastruktury typu P&amp;R, B&amp;R oraz K&amp;R.</w:t>
            </w:r>
          </w:p>
          <w:p w14:paraId="3623C7E0" w14:textId="436DBDE0" w:rsidR="004E408E" w:rsidRPr="00717315" w:rsidRDefault="004E408E" w:rsidP="00717315">
            <w:pPr>
              <w:pStyle w:val="Akapitzlist"/>
              <w:numPr>
                <w:ilvl w:val="0"/>
                <w:numId w:val="99"/>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Wzmocnienie Rzeszowa jako zintegrowanego multimodalnego węzła przesiadkowego, w szczególności dalsza rozbudowa Rzeszowskiego Centrum Komunikacyjnego, w tym modernizacja Dworca Autobusowego PKS i jego integracja z realizowanymi inwestycjami.</w:t>
            </w:r>
          </w:p>
          <w:p w14:paraId="0BDAFA98" w14:textId="3FF1B118" w:rsidR="001B57A8" w:rsidRPr="00717315" w:rsidRDefault="001B57A8" w:rsidP="00717315">
            <w:pPr>
              <w:pStyle w:val="Akapitzlist"/>
              <w:numPr>
                <w:ilvl w:val="0"/>
                <w:numId w:val="99"/>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Wprowadzenie zintegrowanego systemu transportu publicznego uwzględniającego działania wielu przewoźników polegające na opracowaniu wspólnego biletu.</w:t>
            </w:r>
          </w:p>
          <w:p w14:paraId="6ACC3F0E" w14:textId="614F97BE" w:rsidR="001B57A8" w:rsidRPr="00717315" w:rsidRDefault="001B57A8" w:rsidP="00717315">
            <w:pPr>
              <w:pStyle w:val="Akapitzlist"/>
              <w:numPr>
                <w:ilvl w:val="0"/>
                <w:numId w:val="99"/>
              </w:numPr>
              <w:spacing w:after="160" w:line="276" w:lineRule="auto"/>
              <w:ind w:left="357" w:hanging="357"/>
              <w:rPr>
                <w:rFonts w:ascii="Arial" w:hAnsi="Arial" w:cs="Arial"/>
                <w:strike/>
                <w:color w:val="000000" w:themeColor="text1"/>
                <w:sz w:val="22"/>
                <w:szCs w:val="22"/>
              </w:rPr>
            </w:pPr>
            <w:bookmarkStart w:id="278" w:name="_Hlk101357951"/>
            <w:r w:rsidRPr="00717315">
              <w:rPr>
                <w:rFonts w:ascii="Arial" w:hAnsi="Arial" w:cs="Arial"/>
                <w:color w:val="000000" w:themeColor="text1"/>
                <w:sz w:val="22"/>
                <w:szCs w:val="22"/>
              </w:rPr>
              <w:t>Wsparcie realizacji inwestycji transportowych obejmujące również kanały technologiczne i infrastrukturę teletechniczną (rozwój społeczeństwa informacyjnego wraz z e-usługami oraz transmisją danych).</w:t>
            </w:r>
          </w:p>
          <w:bookmarkEnd w:id="278"/>
          <w:p w14:paraId="3785FA76" w14:textId="07535689" w:rsidR="001B57A8" w:rsidRPr="00717315" w:rsidRDefault="001B57A8" w:rsidP="00717315">
            <w:pPr>
              <w:pStyle w:val="Akapitzlist"/>
              <w:numPr>
                <w:ilvl w:val="0"/>
                <w:numId w:val="99"/>
              </w:numPr>
              <w:spacing w:after="160"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Kadrowe wsparcie dla instytucji i podmiotów zarządzających ruchem oraz infrastrukt</w:t>
            </w:r>
            <w:r w:rsidR="0076455A">
              <w:rPr>
                <w:rFonts w:ascii="Arial" w:hAnsi="Arial" w:cs="Arial"/>
                <w:color w:val="000000" w:themeColor="text1"/>
                <w:sz w:val="22"/>
                <w:szCs w:val="22"/>
              </w:rPr>
              <w:t>urą transportową (w zakresie m.</w:t>
            </w:r>
            <w:r w:rsidRPr="00717315">
              <w:rPr>
                <w:rFonts w:ascii="Arial" w:hAnsi="Arial" w:cs="Arial"/>
                <w:color w:val="000000" w:themeColor="text1"/>
                <w:sz w:val="22"/>
                <w:szCs w:val="22"/>
              </w:rPr>
              <w:t>in. zamówień publicznych oraz jakości przygotowywanych dokumentów).</w:t>
            </w:r>
          </w:p>
        </w:tc>
      </w:tr>
      <w:tr w:rsidR="006F4FD2" w:rsidRPr="00717315" w14:paraId="4C9D5217" w14:textId="77777777" w:rsidTr="00717315">
        <w:tc>
          <w:tcPr>
            <w:tcW w:w="999" w:type="pct"/>
            <w:vAlign w:val="center"/>
          </w:tcPr>
          <w:p w14:paraId="0210A783" w14:textId="078D97D7" w:rsidR="001B57A8" w:rsidRPr="00717315" w:rsidRDefault="00717315" w:rsidP="00717315">
            <w:pPr>
              <w:spacing w:line="276" w:lineRule="auto"/>
              <w:rPr>
                <w:rFonts w:ascii="Arial" w:hAnsi="Arial" w:cs="Arial"/>
                <w:b/>
                <w:bCs/>
                <w:color w:val="000000" w:themeColor="text1"/>
                <w:sz w:val="22"/>
                <w:szCs w:val="22"/>
              </w:rPr>
            </w:pPr>
            <w:r>
              <w:rPr>
                <w:rFonts w:ascii="Arial" w:hAnsi="Arial" w:cs="Arial"/>
                <w:b/>
                <w:bCs/>
                <w:color w:val="000000" w:themeColor="text1"/>
                <w:sz w:val="22"/>
                <w:szCs w:val="22"/>
              </w:rPr>
              <w:t xml:space="preserve">Cel horyzontalny 3. </w:t>
            </w:r>
            <w:r>
              <w:rPr>
                <w:rFonts w:ascii="Arial" w:hAnsi="Arial" w:cs="Arial"/>
                <w:b/>
                <w:bCs/>
                <w:color w:val="000000" w:themeColor="text1"/>
                <w:sz w:val="22"/>
                <w:szCs w:val="22"/>
              </w:rPr>
              <w:br/>
            </w:r>
            <w:r w:rsidR="00157216" w:rsidRPr="00717315">
              <w:rPr>
                <w:rFonts w:ascii="Arial" w:hAnsi="Arial" w:cs="Arial"/>
                <w:b/>
                <w:color w:val="000000" w:themeColor="text1"/>
                <w:sz w:val="22"/>
                <w:szCs w:val="22"/>
              </w:rPr>
              <w:t>Rozwój t</w:t>
            </w:r>
            <w:r w:rsidR="001B57A8" w:rsidRPr="00717315">
              <w:rPr>
                <w:rFonts w:ascii="Arial" w:hAnsi="Arial" w:cs="Arial"/>
                <w:b/>
                <w:color w:val="000000" w:themeColor="text1"/>
                <w:sz w:val="22"/>
                <w:szCs w:val="22"/>
              </w:rPr>
              <w:t>ransport</w:t>
            </w:r>
            <w:r w:rsidR="00157216" w:rsidRPr="00717315">
              <w:rPr>
                <w:rFonts w:ascii="Arial" w:hAnsi="Arial" w:cs="Arial"/>
                <w:b/>
                <w:color w:val="000000" w:themeColor="text1"/>
                <w:sz w:val="22"/>
                <w:szCs w:val="22"/>
              </w:rPr>
              <w:t>u</w:t>
            </w:r>
            <w:r w:rsidR="001B57A8" w:rsidRPr="00717315">
              <w:rPr>
                <w:rFonts w:ascii="Arial" w:hAnsi="Arial" w:cs="Arial"/>
                <w:b/>
                <w:color w:val="000000" w:themeColor="text1"/>
                <w:sz w:val="22"/>
                <w:szCs w:val="22"/>
              </w:rPr>
              <w:t xml:space="preserve"> publiczn</w:t>
            </w:r>
            <w:r w:rsidR="00157216" w:rsidRPr="00717315">
              <w:rPr>
                <w:rFonts w:ascii="Arial" w:hAnsi="Arial" w:cs="Arial"/>
                <w:b/>
                <w:color w:val="000000" w:themeColor="text1"/>
                <w:sz w:val="22"/>
                <w:szCs w:val="22"/>
              </w:rPr>
              <w:t>ego</w:t>
            </w:r>
          </w:p>
        </w:tc>
        <w:tc>
          <w:tcPr>
            <w:tcW w:w="4001" w:type="pct"/>
            <w:vAlign w:val="center"/>
          </w:tcPr>
          <w:p w14:paraId="346E53FB" w14:textId="77777777" w:rsidR="001B57A8" w:rsidRPr="00717315" w:rsidRDefault="001B57A8" w:rsidP="00717315">
            <w:pPr>
              <w:pStyle w:val="Akapitzlist"/>
              <w:numPr>
                <w:ilvl w:val="0"/>
                <w:numId w:val="100"/>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Rozwój transportu publicznego w przewozach między biegunami wzrostu.</w:t>
            </w:r>
          </w:p>
          <w:p w14:paraId="079889F2" w14:textId="77777777" w:rsidR="001B57A8" w:rsidRPr="00717315" w:rsidRDefault="001B57A8" w:rsidP="00717315">
            <w:pPr>
              <w:pStyle w:val="Akapitzlist"/>
              <w:numPr>
                <w:ilvl w:val="0"/>
                <w:numId w:val="100"/>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Rozwój transportu publicznego w dużych aglomeracjach miejskich (Rzeszów), gdzie celem jest zmniejszenie kongestii oraz emisji.</w:t>
            </w:r>
          </w:p>
          <w:p w14:paraId="01F0C084" w14:textId="76E641B2" w:rsidR="001B57A8" w:rsidRPr="00717315" w:rsidRDefault="001B57A8" w:rsidP="00717315">
            <w:pPr>
              <w:pStyle w:val="Akapitzlist"/>
              <w:numPr>
                <w:ilvl w:val="0"/>
                <w:numId w:val="100"/>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Rozwój transportu publicznego </w:t>
            </w:r>
            <w:r w:rsidR="00296CE0" w:rsidRPr="00717315">
              <w:rPr>
                <w:rFonts w:ascii="Arial" w:hAnsi="Arial" w:cs="Arial"/>
                <w:color w:val="000000" w:themeColor="text1"/>
                <w:sz w:val="22"/>
                <w:szCs w:val="22"/>
              </w:rPr>
              <w:t>lub lokalnych rozwiązań alternatywnych (typu car</w:t>
            </w:r>
            <w:r w:rsidR="00E959F4" w:rsidRPr="00717315">
              <w:rPr>
                <w:rFonts w:ascii="Arial" w:hAnsi="Arial" w:cs="Arial"/>
                <w:color w:val="000000" w:themeColor="text1"/>
                <w:sz w:val="22"/>
                <w:szCs w:val="22"/>
              </w:rPr>
              <w:t>-</w:t>
            </w:r>
            <w:r w:rsidR="00296CE0" w:rsidRPr="00717315">
              <w:rPr>
                <w:rFonts w:ascii="Arial" w:hAnsi="Arial" w:cs="Arial"/>
                <w:color w:val="000000" w:themeColor="text1"/>
                <w:sz w:val="22"/>
                <w:szCs w:val="22"/>
              </w:rPr>
              <w:t>sharing, car</w:t>
            </w:r>
            <w:r w:rsidR="00E959F4" w:rsidRPr="00717315">
              <w:rPr>
                <w:rFonts w:ascii="Arial" w:hAnsi="Arial" w:cs="Arial"/>
                <w:color w:val="000000" w:themeColor="text1"/>
                <w:sz w:val="22"/>
                <w:szCs w:val="22"/>
              </w:rPr>
              <w:t>-</w:t>
            </w:r>
            <w:r w:rsidR="00296CE0" w:rsidRPr="00717315">
              <w:rPr>
                <w:rFonts w:ascii="Arial" w:hAnsi="Arial" w:cs="Arial"/>
                <w:color w:val="000000" w:themeColor="text1"/>
                <w:sz w:val="22"/>
                <w:szCs w:val="22"/>
              </w:rPr>
              <w:t xml:space="preserve">pooling, autobus na życzenie) </w:t>
            </w:r>
            <w:r w:rsidRPr="00717315">
              <w:rPr>
                <w:rFonts w:ascii="Arial" w:hAnsi="Arial" w:cs="Arial"/>
                <w:color w:val="000000" w:themeColor="text1"/>
                <w:sz w:val="22"/>
                <w:szCs w:val="22"/>
              </w:rPr>
              <w:t>na obszarach zagrożonych wykluczeniem transportowym, gdzie celem jest zapewnienie obsługi ludności bez dostępu do indywidualnych środków transportu oraz gdzie funkcjonowanie prywatnych przewoźników jest często nieopłacalne.</w:t>
            </w:r>
          </w:p>
          <w:p w14:paraId="0C1632E4" w14:textId="77777777" w:rsidR="001B57A8" w:rsidRPr="00717315" w:rsidRDefault="001B57A8" w:rsidP="00717315">
            <w:pPr>
              <w:pStyle w:val="Akapitzlist"/>
              <w:numPr>
                <w:ilvl w:val="0"/>
                <w:numId w:val="100"/>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Rozwój transportu publicznego na obszarach turystycznych i jednocześnie wartościowych przyrodniczo, gdzie celem jest odciążenie presji na środowisko oraz podniesienie konkurencyjności turystycznej.</w:t>
            </w:r>
          </w:p>
          <w:p w14:paraId="4AAB0B61" w14:textId="4BA10DCD" w:rsidR="001B57A8" w:rsidRPr="00717315" w:rsidRDefault="001B57A8" w:rsidP="00717315">
            <w:pPr>
              <w:pStyle w:val="Akapitzlist"/>
              <w:numPr>
                <w:ilvl w:val="0"/>
                <w:numId w:val="101"/>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Zdywersyfikowanie sieci przewoźników, w tym zapewnienie obsługi transportu publicznego dla obszarów peryferyjnych </w:t>
            </w:r>
            <w:r w:rsidR="00717315">
              <w:rPr>
                <w:rFonts w:ascii="Arial" w:hAnsi="Arial" w:cs="Arial"/>
                <w:color w:val="000000" w:themeColor="text1"/>
                <w:sz w:val="22"/>
                <w:szCs w:val="22"/>
              </w:rPr>
              <w:br/>
            </w:r>
            <w:r w:rsidRPr="00717315">
              <w:rPr>
                <w:rFonts w:ascii="Arial" w:hAnsi="Arial" w:cs="Arial"/>
                <w:color w:val="000000" w:themeColor="text1"/>
                <w:sz w:val="22"/>
                <w:szCs w:val="22"/>
              </w:rPr>
              <w:t>i o niskiej dostępności – połączenia pierwszej i ostatniej mili (tam gdzie to nie jest rentowne organizacja niewielkich parkingów typu P&amp;R w miejscowościach węzłowych leżących przy już ustalonych korytarzach transportowych).</w:t>
            </w:r>
          </w:p>
          <w:p w14:paraId="1EE05BB4" w14:textId="77777777" w:rsidR="001B57A8" w:rsidRPr="00717315" w:rsidRDefault="001B57A8" w:rsidP="00717315">
            <w:pPr>
              <w:pStyle w:val="Akapitzlist"/>
              <w:numPr>
                <w:ilvl w:val="0"/>
                <w:numId w:val="101"/>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Dostosowanie rozkładów jazdy kolejowego transportu publicznego do potrzeb mieszkańców (dostosowanie rozkładów jazdy do godzin pracy i godzin nauki w szkołach, znajdujących się na terenie obsługiwanego transportu kolejowego.</w:t>
            </w:r>
          </w:p>
          <w:p w14:paraId="202AB9EC" w14:textId="39866111" w:rsidR="001B57A8" w:rsidRPr="00717315" w:rsidRDefault="001B57A8" w:rsidP="00717315">
            <w:pPr>
              <w:pStyle w:val="Akapitzlist"/>
              <w:numPr>
                <w:ilvl w:val="0"/>
                <w:numId w:val="101"/>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Zapewnienie zrównoważonego systemu obejmującego transport zbiorowy i rowerowy z wykorzystaniem multimodalnych węzłów powiązanych z transportem rowe</w:t>
            </w:r>
            <w:r w:rsidR="00717315">
              <w:rPr>
                <w:rFonts w:ascii="Arial" w:hAnsi="Arial" w:cs="Arial"/>
                <w:color w:val="000000" w:themeColor="text1"/>
                <w:sz w:val="22"/>
                <w:szCs w:val="22"/>
              </w:rPr>
              <w:t>rowym tj. P&amp;R, B&amp;R, K&amp;R;</w:t>
            </w:r>
          </w:p>
          <w:p w14:paraId="222B48AF" w14:textId="77777777" w:rsidR="001B57A8" w:rsidRPr="00717315" w:rsidRDefault="001B57A8" w:rsidP="00717315">
            <w:pPr>
              <w:pStyle w:val="Akapitzlist"/>
              <w:numPr>
                <w:ilvl w:val="0"/>
                <w:numId w:val="101"/>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Podwyższenie konkurencyjności publicznego transportu zbiorowego wobec indywidualnego transportu samochodowego.</w:t>
            </w:r>
          </w:p>
          <w:p w14:paraId="71903305" w14:textId="38744864" w:rsidR="001B57A8" w:rsidRPr="00717315" w:rsidRDefault="001B57A8" w:rsidP="00717315">
            <w:pPr>
              <w:pStyle w:val="Akapitzlist"/>
              <w:numPr>
                <w:ilvl w:val="0"/>
                <w:numId w:val="101"/>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Rozwój i modernizacja infrastruktury transportu publicznego, w tym uzupełnienie sieci obiektów dworcowych </w:t>
            </w:r>
            <w:r w:rsidR="00717315">
              <w:rPr>
                <w:rFonts w:ascii="Arial" w:hAnsi="Arial" w:cs="Arial"/>
                <w:color w:val="000000" w:themeColor="text1"/>
                <w:sz w:val="22"/>
                <w:szCs w:val="22"/>
              </w:rPr>
              <w:br/>
            </w:r>
            <w:r w:rsidRPr="00717315">
              <w:rPr>
                <w:rFonts w:ascii="Arial" w:hAnsi="Arial" w:cs="Arial"/>
                <w:color w:val="000000" w:themeColor="text1"/>
                <w:sz w:val="22"/>
                <w:szCs w:val="22"/>
              </w:rPr>
              <w:t>i przystanków</w:t>
            </w:r>
            <w:r w:rsidR="004A29F6" w:rsidRPr="00717315">
              <w:rPr>
                <w:rFonts w:ascii="Arial" w:hAnsi="Arial" w:cs="Arial"/>
                <w:color w:val="000000" w:themeColor="text1"/>
                <w:sz w:val="22"/>
                <w:szCs w:val="22"/>
              </w:rPr>
              <w:t xml:space="preserve"> oraz pętli autobusowych. </w:t>
            </w:r>
          </w:p>
          <w:p w14:paraId="440231AA" w14:textId="77777777" w:rsidR="001B57A8" w:rsidRPr="00717315" w:rsidRDefault="001B57A8" w:rsidP="00717315">
            <w:pPr>
              <w:pStyle w:val="Akapitzlist"/>
              <w:numPr>
                <w:ilvl w:val="0"/>
                <w:numId w:val="101"/>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Rozwój infrastruktury dedykowanej mikromobilności.</w:t>
            </w:r>
          </w:p>
          <w:p w14:paraId="23382180" w14:textId="77777777" w:rsidR="001B57A8" w:rsidRPr="00717315" w:rsidRDefault="001B57A8" w:rsidP="00717315">
            <w:pPr>
              <w:pStyle w:val="Akapitzlist"/>
              <w:numPr>
                <w:ilvl w:val="0"/>
                <w:numId w:val="101"/>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Integracja i rozwój niskoemisyjnego transportu publicznego.</w:t>
            </w:r>
          </w:p>
          <w:p w14:paraId="3B69DDB4" w14:textId="60EFC6C7" w:rsidR="001B57A8" w:rsidRPr="00717315" w:rsidRDefault="001B57A8" w:rsidP="00717315">
            <w:pPr>
              <w:pStyle w:val="Akapitzlist"/>
              <w:numPr>
                <w:ilvl w:val="0"/>
                <w:numId w:val="101"/>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Niwelowanie barier transportowych poprzez rozwój systemów transportu zbiorowego pomiędzy ośrodkami miejskimi </w:t>
            </w:r>
            <w:r w:rsidR="00717315">
              <w:rPr>
                <w:rFonts w:ascii="Arial" w:hAnsi="Arial" w:cs="Arial"/>
                <w:color w:val="000000" w:themeColor="text1"/>
                <w:sz w:val="22"/>
                <w:szCs w:val="22"/>
              </w:rPr>
              <w:br/>
            </w:r>
            <w:r w:rsidRPr="00717315">
              <w:rPr>
                <w:rFonts w:ascii="Arial" w:hAnsi="Arial" w:cs="Arial"/>
                <w:color w:val="000000" w:themeColor="text1"/>
                <w:sz w:val="22"/>
                <w:szCs w:val="22"/>
              </w:rPr>
              <w:t>a sąsiednimi obszarami wiejskimi i ośrodkami miejskimi.</w:t>
            </w:r>
          </w:p>
          <w:p w14:paraId="487CB997" w14:textId="78C2B032" w:rsidR="00E67552" w:rsidRPr="00717315" w:rsidRDefault="00E67552" w:rsidP="00717315">
            <w:pPr>
              <w:pStyle w:val="Akapitzlist"/>
              <w:numPr>
                <w:ilvl w:val="0"/>
                <w:numId w:val="101"/>
              </w:numPr>
              <w:spacing w:line="276" w:lineRule="auto"/>
              <w:rPr>
                <w:rFonts w:ascii="Arial" w:hAnsi="Arial" w:cs="Arial"/>
                <w:color w:val="000000" w:themeColor="text1"/>
                <w:sz w:val="22"/>
                <w:szCs w:val="22"/>
              </w:rPr>
            </w:pPr>
            <w:r w:rsidRPr="00717315">
              <w:rPr>
                <w:rFonts w:ascii="Arial" w:hAnsi="Arial" w:cs="Arial"/>
                <w:color w:val="000000" w:themeColor="text1"/>
                <w:sz w:val="22"/>
                <w:szCs w:val="22"/>
              </w:rPr>
              <w:t xml:space="preserve">Rozwój infrastruktury liniowej i punktowej publicznego transportu zbiorowego, w tym dostosowanie do potrzeb osób </w:t>
            </w:r>
            <w:r w:rsidR="00717315">
              <w:rPr>
                <w:rFonts w:ascii="Arial" w:hAnsi="Arial" w:cs="Arial"/>
                <w:color w:val="000000" w:themeColor="text1"/>
                <w:sz w:val="22"/>
                <w:szCs w:val="22"/>
              </w:rPr>
              <w:br/>
            </w:r>
            <w:r w:rsidRPr="00717315">
              <w:rPr>
                <w:rFonts w:ascii="Arial" w:hAnsi="Arial" w:cs="Arial"/>
                <w:color w:val="000000" w:themeColor="text1"/>
                <w:sz w:val="22"/>
                <w:szCs w:val="22"/>
              </w:rPr>
              <w:t>o ograniczonej mobilności i z niepełnosprawnościami.</w:t>
            </w:r>
          </w:p>
          <w:p w14:paraId="0CFF2FF7" w14:textId="42AAFC48" w:rsidR="0091243D" w:rsidRPr="00717315" w:rsidRDefault="00FD1A2B" w:rsidP="00717315">
            <w:pPr>
              <w:pStyle w:val="Akapitzlist"/>
              <w:numPr>
                <w:ilvl w:val="0"/>
                <w:numId w:val="101"/>
              </w:numPr>
              <w:spacing w:line="276" w:lineRule="auto"/>
              <w:rPr>
                <w:rFonts w:ascii="Arial" w:hAnsi="Arial" w:cs="Arial"/>
                <w:color w:val="000000" w:themeColor="text1"/>
                <w:sz w:val="22"/>
                <w:szCs w:val="22"/>
              </w:rPr>
            </w:pPr>
            <w:r w:rsidRPr="00717315">
              <w:rPr>
                <w:rFonts w:ascii="Arial" w:hAnsi="Arial" w:cs="Arial"/>
                <w:color w:val="000000" w:themeColor="text1"/>
                <w:sz w:val="22"/>
                <w:szCs w:val="22"/>
              </w:rPr>
              <w:t>Wsparcie budowy i rozwoju spójnego oraz efektywnego publicznego systemu pozamiejskich (subregionalnych – powiat-powiat, miasto-wieś) przewozów pasażerskich.</w:t>
            </w:r>
          </w:p>
          <w:p w14:paraId="676B10B0" w14:textId="77777777" w:rsidR="001B57A8" w:rsidRPr="00717315" w:rsidRDefault="001B57A8" w:rsidP="00717315">
            <w:pPr>
              <w:pStyle w:val="Akapitzlist"/>
              <w:numPr>
                <w:ilvl w:val="0"/>
                <w:numId w:val="101"/>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Usprawnienie transportu oraz rozwój i modernizacja transportu publicznego poprzez dostosowanie taboru dla podróżnych na kierunkach obszarów turystycznych (Bieszczady, Beskid Niski, Roztocze, Jezioro Tarnobrzeskie) mi.in. przez dostosowanie pojazdów do możliwości przewożenia rowerów, hulajnóg.</w:t>
            </w:r>
          </w:p>
          <w:p w14:paraId="116C2906" w14:textId="63DE8FD4" w:rsidR="001B57A8" w:rsidRPr="00717315" w:rsidRDefault="001B57A8" w:rsidP="00717315">
            <w:pPr>
              <w:pStyle w:val="Akapitzlist"/>
              <w:numPr>
                <w:ilvl w:val="0"/>
                <w:numId w:val="101"/>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Upowszechnienie transportu indywidualnego typu door-to-door dla osób z potrzebą wsparcia w zakresie mobilności</w:t>
            </w:r>
            <w:r w:rsidR="00296CE0" w:rsidRPr="00717315">
              <w:rPr>
                <w:rFonts w:ascii="Arial" w:hAnsi="Arial" w:cs="Arial"/>
                <w:color w:val="000000" w:themeColor="text1"/>
                <w:sz w:val="22"/>
                <w:szCs w:val="22"/>
              </w:rPr>
              <w:t>.</w:t>
            </w:r>
          </w:p>
          <w:p w14:paraId="7D6E9308" w14:textId="5221BDAF" w:rsidR="001B57A8" w:rsidRPr="00717315" w:rsidRDefault="001B57A8" w:rsidP="00717315">
            <w:pPr>
              <w:pStyle w:val="Akapitzlist"/>
              <w:numPr>
                <w:ilvl w:val="0"/>
                <w:numId w:val="104"/>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Rozwój połączeń autobusowych i kolejowych zapewniających transport obszarom dotkniętym wykluczeniem transportowym</w:t>
            </w:r>
            <w:r w:rsidR="0076455A">
              <w:rPr>
                <w:rFonts w:ascii="Arial" w:hAnsi="Arial" w:cs="Arial"/>
                <w:color w:val="000000" w:themeColor="text1"/>
                <w:sz w:val="22"/>
                <w:szCs w:val="22"/>
              </w:rPr>
              <w:t>.</w:t>
            </w:r>
          </w:p>
          <w:p w14:paraId="160BA188" w14:textId="77777777" w:rsidR="001B57A8" w:rsidRPr="00717315" w:rsidRDefault="001B57A8" w:rsidP="00717315">
            <w:pPr>
              <w:pStyle w:val="Akapitzlist"/>
              <w:numPr>
                <w:ilvl w:val="0"/>
                <w:numId w:val="104"/>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Zwiększenie funkcjonalności kolei poprzez modernizacje oraz zakup nowoczesnego taboru kolejowego.</w:t>
            </w:r>
          </w:p>
          <w:p w14:paraId="57408930" w14:textId="40EAC7B2" w:rsidR="001B57A8" w:rsidRPr="00717315" w:rsidRDefault="001B57A8" w:rsidP="00717315">
            <w:pPr>
              <w:pStyle w:val="Akapitzlist"/>
              <w:numPr>
                <w:ilvl w:val="0"/>
                <w:numId w:val="104"/>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Niwelowanie barier transportowych poprzez rozwój systemów transportu zbiorowego w kierunku na Słowację, Ukrainę.</w:t>
            </w:r>
          </w:p>
          <w:p w14:paraId="09FBBF26" w14:textId="1527D805" w:rsidR="005F64E2" w:rsidRPr="00717315" w:rsidRDefault="005F64E2" w:rsidP="00717315">
            <w:pPr>
              <w:pStyle w:val="Akapitzlist"/>
              <w:numPr>
                <w:ilvl w:val="0"/>
                <w:numId w:val="104"/>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Wdrożenie rozwiązań pozwalających zapewnić dostępność transportową przy uwzględnieniu przewidywanego ogólnego spadku dojazdów do określonych ośrodków.</w:t>
            </w:r>
          </w:p>
          <w:p w14:paraId="378035D1" w14:textId="6F8DF16B" w:rsidR="00092CF0" w:rsidRPr="00717315" w:rsidRDefault="001B57A8" w:rsidP="00717315">
            <w:pPr>
              <w:pStyle w:val="Akapitzlist"/>
              <w:numPr>
                <w:ilvl w:val="0"/>
                <w:numId w:val="104"/>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Niwelowanie barier transportowych poprzez rozwój systemów transportu zbiorowego w ramach Czwórmiasta (Tarnobrzeg, Stalowa Wola, Nisko i Sandomierz).</w:t>
            </w:r>
          </w:p>
        </w:tc>
      </w:tr>
      <w:tr w:rsidR="001B57A8" w:rsidRPr="00717315" w14:paraId="1E5A6191" w14:textId="77777777" w:rsidTr="00717315">
        <w:tc>
          <w:tcPr>
            <w:tcW w:w="999" w:type="pct"/>
            <w:vAlign w:val="center"/>
          </w:tcPr>
          <w:p w14:paraId="4A631AEA" w14:textId="49895CDA" w:rsidR="001B57A8" w:rsidRPr="00717315" w:rsidRDefault="00717315" w:rsidP="00717315">
            <w:pPr>
              <w:spacing w:line="276" w:lineRule="auto"/>
              <w:rPr>
                <w:rFonts w:ascii="Arial" w:hAnsi="Arial" w:cs="Arial"/>
                <w:b/>
                <w:bCs/>
                <w:color w:val="000000" w:themeColor="text1"/>
                <w:sz w:val="22"/>
                <w:szCs w:val="22"/>
              </w:rPr>
            </w:pPr>
            <w:r>
              <w:rPr>
                <w:rFonts w:ascii="Arial" w:hAnsi="Arial" w:cs="Arial"/>
                <w:b/>
                <w:bCs/>
                <w:color w:val="000000" w:themeColor="text1"/>
                <w:sz w:val="22"/>
                <w:szCs w:val="22"/>
              </w:rPr>
              <w:t xml:space="preserve">Cel horyzontalny 4. </w:t>
            </w:r>
            <w:r w:rsidR="001B57A8" w:rsidRPr="00717315">
              <w:rPr>
                <w:rFonts w:ascii="Arial" w:hAnsi="Arial" w:cs="Arial"/>
                <w:b/>
                <w:color w:val="000000" w:themeColor="text1"/>
                <w:sz w:val="22"/>
                <w:szCs w:val="22"/>
              </w:rPr>
              <w:t xml:space="preserve">Poprawa bezpieczeństwa </w:t>
            </w:r>
            <w:r w:rsidR="001B57A8" w:rsidRPr="00717315">
              <w:rPr>
                <w:rFonts w:ascii="Arial" w:hAnsi="Arial" w:cs="Arial"/>
                <w:b/>
                <w:color w:val="000000" w:themeColor="text1"/>
                <w:sz w:val="22"/>
                <w:szCs w:val="22"/>
              </w:rPr>
              <w:br/>
              <w:t>w transporcie</w:t>
            </w:r>
          </w:p>
        </w:tc>
        <w:tc>
          <w:tcPr>
            <w:tcW w:w="4001" w:type="pct"/>
            <w:vAlign w:val="center"/>
          </w:tcPr>
          <w:p w14:paraId="10A26783" w14:textId="77777777" w:rsidR="001B57A8" w:rsidRPr="00717315" w:rsidRDefault="001B57A8" w:rsidP="00717315">
            <w:pPr>
              <w:pStyle w:val="Akapitzlist"/>
              <w:numPr>
                <w:ilvl w:val="0"/>
                <w:numId w:val="102"/>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Tworzenie infrastruktury technicznej (kolejowej i drogowej) celem zapewnienia bezpieczeństwa szlaków komunikacyjnych.</w:t>
            </w:r>
          </w:p>
          <w:p w14:paraId="4169C310" w14:textId="315234E5" w:rsidR="001B57A8" w:rsidRPr="00717315" w:rsidRDefault="001B57A8" w:rsidP="00717315">
            <w:pPr>
              <w:pStyle w:val="Akapitzlist"/>
              <w:numPr>
                <w:ilvl w:val="0"/>
                <w:numId w:val="102"/>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Modernizacja infrastruktury drogowej w celu poprawy bezpieczeństwa pieszych i rowerzystów m.in. poprzez budowę przejść dla pieszych i rowerzystów, chodników i ścieżek pieszo-rowerowych w ciągach dróg wojewódzkich</w:t>
            </w:r>
            <w:r w:rsidR="004A29F6" w:rsidRPr="00717315">
              <w:rPr>
                <w:rFonts w:ascii="Arial" w:hAnsi="Arial" w:cs="Arial"/>
                <w:color w:val="000000" w:themeColor="text1"/>
                <w:sz w:val="22"/>
                <w:szCs w:val="22"/>
              </w:rPr>
              <w:t>.</w:t>
            </w:r>
          </w:p>
          <w:p w14:paraId="116D18AE" w14:textId="77777777" w:rsidR="001B57A8" w:rsidRPr="00717315" w:rsidRDefault="001B57A8" w:rsidP="00717315">
            <w:pPr>
              <w:pStyle w:val="Akapitzlist"/>
              <w:numPr>
                <w:ilvl w:val="0"/>
                <w:numId w:val="102"/>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Usprawnienie systemu drogowego województwa i zmniejszenie wypadkowości poprzez wyprowadzenie ruchu tranzytowego z obszarów rdzeniowych MOF oraz innych miast dzięki budowie ich obwodnic.</w:t>
            </w:r>
          </w:p>
          <w:p w14:paraId="215872DA" w14:textId="39C3F63B" w:rsidR="001B57A8" w:rsidRPr="00717315" w:rsidRDefault="001B57A8" w:rsidP="00717315">
            <w:pPr>
              <w:pStyle w:val="Akapitzlist"/>
              <w:numPr>
                <w:ilvl w:val="0"/>
                <w:numId w:val="102"/>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Poprawa bezpieczeństwa uczestników ruchu oraz przewożonych towarów m.in. poprzez budowę bezkolizyjnych przejazdów drogowo-kolejowych.</w:t>
            </w:r>
          </w:p>
          <w:p w14:paraId="2DCA0263" w14:textId="1BEB7ED1" w:rsidR="004A29F6" w:rsidRPr="00717315" w:rsidRDefault="004A29F6" w:rsidP="00717315">
            <w:pPr>
              <w:pStyle w:val="Akapitzlist"/>
              <w:numPr>
                <w:ilvl w:val="0"/>
                <w:numId w:val="102"/>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Modernizacja zatok autobusowych poprzez dostosowanie dla osób o ograniczonej mobilności.</w:t>
            </w:r>
          </w:p>
          <w:p w14:paraId="593ACC0B" w14:textId="77777777" w:rsidR="001B57A8" w:rsidRPr="00717315" w:rsidRDefault="001B57A8" w:rsidP="00717315">
            <w:pPr>
              <w:pStyle w:val="Akapitzlist"/>
              <w:numPr>
                <w:ilvl w:val="0"/>
                <w:numId w:val="102"/>
              </w:numPr>
              <w:spacing w:line="276" w:lineRule="auto"/>
              <w:ind w:left="357" w:hanging="357"/>
              <w:rPr>
                <w:rFonts w:ascii="Arial" w:hAnsi="Arial" w:cs="Arial"/>
                <w:strike/>
                <w:color w:val="000000" w:themeColor="text1"/>
                <w:sz w:val="22"/>
                <w:szCs w:val="22"/>
              </w:rPr>
            </w:pPr>
            <w:r w:rsidRPr="00717315">
              <w:rPr>
                <w:rFonts w:ascii="Arial" w:hAnsi="Arial" w:cs="Arial"/>
                <w:color w:val="000000" w:themeColor="text1"/>
                <w:sz w:val="22"/>
                <w:szCs w:val="22"/>
              </w:rPr>
              <w:t xml:space="preserve">Współpraca z zarządcami dróg i samorządami w celu poprawy bezpieczeństwa na przejazdach i przejściach kolejowych dla pieszych </w:t>
            </w:r>
          </w:p>
          <w:p w14:paraId="3FB29A56" w14:textId="77777777" w:rsidR="001B57A8" w:rsidRPr="00717315" w:rsidRDefault="001B57A8" w:rsidP="00717315">
            <w:pPr>
              <w:pStyle w:val="Akapitzlist"/>
              <w:numPr>
                <w:ilvl w:val="0"/>
                <w:numId w:val="102"/>
              </w:numPr>
              <w:spacing w:line="276" w:lineRule="auto"/>
              <w:ind w:left="357" w:hanging="357"/>
              <w:rPr>
                <w:rFonts w:ascii="Arial" w:hAnsi="Arial" w:cs="Arial"/>
                <w:strike/>
                <w:color w:val="000000" w:themeColor="text1"/>
                <w:sz w:val="22"/>
                <w:szCs w:val="22"/>
              </w:rPr>
            </w:pPr>
            <w:r w:rsidRPr="00717315">
              <w:rPr>
                <w:rFonts w:ascii="Arial" w:hAnsi="Arial" w:cs="Arial"/>
                <w:color w:val="000000" w:themeColor="text1"/>
                <w:sz w:val="22"/>
                <w:szCs w:val="22"/>
              </w:rPr>
              <w:t>Wzrost bezpieczeństwa pieszych i rowerzystów, poprzez promocję zmiany zachowań transportowych.</w:t>
            </w:r>
          </w:p>
          <w:p w14:paraId="41D7B500" w14:textId="35BBFB60" w:rsidR="001B57A8" w:rsidRPr="00717315" w:rsidRDefault="001B57A8" w:rsidP="00717315">
            <w:pPr>
              <w:pStyle w:val="Akapitzlist"/>
              <w:numPr>
                <w:ilvl w:val="0"/>
                <w:numId w:val="102"/>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Wsparcie instytucjonalne, infrastrukturalne, techniczne i szkoleniowe dla podmiotów ratowniczych, służb, inspekcji </w:t>
            </w:r>
            <w:r w:rsidR="00717315">
              <w:rPr>
                <w:rFonts w:ascii="Arial" w:hAnsi="Arial" w:cs="Arial"/>
                <w:color w:val="000000" w:themeColor="text1"/>
                <w:sz w:val="22"/>
                <w:szCs w:val="22"/>
              </w:rPr>
              <w:br/>
            </w:r>
            <w:r w:rsidRPr="00717315">
              <w:rPr>
                <w:rFonts w:ascii="Arial" w:hAnsi="Arial" w:cs="Arial"/>
                <w:color w:val="000000" w:themeColor="text1"/>
                <w:sz w:val="22"/>
                <w:szCs w:val="22"/>
              </w:rPr>
              <w:t>i straży, organizacji pozarządowych (NGO) i innych zapewniających bezpieczeństwo i działających w obszarze bezpieczeństwa i ratownictwa.</w:t>
            </w:r>
          </w:p>
          <w:p w14:paraId="0B47A016" w14:textId="77777777" w:rsidR="001B57A8" w:rsidRPr="00717315" w:rsidRDefault="001B57A8" w:rsidP="00717315">
            <w:pPr>
              <w:pStyle w:val="Akapitzlist"/>
              <w:numPr>
                <w:ilvl w:val="0"/>
                <w:numId w:val="102"/>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Poprawa bezpieczeństwa rozwiązań komunikacyjnych we wszystkich sektorach transportu, z uwzględnieniem zagrożeń wynikających z transportu materiałów niebezpiecznych (bezkolizyjne skrzyżowania dróg i sieci kolejowej).</w:t>
            </w:r>
          </w:p>
          <w:p w14:paraId="55D532B9" w14:textId="77777777" w:rsidR="001B57A8" w:rsidRPr="00717315" w:rsidRDefault="001B57A8" w:rsidP="00717315">
            <w:pPr>
              <w:pStyle w:val="Akapitzlist"/>
              <w:numPr>
                <w:ilvl w:val="0"/>
                <w:numId w:val="102"/>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Higiena i bezpieczeństwo epidemiczne w zakresie transportu publicznego.</w:t>
            </w:r>
          </w:p>
          <w:p w14:paraId="7EABC2BA" w14:textId="73DD09D7" w:rsidR="001B57A8" w:rsidRPr="00717315" w:rsidRDefault="001B57A8" w:rsidP="00717315">
            <w:pPr>
              <w:pStyle w:val="Akapitzlist"/>
              <w:numPr>
                <w:ilvl w:val="0"/>
                <w:numId w:val="102"/>
              </w:numPr>
              <w:spacing w:line="276" w:lineRule="auto"/>
              <w:ind w:left="357" w:hanging="357"/>
              <w:rPr>
                <w:rFonts w:ascii="Arial" w:hAnsi="Arial" w:cs="Arial"/>
                <w:color w:val="000000" w:themeColor="text1"/>
                <w:sz w:val="22"/>
                <w:szCs w:val="22"/>
              </w:rPr>
            </w:pPr>
            <w:r w:rsidRPr="00717315">
              <w:rPr>
                <w:rFonts w:ascii="Arial" w:hAnsi="Arial" w:cs="Arial"/>
                <w:color w:val="000000" w:themeColor="text1"/>
                <w:sz w:val="22"/>
                <w:szCs w:val="22"/>
              </w:rPr>
              <w:t xml:space="preserve">Sprzętowe wsparcie dla instytucji i podmiotów zarządzających ruchem oraz infrastrukturą transportową (w zakresie </w:t>
            </w:r>
            <w:r w:rsidR="0076455A">
              <w:rPr>
                <w:rFonts w:ascii="Arial" w:hAnsi="Arial" w:cs="Arial"/>
                <w:color w:val="000000" w:themeColor="text1"/>
                <w:sz w:val="22"/>
                <w:szCs w:val="22"/>
              </w:rPr>
              <w:br/>
              <w:t>m.</w:t>
            </w:r>
            <w:r w:rsidRPr="00717315">
              <w:rPr>
                <w:rFonts w:ascii="Arial" w:hAnsi="Arial" w:cs="Arial"/>
                <w:color w:val="000000" w:themeColor="text1"/>
                <w:sz w:val="22"/>
                <w:szCs w:val="22"/>
              </w:rPr>
              <w:t xml:space="preserve">in. stacji monitorowania ruchu, sygnalizacji utrudnień w ruchu, systemów zarządzania ruchem, w szczególności </w:t>
            </w:r>
            <w:r w:rsidR="00717315">
              <w:rPr>
                <w:rFonts w:ascii="Arial" w:hAnsi="Arial" w:cs="Arial"/>
                <w:color w:val="000000" w:themeColor="text1"/>
                <w:sz w:val="22"/>
                <w:szCs w:val="22"/>
              </w:rPr>
              <w:br/>
            </w:r>
            <w:r w:rsidRPr="00717315">
              <w:rPr>
                <w:rFonts w:ascii="Arial" w:hAnsi="Arial" w:cs="Arial"/>
                <w:color w:val="000000" w:themeColor="text1"/>
                <w:sz w:val="22"/>
                <w:szCs w:val="22"/>
              </w:rPr>
              <w:t>w miastach).</w:t>
            </w:r>
          </w:p>
        </w:tc>
      </w:tr>
    </w:tbl>
    <w:p w14:paraId="227980F9" w14:textId="77777777" w:rsidR="00771CDE" w:rsidRPr="009B78DA" w:rsidRDefault="00771CDE" w:rsidP="00F45E35">
      <w:pPr>
        <w:spacing w:after="0" w:line="276" w:lineRule="auto"/>
        <w:jc w:val="both"/>
        <w:rPr>
          <w:rFonts w:ascii="Arial" w:hAnsi="Arial" w:cs="Arial"/>
          <w:color w:val="000000" w:themeColor="text1"/>
          <w:sz w:val="22"/>
          <w:szCs w:val="22"/>
        </w:rPr>
        <w:sectPr w:rsidR="00771CDE" w:rsidRPr="009B78DA" w:rsidSect="00E672FF">
          <w:pgSz w:w="16838" w:h="11906" w:orient="landscape"/>
          <w:pgMar w:top="720" w:right="720" w:bottom="720" w:left="720" w:header="708" w:footer="708" w:gutter="0"/>
          <w:cols w:space="708"/>
          <w:docGrid w:linePitch="360"/>
        </w:sectPr>
      </w:pPr>
    </w:p>
    <w:p w14:paraId="6ADBF014" w14:textId="2F4E1C69" w:rsidR="00222787" w:rsidRPr="009B78DA" w:rsidRDefault="000611F7" w:rsidP="00717315">
      <w:pPr>
        <w:pStyle w:val="Nagwek2"/>
        <w:numPr>
          <w:ilvl w:val="0"/>
          <w:numId w:val="262"/>
        </w:numPr>
        <w:rPr>
          <w:rFonts w:cs="Arial"/>
          <w:b w:val="0"/>
          <w:bCs/>
          <w:sz w:val="24"/>
          <w:szCs w:val="24"/>
        </w:rPr>
      </w:pPr>
      <w:bookmarkStart w:id="279" w:name="_Toc100335077"/>
      <w:bookmarkStart w:id="280" w:name="_Toc146785803"/>
      <w:bookmarkStart w:id="281" w:name="_Hlk76100505"/>
      <w:r w:rsidRPr="009B78DA">
        <w:rPr>
          <w:rFonts w:cs="Arial"/>
          <w:bCs/>
          <w:sz w:val="24"/>
          <w:szCs w:val="24"/>
        </w:rPr>
        <w:t>Inwestycje w ramach celów podstawowych i horyzontalnych</w:t>
      </w:r>
      <w:bookmarkEnd w:id="279"/>
      <w:bookmarkEnd w:id="280"/>
    </w:p>
    <w:bookmarkEnd w:id="281"/>
    <w:p w14:paraId="12963145" w14:textId="26516AC9" w:rsidR="00222787" w:rsidRPr="009B78DA" w:rsidRDefault="00222787" w:rsidP="00717315">
      <w:pPr>
        <w:spacing w:after="120" w:line="276" w:lineRule="auto"/>
        <w:rPr>
          <w:rFonts w:ascii="Arial" w:hAnsi="Arial" w:cs="Arial"/>
          <w:b/>
          <w:color w:val="000000" w:themeColor="text1"/>
          <w:sz w:val="22"/>
          <w:szCs w:val="22"/>
        </w:rPr>
      </w:pPr>
      <w:r w:rsidRPr="009B78DA">
        <w:rPr>
          <w:rFonts w:ascii="Arial" w:hAnsi="Arial" w:cs="Arial"/>
          <w:b/>
          <w:color w:val="000000" w:themeColor="text1"/>
          <w:sz w:val="22"/>
          <w:szCs w:val="22"/>
        </w:rPr>
        <w:t>Cel podstawowy 1.</w:t>
      </w:r>
      <w:r w:rsidRPr="009B78DA">
        <w:rPr>
          <w:rFonts w:ascii="Arial" w:hAnsi="Arial" w:cs="Arial"/>
          <w:b/>
          <w:color w:val="000000" w:themeColor="text1"/>
          <w:sz w:val="22"/>
          <w:szCs w:val="22"/>
        </w:rPr>
        <w:br/>
        <w:t>Dostępność zewnętrzna</w:t>
      </w:r>
      <w:r w:rsidRPr="009B78DA">
        <w:rPr>
          <w:rFonts w:ascii="Arial" w:hAnsi="Arial" w:cs="Arial"/>
          <w:b/>
          <w:color w:val="000000" w:themeColor="text1"/>
          <w:sz w:val="22"/>
          <w:szCs w:val="22"/>
        </w:rPr>
        <w:br/>
      </w:r>
      <w:r w:rsidR="005071BD" w:rsidRPr="009B78DA">
        <w:rPr>
          <w:rFonts w:ascii="Arial" w:hAnsi="Arial" w:cs="Arial"/>
          <w:b/>
          <w:color w:val="000000" w:themeColor="text1"/>
          <w:sz w:val="22"/>
          <w:szCs w:val="22"/>
        </w:rPr>
        <w:t xml:space="preserve">Zwiększenie dostępności zewnętrznej regionu (krajowej i zagranicznej) wynikającej </w:t>
      </w:r>
      <w:r w:rsidR="00C173D4" w:rsidRPr="009B78DA">
        <w:rPr>
          <w:rFonts w:ascii="Arial" w:hAnsi="Arial" w:cs="Arial"/>
          <w:b/>
          <w:color w:val="000000" w:themeColor="text1"/>
          <w:sz w:val="22"/>
          <w:szCs w:val="22"/>
        </w:rPr>
        <w:br/>
      </w:r>
      <w:r w:rsidR="005071BD" w:rsidRPr="009B78DA">
        <w:rPr>
          <w:rFonts w:ascii="Arial" w:hAnsi="Arial" w:cs="Arial"/>
          <w:b/>
          <w:color w:val="000000" w:themeColor="text1"/>
          <w:sz w:val="22"/>
          <w:szCs w:val="22"/>
        </w:rPr>
        <w:t>z peryferyjnego położenia województwa</w:t>
      </w:r>
    </w:p>
    <w:p w14:paraId="26ECDD3D" w14:textId="77777777" w:rsidR="00222787" w:rsidRPr="009B78DA" w:rsidRDefault="00222787" w:rsidP="0071731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Transport lądowy (drogowy, kolejowy, wodny śródlądowy) jest podstawą zintegrowanego systemu transportowego w Polsce jak również w województwie podkarpackim. Zaspokaja w przeważającej większo</w:t>
      </w:r>
      <w:r w:rsidR="00D9484D" w:rsidRPr="009B78DA">
        <w:rPr>
          <w:rFonts w:ascii="Arial" w:hAnsi="Arial" w:cs="Arial"/>
          <w:color w:val="000000" w:themeColor="text1"/>
          <w:sz w:val="22"/>
          <w:szCs w:val="22"/>
        </w:rPr>
        <w:t xml:space="preserve">ści potrzeby wewnątrzkrajowego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i regionalnego transportu ładunków i osób. Jest on także głównym narzędziem przestrzennej integracji gospodarki z rynkiem globalnym. Integracja systemu transportu lądowego wymaga stymulowania jego wymiaru ilościowego (do czasu nadrobienia zaległości) oraz poprawy jakościowej powiązań między poszczególnymi gałęziami i różnymi procesami dokonującymi się na sieciach transportowych.</w:t>
      </w:r>
    </w:p>
    <w:p w14:paraId="67F03756" w14:textId="7C26170A" w:rsidR="00222787" w:rsidRPr="009B78DA" w:rsidRDefault="00222787" w:rsidP="0071731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Sieć transportowa województwa podkarpackiego jest ściśle powiązana </w:t>
      </w:r>
      <w:r w:rsidRPr="009B78DA">
        <w:rPr>
          <w:rFonts w:ascii="Arial" w:hAnsi="Arial" w:cs="Arial"/>
          <w:color w:val="000000" w:themeColor="text1"/>
          <w:sz w:val="22"/>
          <w:szCs w:val="22"/>
        </w:rPr>
        <w:br/>
        <w:t xml:space="preserve">z układem krajowym i transeuropejskim. Głównym elementem umiejscowienia systemu transportu województwa w europejskim systemie transportowym jest jego położenie </w:t>
      </w:r>
      <w:r w:rsidR="00717315">
        <w:rPr>
          <w:rFonts w:ascii="Arial" w:hAnsi="Arial" w:cs="Arial"/>
          <w:color w:val="000000" w:themeColor="text1"/>
          <w:sz w:val="22"/>
          <w:szCs w:val="22"/>
        </w:rPr>
        <w:br/>
      </w:r>
      <w:r w:rsidRPr="009B78DA">
        <w:rPr>
          <w:rFonts w:ascii="Arial" w:hAnsi="Arial" w:cs="Arial"/>
          <w:color w:val="000000" w:themeColor="text1"/>
          <w:sz w:val="22"/>
          <w:szCs w:val="22"/>
        </w:rPr>
        <w:t>w ramach sieci Transeuropejskiej Sieci Transportowej (TEN-T).</w:t>
      </w:r>
    </w:p>
    <w:p w14:paraId="0587D7B4" w14:textId="5A842A56" w:rsidR="00222787" w:rsidRPr="009B78DA" w:rsidRDefault="00222787" w:rsidP="00717315">
      <w:pPr>
        <w:spacing w:after="0" w:line="276" w:lineRule="auto"/>
        <w:rPr>
          <w:rFonts w:ascii="Arial" w:hAnsi="Arial" w:cs="Arial"/>
          <w:b/>
          <w:i/>
          <w:color w:val="000000" w:themeColor="text1"/>
          <w:sz w:val="22"/>
          <w:szCs w:val="22"/>
          <w:u w:val="single"/>
        </w:rPr>
      </w:pPr>
      <w:bookmarkStart w:id="282" w:name="_Hlk76100525"/>
      <w:r w:rsidRPr="009B78DA">
        <w:rPr>
          <w:rFonts w:ascii="Arial" w:hAnsi="Arial" w:cs="Arial"/>
          <w:b/>
          <w:i/>
          <w:color w:val="000000" w:themeColor="text1"/>
          <w:sz w:val="22"/>
          <w:szCs w:val="22"/>
          <w:u w:val="single"/>
        </w:rPr>
        <w:t>Transport drogowy</w:t>
      </w:r>
    </w:p>
    <w:bookmarkEnd w:id="282"/>
    <w:p w14:paraId="476AD8BA" w14:textId="4BB980C6" w:rsidR="00222787" w:rsidRPr="009B78DA" w:rsidRDefault="00222787" w:rsidP="0071731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Dostępność zewnętrzna województwa podkarpackiego jest dobra na kierunku wschód-zachód. Na innych kierunkach jest niezadowalająca. Wynika to przede wszystkim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z peryferyjnego położenia regionu względem centralnej Polski,</w:t>
      </w:r>
      <w:r w:rsidR="00D52BD3"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Krakowa, Górnośląskiego Okręgu Przemysłowego, przylegającej granicy Unii Europejskiej</w:t>
      </w:r>
      <w:r w:rsidR="00D52BD3"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i ze zróżnicowania wysokościowego terenu. Istotny wpływ na poprawę dostępności zewnę</w:t>
      </w:r>
      <w:r w:rsidR="00D9484D" w:rsidRPr="009B78DA">
        <w:rPr>
          <w:rFonts w:ascii="Arial" w:hAnsi="Arial" w:cs="Arial"/>
          <w:color w:val="000000" w:themeColor="text1"/>
          <w:sz w:val="22"/>
          <w:szCs w:val="22"/>
        </w:rPr>
        <w:t xml:space="preserve">trznej regionu ma integralność </w:t>
      </w:r>
      <w:r w:rsidRPr="009B78DA">
        <w:rPr>
          <w:rFonts w:ascii="Arial" w:hAnsi="Arial" w:cs="Arial"/>
          <w:color w:val="000000" w:themeColor="text1"/>
          <w:sz w:val="22"/>
          <w:szCs w:val="22"/>
        </w:rPr>
        <w:t>z bazową i kompleksową transeuropejską siecią transportową (TEN-T).</w:t>
      </w:r>
    </w:p>
    <w:p w14:paraId="69092438" w14:textId="63634E84" w:rsidR="00222787" w:rsidRPr="009B78DA" w:rsidRDefault="00222787" w:rsidP="0071731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Na terenie województwa występuje zróżnicowanie w dostępności poszczególnych części. Znacznie lepiej skomunikowana jest część zachodnia województwa, szczególnie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w</w:t>
      </w:r>
      <w:r w:rsidR="009B18ED"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sąsiedztwie przebiegającej w kierunku Rzeszowa autostrady A4, część północno-zachodnia, gdzie położone są obszary funkcjonalne: Dębica, Mielec, Tarnobrzeg oraz część centralna, gdzie znajduje się Rzeszowski Obszar Funkcjonalny.</w:t>
      </w:r>
    </w:p>
    <w:p w14:paraId="1EBF7195" w14:textId="77777777" w:rsidR="00222787" w:rsidRPr="009B78DA" w:rsidRDefault="00222787" w:rsidP="00717315">
      <w:pPr>
        <w:spacing w:after="0" w:line="276" w:lineRule="auto"/>
        <w:ind w:firstLine="709"/>
        <w:rPr>
          <w:rFonts w:ascii="Arial" w:hAnsi="Arial" w:cs="Arial"/>
          <w:color w:val="000000" w:themeColor="text1"/>
          <w:sz w:val="22"/>
          <w:szCs w:val="22"/>
        </w:rPr>
      </w:pPr>
      <w:bookmarkStart w:id="283" w:name="_Hlk77155104"/>
      <w:r w:rsidRPr="009B78DA">
        <w:rPr>
          <w:rFonts w:ascii="Arial" w:hAnsi="Arial" w:cs="Arial"/>
          <w:color w:val="000000" w:themeColor="text1"/>
          <w:sz w:val="22"/>
          <w:szCs w:val="22"/>
        </w:rPr>
        <w:t>Zauważalnie niższą dostępność komunikacyjną można zaobserwować na wschodzie województwa przy granicy z Ukrainą, w Bieszczadach oraz na obszarach Pogórzy Dynowskiego i Przemyskiego</w:t>
      </w:r>
      <w:bookmarkEnd w:id="283"/>
      <w:r w:rsidRPr="009B78DA">
        <w:rPr>
          <w:rFonts w:ascii="Arial" w:hAnsi="Arial" w:cs="Arial"/>
          <w:color w:val="000000" w:themeColor="text1"/>
          <w:sz w:val="22"/>
          <w:szCs w:val="22"/>
        </w:rPr>
        <w:t>.</w:t>
      </w:r>
    </w:p>
    <w:p w14:paraId="3175108F" w14:textId="5C4ED1FE" w:rsidR="00222787" w:rsidRPr="009B78DA" w:rsidRDefault="00222787" w:rsidP="0071731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Najbardziej znaczącymi drogowymi inwestycjami infrastrukturalnymi wpływającymi na poprawę dostępności zewnętrznej województwa w ostatnich latach </w:t>
      </w:r>
      <w:r w:rsidR="00443928" w:rsidRPr="009B78DA">
        <w:rPr>
          <w:rFonts w:ascii="Arial" w:hAnsi="Arial" w:cs="Arial"/>
          <w:color w:val="000000" w:themeColor="text1"/>
          <w:sz w:val="22"/>
          <w:szCs w:val="22"/>
        </w:rPr>
        <w:t>było</w:t>
      </w:r>
      <w:r w:rsidRPr="009B78DA">
        <w:rPr>
          <w:rFonts w:ascii="Arial" w:hAnsi="Arial" w:cs="Arial"/>
          <w:color w:val="000000" w:themeColor="text1"/>
          <w:sz w:val="22"/>
          <w:szCs w:val="22"/>
        </w:rPr>
        <w:t xml:space="preserve"> dokończenie budowy autostrady A4 oraz oddanie do użytku odcinków drogi ekspresowej S19: </w:t>
      </w:r>
      <w:bookmarkStart w:id="284" w:name="_Hlk92615044"/>
      <w:r w:rsidRPr="009B78DA">
        <w:rPr>
          <w:rFonts w:ascii="Arial" w:hAnsi="Arial" w:cs="Arial"/>
          <w:color w:val="000000" w:themeColor="text1"/>
          <w:sz w:val="22"/>
          <w:szCs w:val="22"/>
        </w:rPr>
        <w:t>Sokołów Małopolski Północ – Rzeszów Wschód, Rzeszów Zachód – Świlcza oraz Świlcza – Rzeszów Południe</w:t>
      </w:r>
      <w:r w:rsidR="00482155" w:rsidRPr="009B78DA">
        <w:rPr>
          <w:rFonts w:ascii="Arial" w:hAnsi="Arial" w:cs="Arial"/>
          <w:color w:val="000000" w:themeColor="text1"/>
          <w:sz w:val="22"/>
          <w:szCs w:val="22"/>
        </w:rPr>
        <w:t xml:space="preserve">, </w:t>
      </w:r>
      <w:r w:rsidR="0073099E" w:rsidRPr="009B78DA">
        <w:rPr>
          <w:rFonts w:ascii="Arial" w:hAnsi="Arial" w:cs="Arial"/>
          <w:color w:val="000000" w:themeColor="text1"/>
          <w:sz w:val="22"/>
          <w:szCs w:val="22"/>
        </w:rPr>
        <w:t xml:space="preserve">a </w:t>
      </w:r>
      <w:r w:rsidR="00482155" w:rsidRPr="009B78DA">
        <w:rPr>
          <w:rFonts w:ascii="Arial" w:hAnsi="Arial" w:cs="Arial"/>
          <w:color w:val="000000" w:themeColor="text1"/>
          <w:sz w:val="22"/>
          <w:szCs w:val="22"/>
        </w:rPr>
        <w:t>w dalszej kolejności odcinków: Rudnik nad Sanem – Nisko, Nisko</w:t>
      </w:r>
      <w:r w:rsidR="0073099E" w:rsidRPr="009B78DA">
        <w:rPr>
          <w:rFonts w:ascii="Arial" w:hAnsi="Arial" w:cs="Arial"/>
          <w:color w:val="000000" w:themeColor="text1"/>
          <w:sz w:val="22"/>
          <w:szCs w:val="22"/>
        </w:rPr>
        <w:t xml:space="preserve"> </w:t>
      </w:r>
      <w:r w:rsidR="00482155" w:rsidRPr="009B78DA">
        <w:rPr>
          <w:rFonts w:ascii="Arial" w:hAnsi="Arial" w:cs="Arial"/>
          <w:color w:val="000000" w:themeColor="text1"/>
          <w:sz w:val="22"/>
          <w:szCs w:val="22"/>
        </w:rPr>
        <w:t>–</w:t>
      </w:r>
      <w:r w:rsidR="0073099E" w:rsidRPr="009B78DA">
        <w:rPr>
          <w:rFonts w:ascii="Arial" w:hAnsi="Arial" w:cs="Arial"/>
          <w:color w:val="000000" w:themeColor="text1"/>
          <w:sz w:val="22"/>
          <w:szCs w:val="22"/>
        </w:rPr>
        <w:t xml:space="preserve"> </w:t>
      </w:r>
      <w:r w:rsidR="00482155" w:rsidRPr="009B78DA">
        <w:rPr>
          <w:rFonts w:ascii="Arial" w:hAnsi="Arial" w:cs="Arial"/>
          <w:color w:val="000000" w:themeColor="text1"/>
          <w:sz w:val="22"/>
          <w:szCs w:val="22"/>
        </w:rPr>
        <w:t xml:space="preserve">Jeżowe oraz </w:t>
      </w:r>
      <w:r w:rsidR="0073099E" w:rsidRPr="009B78DA">
        <w:rPr>
          <w:rFonts w:ascii="Arial" w:hAnsi="Arial" w:cs="Arial"/>
          <w:color w:val="000000" w:themeColor="text1"/>
          <w:sz w:val="22"/>
          <w:szCs w:val="22"/>
        </w:rPr>
        <w:t>Jeżowa – Łowisko.</w:t>
      </w:r>
    </w:p>
    <w:bookmarkEnd w:id="284"/>
    <w:p w14:paraId="730916F6" w14:textId="0E2A23BF" w:rsidR="00222787" w:rsidRPr="009B78DA" w:rsidRDefault="00222787" w:rsidP="0071731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Realizacja pozostałych odcinków drogi </w:t>
      </w:r>
      <w:r w:rsidR="00443928" w:rsidRPr="009B78DA">
        <w:rPr>
          <w:rFonts w:ascii="Arial" w:hAnsi="Arial" w:cs="Arial"/>
          <w:color w:val="000000" w:themeColor="text1"/>
          <w:sz w:val="22"/>
          <w:szCs w:val="22"/>
        </w:rPr>
        <w:t xml:space="preserve">S19 </w:t>
      </w:r>
      <w:r w:rsidRPr="009B78DA">
        <w:rPr>
          <w:rFonts w:ascii="Arial" w:hAnsi="Arial" w:cs="Arial"/>
          <w:color w:val="000000" w:themeColor="text1"/>
          <w:sz w:val="22"/>
          <w:szCs w:val="22"/>
        </w:rPr>
        <w:t xml:space="preserve">pozytywnie wpłynie na zwiększenie relacji komunikacyjnych, a jej zasięg oddziaływania będzie impulsem rozwojowym nie tylko wzdłuż samego korytarza drogowego (w największym stopniu), lecz także powiatów położonych przy granicy ze Słowacją oraz całego województwa. </w:t>
      </w:r>
      <w:bookmarkStart w:id="285" w:name="_Hlk76100559"/>
      <w:r w:rsidR="001C26D9" w:rsidRPr="009B78DA">
        <w:rPr>
          <w:rFonts w:ascii="Arial" w:hAnsi="Arial" w:cs="Arial"/>
          <w:color w:val="000000" w:themeColor="text1"/>
          <w:sz w:val="22"/>
          <w:szCs w:val="22"/>
        </w:rPr>
        <w:t xml:space="preserve">Kolejnym ważnym odcinkiem, którego realizacja będzie pozytywnie wpływać na dostępność komunikacyjną jest ciąg dróg </w:t>
      </w:r>
      <w:r w:rsidR="00D9484D" w:rsidRPr="009B78DA">
        <w:rPr>
          <w:rFonts w:ascii="Arial" w:hAnsi="Arial" w:cs="Arial"/>
          <w:color w:val="000000" w:themeColor="text1"/>
          <w:sz w:val="22"/>
          <w:szCs w:val="22"/>
        </w:rPr>
        <w:br/>
      </w:r>
      <w:r w:rsidR="001C26D9" w:rsidRPr="009B78DA">
        <w:rPr>
          <w:rFonts w:ascii="Arial" w:hAnsi="Arial" w:cs="Arial"/>
          <w:color w:val="000000" w:themeColor="text1"/>
          <w:sz w:val="22"/>
          <w:szCs w:val="22"/>
        </w:rPr>
        <w:t>o parametrach ekspresowych w ciągu zbliżonym do drogi krajowej nr 73 i 28 pomiędzy nowym węzłem na autostradzie A4 Pilzno a Sanokiem (bardzo ważna jest budowa dodatkowych węzłów na autostradzie A4, która będzie wypadkową oczekiwań interesariuszy i możliwości GDDKiA</w:t>
      </w:r>
      <w:r w:rsidRPr="009B78DA">
        <w:rPr>
          <w:rFonts w:ascii="Arial" w:hAnsi="Arial" w:cs="Arial"/>
          <w:color w:val="000000" w:themeColor="text1"/>
          <w:sz w:val="22"/>
          <w:szCs w:val="22"/>
        </w:rPr>
        <w:t xml:space="preserve">). </w:t>
      </w:r>
      <w:bookmarkEnd w:id="285"/>
      <w:r w:rsidRPr="009B78DA">
        <w:rPr>
          <w:rFonts w:ascii="Arial" w:hAnsi="Arial" w:cs="Arial"/>
          <w:color w:val="000000" w:themeColor="text1"/>
          <w:sz w:val="22"/>
          <w:szCs w:val="22"/>
        </w:rPr>
        <w:t xml:space="preserve">Jest on szczególnie ważny dla południowo-zachodnich powiatów, gdyż przyniesie on porównywalne, a nawet większe korzyści niż budowa drogi S19. </w:t>
      </w:r>
      <w:bookmarkStart w:id="286" w:name="_Hlk100566491"/>
      <w:bookmarkStart w:id="287" w:name="_Hlk77155346"/>
      <w:r w:rsidR="00282176" w:rsidRPr="009B78DA">
        <w:rPr>
          <w:rFonts w:ascii="Arial" w:hAnsi="Arial" w:cs="Arial"/>
          <w:color w:val="000000" w:themeColor="text1"/>
          <w:sz w:val="22"/>
          <w:szCs w:val="22"/>
        </w:rPr>
        <w:t xml:space="preserve">Z kolei wzmocnienie drogowego układu komunikacyjnego od postulowanego węzła w Pilźnie </w:t>
      </w:r>
      <w:r w:rsidR="00717315">
        <w:rPr>
          <w:rFonts w:ascii="Arial" w:hAnsi="Arial" w:cs="Arial"/>
          <w:color w:val="000000" w:themeColor="text1"/>
          <w:sz w:val="22"/>
          <w:szCs w:val="22"/>
        </w:rPr>
        <w:br/>
      </w:r>
      <w:r w:rsidR="00282176" w:rsidRPr="009B78DA">
        <w:rPr>
          <w:rFonts w:ascii="Arial" w:hAnsi="Arial" w:cs="Arial"/>
          <w:color w:val="000000" w:themeColor="text1"/>
          <w:sz w:val="22"/>
          <w:szCs w:val="22"/>
        </w:rPr>
        <w:t xml:space="preserve">w kierunku powiatów północno-zachodnich </w:t>
      </w:r>
      <w:r w:rsidR="00101B2A" w:rsidRPr="009B78DA">
        <w:rPr>
          <w:rFonts w:ascii="Arial" w:hAnsi="Arial" w:cs="Arial"/>
          <w:color w:val="000000" w:themeColor="text1"/>
          <w:sz w:val="22"/>
          <w:szCs w:val="22"/>
        </w:rPr>
        <w:t xml:space="preserve">sprzyjać będzie </w:t>
      </w:r>
      <w:r w:rsidR="00282176" w:rsidRPr="009B78DA">
        <w:rPr>
          <w:rFonts w:ascii="Arial" w:hAnsi="Arial" w:cs="Arial"/>
          <w:color w:val="000000" w:themeColor="text1"/>
          <w:sz w:val="22"/>
          <w:szCs w:val="22"/>
        </w:rPr>
        <w:t>usprawni</w:t>
      </w:r>
      <w:r w:rsidR="00101B2A" w:rsidRPr="009B78DA">
        <w:rPr>
          <w:rFonts w:ascii="Arial" w:hAnsi="Arial" w:cs="Arial"/>
          <w:color w:val="000000" w:themeColor="text1"/>
          <w:sz w:val="22"/>
          <w:szCs w:val="22"/>
        </w:rPr>
        <w:t>eniu</w:t>
      </w:r>
      <w:r w:rsidR="00282176" w:rsidRPr="009B78DA">
        <w:rPr>
          <w:rFonts w:ascii="Arial" w:hAnsi="Arial" w:cs="Arial"/>
          <w:color w:val="000000" w:themeColor="text1"/>
          <w:sz w:val="22"/>
          <w:szCs w:val="22"/>
        </w:rPr>
        <w:t xml:space="preserve"> ruch</w:t>
      </w:r>
      <w:r w:rsidR="00101B2A" w:rsidRPr="009B78DA">
        <w:rPr>
          <w:rFonts w:ascii="Arial" w:hAnsi="Arial" w:cs="Arial"/>
          <w:color w:val="000000" w:themeColor="text1"/>
          <w:sz w:val="22"/>
          <w:szCs w:val="22"/>
        </w:rPr>
        <w:t>u</w:t>
      </w:r>
      <w:r w:rsidR="00282176" w:rsidRPr="009B78DA">
        <w:rPr>
          <w:rFonts w:ascii="Arial" w:hAnsi="Arial" w:cs="Arial"/>
          <w:color w:val="000000" w:themeColor="text1"/>
          <w:sz w:val="22"/>
          <w:szCs w:val="22"/>
        </w:rPr>
        <w:t xml:space="preserve"> na dystansie Bieszczady – rejon Czwórmiasta</w:t>
      </w:r>
      <w:bookmarkEnd w:id="286"/>
      <w:r w:rsidR="00282176" w:rsidRPr="009B78DA">
        <w:rPr>
          <w:rFonts w:ascii="Arial" w:hAnsi="Arial" w:cs="Arial"/>
          <w:color w:val="000000" w:themeColor="text1"/>
          <w:sz w:val="22"/>
          <w:szCs w:val="22"/>
        </w:rPr>
        <w:t>.</w:t>
      </w:r>
      <w:r w:rsidR="007532A3"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Realizacja planowanej drogi ekspresowej S74 od Piotrkowa Trybunalskiego do Niska w sposób znaczący poprawi dostępność zewnętrzną północnych powiatów województwa, jednak w skali całego województwa jej znaczenie będzie marginalne. </w:t>
      </w:r>
      <w:bookmarkStart w:id="288" w:name="_Hlk120258154"/>
      <w:r w:rsidRPr="009B78DA">
        <w:rPr>
          <w:rFonts w:ascii="Arial" w:hAnsi="Arial" w:cs="Arial"/>
          <w:color w:val="000000" w:themeColor="text1"/>
          <w:sz w:val="22"/>
          <w:szCs w:val="22"/>
        </w:rPr>
        <w:t xml:space="preserve">Konieczna wydaje się również budowa węzła na S74 na wysokości Tarnobrzega i Sandomierza z nowym mostem na Wiśle. </w:t>
      </w:r>
      <w:bookmarkStart w:id="289" w:name="_Hlk77155146"/>
      <w:bookmarkEnd w:id="287"/>
      <w:bookmarkEnd w:id="288"/>
      <w:r w:rsidRPr="009B78DA">
        <w:rPr>
          <w:rFonts w:ascii="Arial" w:hAnsi="Arial" w:cs="Arial"/>
          <w:color w:val="000000" w:themeColor="text1"/>
          <w:sz w:val="22"/>
          <w:szCs w:val="22"/>
        </w:rPr>
        <w:t>Obszarem o najsłabszym poziomie dostępności nadal pozostaje część północno-wschodnia regionu (powiat lubaczowski) oraz obszary Pogórzy: Dynowskiego i Przemyskiego</w:t>
      </w:r>
      <w:bookmarkEnd w:id="289"/>
      <w:r w:rsidRPr="009B78DA">
        <w:rPr>
          <w:rFonts w:ascii="Arial" w:hAnsi="Arial" w:cs="Arial"/>
          <w:color w:val="000000" w:themeColor="text1"/>
          <w:sz w:val="22"/>
          <w:szCs w:val="22"/>
        </w:rPr>
        <w:t xml:space="preserve">. Tej niekorzystnej sytuacji nie zmieni </w:t>
      </w:r>
      <w:r w:rsidR="00717315">
        <w:rPr>
          <w:rFonts w:ascii="Arial" w:hAnsi="Arial" w:cs="Arial"/>
          <w:color w:val="000000" w:themeColor="text1"/>
          <w:sz w:val="22"/>
          <w:szCs w:val="22"/>
        </w:rPr>
        <w:br/>
      </w:r>
      <w:r w:rsidRPr="009B78DA">
        <w:rPr>
          <w:rFonts w:ascii="Arial" w:hAnsi="Arial" w:cs="Arial"/>
          <w:color w:val="000000" w:themeColor="text1"/>
          <w:sz w:val="22"/>
          <w:szCs w:val="22"/>
        </w:rPr>
        <w:t>w istotny sposób nawet realizacja planowanych w województwie dróg ekspresowych.</w:t>
      </w:r>
    </w:p>
    <w:p w14:paraId="3F2C73D9" w14:textId="77777777" w:rsidR="009B18ED" w:rsidRPr="009B78DA" w:rsidRDefault="00222787" w:rsidP="0071731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Można zakładać, </w:t>
      </w:r>
      <w:bookmarkStart w:id="290" w:name="_Hlk92615239"/>
      <w:r w:rsidRPr="009B78DA">
        <w:rPr>
          <w:rFonts w:ascii="Arial" w:hAnsi="Arial" w:cs="Arial"/>
          <w:color w:val="000000" w:themeColor="text1"/>
          <w:sz w:val="22"/>
          <w:szCs w:val="22"/>
        </w:rPr>
        <w:t xml:space="preserve">że dzięki </w:t>
      </w:r>
      <w:r w:rsidR="0073099E" w:rsidRPr="009B78DA">
        <w:rPr>
          <w:rFonts w:ascii="Arial" w:hAnsi="Arial" w:cs="Arial"/>
          <w:color w:val="000000" w:themeColor="text1"/>
          <w:sz w:val="22"/>
          <w:szCs w:val="22"/>
        </w:rPr>
        <w:t>autostradzie</w:t>
      </w:r>
      <w:r w:rsidRPr="009B78DA">
        <w:rPr>
          <w:rFonts w:ascii="Arial" w:hAnsi="Arial" w:cs="Arial"/>
          <w:color w:val="000000" w:themeColor="text1"/>
          <w:sz w:val="22"/>
          <w:szCs w:val="22"/>
        </w:rPr>
        <w:t xml:space="preserve"> A4</w:t>
      </w:r>
      <w:bookmarkEnd w:id="290"/>
      <w:r w:rsidRPr="009B78DA">
        <w:rPr>
          <w:rFonts w:ascii="Arial" w:hAnsi="Arial" w:cs="Arial"/>
          <w:color w:val="000000" w:themeColor="text1"/>
          <w:sz w:val="22"/>
          <w:szCs w:val="22"/>
        </w:rPr>
        <w:t xml:space="preserve">, budowie planowanych odcinków S19 między Rzeszowem a Lublinem, a następnie w kierunku do przejścia granicznego </w:t>
      </w:r>
      <w:r w:rsidR="008840E5" w:rsidRPr="009B78DA">
        <w:rPr>
          <w:rFonts w:ascii="Arial" w:hAnsi="Arial" w:cs="Arial"/>
          <w:color w:val="000000" w:themeColor="text1"/>
          <w:sz w:val="22"/>
          <w:szCs w:val="22"/>
        </w:rPr>
        <w:br/>
      </w:r>
      <w:r w:rsidRPr="009B78DA">
        <w:rPr>
          <w:rFonts w:ascii="Arial" w:hAnsi="Arial" w:cs="Arial"/>
          <w:color w:val="000000" w:themeColor="text1"/>
          <w:sz w:val="22"/>
          <w:szCs w:val="22"/>
        </w:rPr>
        <w:t>w Barwinku oraz innych inwest</w:t>
      </w:r>
      <w:r w:rsidR="00D9484D" w:rsidRPr="009B78DA">
        <w:rPr>
          <w:rFonts w:ascii="Arial" w:hAnsi="Arial" w:cs="Arial"/>
          <w:color w:val="000000" w:themeColor="text1"/>
          <w:sz w:val="22"/>
          <w:szCs w:val="22"/>
        </w:rPr>
        <w:t xml:space="preserve">ycjach na sieci dróg krajowych </w:t>
      </w:r>
      <w:r w:rsidRPr="009B78DA">
        <w:rPr>
          <w:rFonts w:ascii="Arial" w:hAnsi="Arial" w:cs="Arial"/>
          <w:color w:val="000000" w:themeColor="text1"/>
          <w:sz w:val="22"/>
          <w:szCs w:val="22"/>
        </w:rPr>
        <w:t>i wojewódzkich dostępność drogowa Podkarpacia zwiększy się w okresie 2021-2030 o prawie 25%. Wzrost ten mógłby być jednak znacznie wyższy, gdyby przyspieszyć budowę kluczowych dla poprawy dostępności województwa odcinków drogi ekspresowej S74 i S19 (w tym ostatnim przypadku na południe od węzła Rzeszów-Południe)</w:t>
      </w:r>
      <w:r w:rsidR="001C646C" w:rsidRPr="009B78DA">
        <w:rPr>
          <w:rFonts w:ascii="Arial" w:hAnsi="Arial" w:cs="Arial"/>
          <w:color w:val="000000" w:themeColor="text1"/>
          <w:sz w:val="22"/>
          <w:szCs w:val="22"/>
        </w:rPr>
        <w:t xml:space="preserve">. </w:t>
      </w:r>
      <w:bookmarkStart w:id="291" w:name="_Hlk78196475"/>
      <w:bookmarkStart w:id="292" w:name="_Hlk76100573"/>
      <w:r w:rsidR="001C26D9" w:rsidRPr="009B78DA">
        <w:rPr>
          <w:rFonts w:ascii="Arial" w:hAnsi="Arial" w:cs="Arial"/>
          <w:color w:val="000000" w:themeColor="text1"/>
          <w:sz w:val="22"/>
          <w:szCs w:val="22"/>
        </w:rPr>
        <w:t xml:space="preserve">Ponadto </w:t>
      </w:r>
      <w:r w:rsidR="00914288" w:rsidRPr="009B78DA">
        <w:rPr>
          <w:rFonts w:ascii="Arial" w:hAnsi="Arial" w:cs="Arial"/>
          <w:color w:val="000000" w:themeColor="text1"/>
          <w:sz w:val="22"/>
          <w:szCs w:val="22"/>
        </w:rPr>
        <w:t xml:space="preserve">budowę alternatywnego do DK9 ciągu drogi z przebiegiem od węzła autostrady A4 Rzeszów Zachód z połączeniem do Portu Lotniczego Rzeszów-Jasionka, a następnie przez </w:t>
      </w:r>
      <w:r w:rsidR="000F698E" w:rsidRPr="009B78DA">
        <w:rPr>
          <w:rFonts w:ascii="Arial" w:hAnsi="Arial" w:cs="Arial"/>
          <w:color w:val="000000" w:themeColor="text1"/>
          <w:sz w:val="22"/>
          <w:szCs w:val="22"/>
        </w:rPr>
        <w:t>obwodnicę Kolbuszowej oraz obwodnicę Nowej Dęby do węzła na drodze S74</w:t>
      </w:r>
      <w:r w:rsidR="001C26D9" w:rsidRPr="009B78DA">
        <w:rPr>
          <w:rFonts w:ascii="Arial" w:hAnsi="Arial" w:cs="Arial"/>
          <w:color w:val="000000" w:themeColor="text1"/>
          <w:sz w:val="22"/>
          <w:szCs w:val="22"/>
        </w:rPr>
        <w:t>, stanowiące</w:t>
      </w:r>
      <w:r w:rsidR="00914288" w:rsidRPr="009B78DA">
        <w:rPr>
          <w:rFonts w:ascii="Arial" w:hAnsi="Arial" w:cs="Arial"/>
          <w:color w:val="000000" w:themeColor="text1"/>
          <w:sz w:val="22"/>
          <w:szCs w:val="22"/>
        </w:rPr>
        <w:t>go</w:t>
      </w:r>
      <w:r w:rsidR="001C26D9" w:rsidRPr="009B78DA">
        <w:rPr>
          <w:rFonts w:ascii="Arial" w:hAnsi="Arial" w:cs="Arial"/>
          <w:color w:val="000000" w:themeColor="text1"/>
          <w:sz w:val="22"/>
          <w:szCs w:val="22"/>
        </w:rPr>
        <w:t xml:space="preserve"> najkrótsze połączenie do Warszawy </w:t>
      </w:r>
      <w:r w:rsidR="00914288" w:rsidRPr="009B78DA">
        <w:rPr>
          <w:rFonts w:ascii="Arial" w:hAnsi="Arial" w:cs="Arial"/>
          <w:color w:val="000000" w:themeColor="text1"/>
          <w:sz w:val="22"/>
          <w:szCs w:val="22"/>
        </w:rPr>
        <w:br/>
      </w:r>
      <w:r w:rsidR="001C26D9" w:rsidRPr="009B78DA">
        <w:rPr>
          <w:rFonts w:ascii="Arial" w:hAnsi="Arial" w:cs="Arial"/>
          <w:color w:val="000000" w:themeColor="text1"/>
          <w:sz w:val="22"/>
          <w:szCs w:val="22"/>
        </w:rPr>
        <w:t>i CPK (bardzo duże obciążenie ruchem DK9)</w:t>
      </w:r>
      <w:bookmarkEnd w:id="291"/>
      <w:r w:rsidR="000F698E" w:rsidRPr="009B78DA">
        <w:rPr>
          <w:rFonts w:ascii="Arial" w:hAnsi="Arial" w:cs="Arial"/>
          <w:color w:val="000000" w:themeColor="text1"/>
          <w:sz w:val="22"/>
          <w:szCs w:val="22"/>
        </w:rPr>
        <w:t xml:space="preserve"> - konieczne wydaje się zaplanowanie tej inwestycji z wykorzystaniem aktualnie planowanej infrastruktury drogowej tj. od węzła Rzeszów-Zachód do obwodnicy Kolbuszowej (węzeł w Kupnie), poprzez obwodnicę Nowej Dęby, aż do drogi ekspresowej S74.</w:t>
      </w:r>
    </w:p>
    <w:p w14:paraId="3EC2D37A" w14:textId="01AA1C13" w:rsidR="0079353D" w:rsidRPr="009B78DA" w:rsidRDefault="00970861" w:rsidP="0071731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M</w:t>
      </w:r>
      <w:r w:rsidR="000F698E" w:rsidRPr="009B78DA">
        <w:rPr>
          <w:rFonts w:ascii="Arial" w:hAnsi="Arial" w:cs="Arial"/>
          <w:color w:val="000000" w:themeColor="text1"/>
          <w:sz w:val="22"/>
          <w:szCs w:val="22"/>
        </w:rPr>
        <w:t>ogłaby być</w:t>
      </w:r>
      <w:r w:rsidRPr="009B78DA">
        <w:rPr>
          <w:rFonts w:ascii="Arial" w:hAnsi="Arial" w:cs="Arial"/>
          <w:color w:val="000000" w:themeColor="text1"/>
          <w:sz w:val="22"/>
          <w:szCs w:val="22"/>
        </w:rPr>
        <w:t xml:space="preserve"> również</w:t>
      </w:r>
      <w:r w:rsidR="000F698E" w:rsidRPr="009B78DA">
        <w:rPr>
          <w:rFonts w:ascii="Arial" w:hAnsi="Arial" w:cs="Arial"/>
          <w:color w:val="000000" w:themeColor="text1"/>
          <w:sz w:val="22"/>
          <w:szCs w:val="22"/>
        </w:rPr>
        <w:t xml:space="preserve"> wybudowana droga po nowym śladzie łącząca autostradę A4 </w:t>
      </w:r>
      <w:r w:rsidR="00914288" w:rsidRPr="009B78DA">
        <w:rPr>
          <w:rFonts w:ascii="Arial" w:hAnsi="Arial" w:cs="Arial"/>
          <w:color w:val="000000" w:themeColor="text1"/>
          <w:sz w:val="22"/>
          <w:szCs w:val="22"/>
        </w:rPr>
        <w:br/>
      </w:r>
      <w:r w:rsidR="000F698E" w:rsidRPr="009B78DA">
        <w:rPr>
          <w:rFonts w:ascii="Arial" w:hAnsi="Arial" w:cs="Arial"/>
          <w:color w:val="000000" w:themeColor="text1"/>
          <w:sz w:val="22"/>
          <w:szCs w:val="22"/>
        </w:rPr>
        <w:t>z drogami ekspresowymi S19 i S7</w:t>
      </w:r>
      <w:r w:rsidR="009B18ED" w:rsidRPr="009B78DA">
        <w:rPr>
          <w:rFonts w:ascii="Arial" w:hAnsi="Arial" w:cs="Arial"/>
          <w:color w:val="000000" w:themeColor="text1"/>
          <w:sz w:val="22"/>
          <w:szCs w:val="22"/>
        </w:rPr>
        <w:t xml:space="preserve"> - b</w:t>
      </w:r>
      <w:r w:rsidR="000F698E" w:rsidRPr="009B78DA">
        <w:rPr>
          <w:rFonts w:ascii="Arial" w:hAnsi="Arial" w:cs="Arial"/>
          <w:color w:val="000000" w:themeColor="text1"/>
          <w:sz w:val="22"/>
          <w:szCs w:val="22"/>
        </w:rPr>
        <w:t xml:space="preserve">udowa ciągu drogowego z przebiegiem od nowo powstałego węzła Ostrów (A4) w kierunku na Mielec, przez most w Połańcu, w kierunku do węzła </w:t>
      </w:r>
      <w:r w:rsidR="00DF334E" w:rsidRPr="009B78DA">
        <w:rPr>
          <w:rFonts w:ascii="Arial" w:hAnsi="Arial" w:cs="Arial"/>
          <w:color w:val="000000" w:themeColor="text1"/>
          <w:sz w:val="22"/>
          <w:szCs w:val="22"/>
        </w:rPr>
        <w:t xml:space="preserve">Suchedniów </w:t>
      </w:r>
      <w:r w:rsidR="000F698E" w:rsidRPr="009B78DA">
        <w:rPr>
          <w:rFonts w:ascii="Arial" w:hAnsi="Arial" w:cs="Arial"/>
          <w:color w:val="000000" w:themeColor="text1"/>
          <w:sz w:val="22"/>
          <w:szCs w:val="22"/>
        </w:rPr>
        <w:t>(S7</w:t>
      </w:r>
      <w:r w:rsidR="00914288" w:rsidRPr="009B78DA">
        <w:rPr>
          <w:rFonts w:ascii="Arial" w:hAnsi="Arial" w:cs="Arial"/>
          <w:color w:val="000000" w:themeColor="text1"/>
          <w:sz w:val="22"/>
          <w:szCs w:val="22"/>
        </w:rPr>
        <w:t>).</w:t>
      </w:r>
    </w:p>
    <w:p w14:paraId="2B63B3D9" w14:textId="0757F7D4" w:rsidR="00A14B16" w:rsidRPr="009B78DA" w:rsidRDefault="00A14B16" w:rsidP="0071731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cykl przedsięwzięć </w:t>
      </w:r>
      <w:r w:rsidR="00D07F56" w:rsidRPr="009B78DA">
        <w:rPr>
          <w:rFonts w:ascii="Arial" w:hAnsi="Arial" w:cs="Arial"/>
          <w:color w:val="000000" w:themeColor="text1"/>
          <w:sz w:val="22"/>
          <w:szCs w:val="22"/>
        </w:rPr>
        <w:t>stanowiących próbę</w:t>
      </w:r>
      <w:r w:rsidRPr="009B78DA">
        <w:rPr>
          <w:rFonts w:ascii="Arial" w:hAnsi="Arial" w:cs="Arial"/>
          <w:color w:val="000000" w:themeColor="text1"/>
          <w:sz w:val="22"/>
          <w:szCs w:val="22"/>
        </w:rPr>
        <w:t xml:space="preserve"> odpowiedzi na wspomniane potrzeby może wpisywać się zatwierdzenie przez Ministra Infrastruktury w 2023 r. Programów Inwestycji dla budowy nowego przebiegu drogi krajowej nr 9, od drogi ekspresowej S74 </w:t>
      </w:r>
      <w:r w:rsidR="00717315">
        <w:rPr>
          <w:rFonts w:ascii="Arial" w:hAnsi="Arial" w:cs="Arial"/>
          <w:color w:val="000000" w:themeColor="text1"/>
          <w:sz w:val="22"/>
          <w:szCs w:val="22"/>
        </w:rPr>
        <w:br/>
      </w:r>
      <w:r w:rsidRPr="009B78DA">
        <w:rPr>
          <w:rFonts w:ascii="Arial" w:hAnsi="Arial" w:cs="Arial"/>
          <w:color w:val="000000" w:themeColor="text1"/>
          <w:sz w:val="22"/>
          <w:szCs w:val="22"/>
        </w:rPr>
        <w:t xml:space="preserve">w okolicy Tarnobrzega do węzła Rzeszów Zachód na A4. W ramach inwestycji realizowana byłaby: budowa nowego przebiegu DK9 od drogi ekspresowej S74 w okolicy Tarnobrzega do początku obwodnicy Nowej Dęby, budowa drogi łączącej obwodnicę Nowej Dęby </w:t>
      </w:r>
      <w:r w:rsidR="00717315">
        <w:rPr>
          <w:rFonts w:ascii="Arial" w:hAnsi="Arial" w:cs="Arial"/>
          <w:color w:val="000000" w:themeColor="text1"/>
          <w:sz w:val="22"/>
          <w:szCs w:val="22"/>
        </w:rPr>
        <w:br/>
      </w:r>
      <w:r w:rsidRPr="009B78DA">
        <w:rPr>
          <w:rFonts w:ascii="Arial" w:hAnsi="Arial" w:cs="Arial"/>
          <w:color w:val="000000" w:themeColor="text1"/>
          <w:sz w:val="22"/>
          <w:szCs w:val="22"/>
        </w:rPr>
        <w:t>z obwodnicą Kolbuszowej w ciągu DK9, a także budowa nowego przebiegu DK9 od końca obwodnicy Kolbuszowej do węzła Rzeszów Zachód na autostradzie A4.</w:t>
      </w:r>
    </w:p>
    <w:p w14:paraId="14A1A239" w14:textId="3CCAAAEB" w:rsidR="006E035D" w:rsidRPr="009B78DA" w:rsidRDefault="006E035D" w:rsidP="00717315">
      <w:pPr>
        <w:pStyle w:val="Legenda"/>
        <w:keepNext/>
        <w:rPr>
          <w:rFonts w:ascii="Arial" w:hAnsi="Arial" w:cs="Arial"/>
          <w:i w:val="0"/>
          <w:color w:val="000000" w:themeColor="text1"/>
          <w:sz w:val="22"/>
          <w:szCs w:val="22"/>
        </w:rPr>
      </w:pPr>
      <w:bookmarkStart w:id="293" w:name="_Toc146785690"/>
      <w:bookmarkStart w:id="294" w:name="_Hlk77154958"/>
      <w:bookmarkEnd w:id="292"/>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Planowane inwestycje drogowe wg priorytetu A i B</w:t>
      </w:r>
      <w:bookmarkEnd w:id="293"/>
    </w:p>
    <w:p w14:paraId="0850AA8B" w14:textId="58BA5CED" w:rsidR="00A61EF4" w:rsidRPr="009B78DA" w:rsidRDefault="00BC01A2" w:rsidP="00F45E35">
      <w:pPr>
        <w:spacing w:after="0" w:line="276" w:lineRule="auto"/>
        <w:jc w:val="both"/>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008BE85D" wp14:editId="09DD3397">
            <wp:extent cx="5760720" cy="8230870"/>
            <wp:effectExtent l="0" t="0" r="0" b="0"/>
            <wp:docPr id="32452578" name="Obraz 5" descr="Granice kraju od wschodu i południa,granice województwa od północy i zachodu, granice powiatów oraz miasta powiatowe.Na mapie zlokalizowana została autostrada A4 z węzłami,doga ekspresowa S19 z węzłami,planowana droga ekspresowa,drogi krajowe,wojewódzkie.Zaznaczono przedsięwzięcia drogowe: podwójną czerwoną linią przebudowa/rozbudowa/budowa drogi w priorytecie A,podwójna fioletowa linią w priorytecie B,podwójną zielona linią droga o parametrach drogi ekspresowej w priorytecie B,czerwonym otwartym kołem budowa obwodnicy w priorytecie A,fioletowym otwartym kołem budowa obwodnicy w priorytecie B,szarym kwadratem budowa węzła w priorytecie A,czerwonym kwadratem budowa/modernizacja mostów w priorytecie A,fioletowym w priorytecie B,czerwono-fioletowym w priorytecie A i B,Zaznaczono obszary zagrożone wykluczeniem transportowym m.in. południowa część województwa,powiat Brzozowski i Lubaczowski.Zaznaczono kolorem żółtym powiazania transportowe wymagające wsparcia,praktycznie całe województwo na kolor seledynowy obszary wymagające poprawy obsługi transportowej oraz strzałkami czerwonymi układy skośne wymagające poprawy obsługi transportowej " title="Rysunek 61 Planowane inwestycje drogowe wg priorytetu A i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2578" name="Obraz 5" descr="Obraz zawierający tekst, mapa, atlas, diagram&#10;&#10;Opis wygenerowany automatycznie"/>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760720" cy="8230870"/>
                    </a:xfrm>
                    <a:prstGeom prst="rect">
                      <a:avLst/>
                    </a:prstGeom>
                  </pic:spPr>
                </pic:pic>
              </a:graphicData>
            </a:graphic>
          </wp:inline>
        </w:drawing>
      </w:r>
    </w:p>
    <w:p w14:paraId="26FFB18D" w14:textId="2BBFEFF0" w:rsidR="005951EF" w:rsidRPr="009B78DA" w:rsidRDefault="005951EF" w:rsidP="005951EF">
      <w:pPr>
        <w:spacing w:line="276" w:lineRule="auto"/>
        <w:jc w:val="both"/>
        <w:rPr>
          <w:rFonts w:ascii="Arial" w:hAnsi="Arial" w:cs="Arial"/>
          <w:color w:val="000000" w:themeColor="text1"/>
          <w:sz w:val="22"/>
          <w:szCs w:val="22"/>
        </w:rPr>
      </w:pPr>
      <w:bookmarkStart w:id="295" w:name="_Hlk76100708"/>
      <w:bookmarkEnd w:id="294"/>
      <w:r w:rsidRPr="009B78DA">
        <w:rPr>
          <w:rFonts w:ascii="Arial" w:hAnsi="Arial" w:cs="Arial"/>
          <w:color w:val="000000" w:themeColor="text1"/>
          <w:sz w:val="22"/>
          <w:szCs w:val="22"/>
        </w:rPr>
        <w:t xml:space="preserve">Źródło: </w:t>
      </w:r>
      <w:r w:rsidR="001B6FD0" w:rsidRPr="009B78DA">
        <w:rPr>
          <w:rFonts w:ascii="Arial" w:hAnsi="Arial" w:cs="Arial"/>
          <w:color w:val="000000" w:themeColor="text1"/>
          <w:sz w:val="22"/>
          <w:szCs w:val="22"/>
        </w:rPr>
        <w:t>Opracowanie własne.</w:t>
      </w:r>
    </w:p>
    <w:p w14:paraId="6672C33E" w14:textId="1D4DAF7D" w:rsidR="00222787" w:rsidRPr="009B78DA" w:rsidRDefault="00222787" w:rsidP="00627053">
      <w:pPr>
        <w:spacing w:after="120" w:line="276"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Transport kolejowy</w:t>
      </w:r>
    </w:p>
    <w:bookmarkEnd w:id="295"/>
    <w:p w14:paraId="5BB910A4" w14:textId="27B7D119"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Biorąc pod uwagę dostępność kolejową w ujęciu krajowym</w:t>
      </w:r>
      <w:r w:rsidR="00FE7743"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obszar województwa należy do słabiej rozwiniętych. Przez teren przebiega tylko jedna linia kolejowa o znaczeniu międzynarodowym – nr 91 (E30) relacji Kraków – Rzeszów – Medyka, będąca elementem kolejowej sieci bazowej TEN-T.</w:t>
      </w:r>
    </w:p>
    <w:p w14:paraId="65C04BBA" w14:textId="20854744"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Najlepiej skomunikowane są obszary położone wzdłuż jej przebiegu oraz te, które zlokalizowane są w północno-zachodniej części regionu. Stosunkowo niski stan dostępności pozostałych obszarów wynika z układu geograficznego, uwarunkowań historycznych przebiegu ciągów komunikacyjnych oraz ograniczonych działań rewitalizacyjnych na poszczególnych odcinkach.</w:t>
      </w:r>
    </w:p>
    <w:p w14:paraId="1D260AD8" w14:textId="01718D52" w:rsidR="00222787" w:rsidRPr="009B78DA" w:rsidRDefault="00FE7743"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I</w:t>
      </w:r>
      <w:r w:rsidR="00222787" w:rsidRPr="009B78DA">
        <w:rPr>
          <w:rFonts w:ascii="Arial" w:hAnsi="Arial" w:cs="Arial"/>
          <w:color w:val="000000" w:themeColor="text1"/>
          <w:sz w:val="22"/>
          <w:szCs w:val="22"/>
        </w:rPr>
        <w:t xml:space="preserve">stnieją duże różnice w dostępności między relatywnie dobrze dostępną północno-zachodnią częścią województwa, w tym przede wszystkim pasem gmin wzdłuż linii kolejowej nr 91, a </w:t>
      </w:r>
      <w:bookmarkStart w:id="296" w:name="_Hlk77155435"/>
      <w:r w:rsidR="00D9484D" w:rsidRPr="009B78DA">
        <w:rPr>
          <w:rFonts w:ascii="Arial" w:hAnsi="Arial" w:cs="Arial"/>
          <w:color w:val="000000" w:themeColor="text1"/>
          <w:sz w:val="22"/>
          <w:szCs w:val="22"/>
        </w:rPr>
        <w:t xml:space="preserve">obszarem przygranicznym, </w:t>
      </w:r>
      <w:r w:rsidR="00222787" w:rsidRPr="009B78DA">
        <w:rPr>
          <w:rFonts w:ascii="Arial" w:hAnsi="Arial" w:cs="Arial"/>
          <w:color w:val="000000" w:themeColor="text1"/>
          <w:sz w:val="22"/>
          <w:szCs w:val="22"/>
        </w:rPr>
        <w:t>a w szczególności bardzo słabo dostępnym obszarem Bieszczad.</w:t>
      </w:r>
      <w:bookmarkEnd w:id="296"/>
    </w:p>
    <w:p w14:paraId="577AC600" w14:textId="5BE19EE2" w:rsidR="00222787" w:rsidRPr="009B78DA" w:rsidRDefault="00222787" w:rsidP="00627053">
      <w:pPr>
        <w:spacing w:after="0" w:line="276" w:lineRule="auto"/>
        <w:ind w:firstLine="709"/>
        <w:rPr>
          <w:rFonts w:ascii="Arial" w:hAnsi="Arial" w:cs="Arial"/>
          <w:color w:val="000000" w:themeColor="text1"/>
          <w:sz w:val="22"/>
          <w:szCs w:val="22"/>
        </w:rPr>
      </w:pPr>
      <w:bookmarkStart w:id="297" w:name="_Hlk77155603"/>
      <w:r w:rsidRPr="009B78DA">
        <w:rPr>
          <w:rFonts w:ascii="Arial" w:hAnsi="Arial" w:cs="Arial"/>
          <w:color w:val="000000" w:themeColor="text1"/>
          <w:sz w:val="22"/>
          <w:szCs w:val="22"/>
        </w:rPr>
        <w:t>W przyszłości do poprawy powiązań komunikacyjnych regionu przyczynią się także prace inwestycyjne na odcinkach Rzeszów – Tarnobrzeg (poprawa dla terenów północno-zachodnich województwa, także pod kątem powiązania z Warszawą), Rzeszów</w:t>
      </w:r>
      <w:r w:rsidR="00466B9A" w:rsidRPr="009B78DA">
        <w:rPr>
          <w:rFonts w:ascii="Arial" w:hAnsi="Arial" w:cs="Arial"/>
          <w:color w:val="000000" w:themeColor="text1"/>
          <w:sz w:val="22"/>
          <w:szCs w:val="22"/>
        </w:rPr>
        <w:t xml:space="preserve"> – </w:t>
      </w:r>
      <w:r w:rsidRPr="009B78DA">
        <w:rPr>
          <w:rFonts w:ascii="Arial" w:hAnsi="Arial" w:cs="Arial"/>
          <w:color w:val="000000" w:themeColor="text1"/>
          <w:sz w:val="22"/>
          <w:szCs w:val="22"/>
        </w:rPr>
        <w:t xml:space="preserve">Jasło </w:t>
      </w:r>
      <w:r w:rsidR="00627053">
        <w:rPr>
          <w:rFonts w:ascii="Arial" w:hAnsi="Arial" w:cs="Arial"/>
          <w:color w:val="000000" w:themeColor="text1"/>
          <w:sz w:val="22"/>
          <w:szCs w:val="22"/>
        </w:rPr>
        <w:br/>
      </w:r>
      <w:r w:rsidRPr="009B78DA">
        <w:rPr>
          <w:rFonts w:ascii="Arial" w:hAnsi="Arial" w:cs="Arial"/>
          <w:color w:val="000000" w:themeColor="text1"/>
          <w:sz w:val="22"/>
          <w:szCs w:val="22"/>
        </w:rPr>
        <w:t>i Jasło</w:t>
      </w:r>
      <w:r w:rsidR="00466B9A" w:rsidRPr="009B78DA">
        <w:rPr>
          <w:rFonts w:ascii="Arial" w:hAnsi="Arial" w:cs="Arial"/>
          <w:color w:val="000000" w:themeColor="text1"/>
          <w:sz w:val="22"/>
          <w:szCs w:val="22"/>
        </w:rPr>
        <w:t xml:space="preserve"> – </w:t>
      </w:r>
      <w:r w:rsidRPr="009B78DA">
        <w:rPr>
          <w:rFonts w:ascii="Arial" w:hAnsi="Arial" w:cs="Arial"/>
          <w:color w:val="000000" w:themeColor="text1"/>
          <w:sz w:val="22"/>
          <w:szCs w:val="22"/>
        </w:rPr>
        <w:t xml:space="preserve">Zagórz (poprawa dostępności dla południowej części regionu). </w:t>
      </w:r>
      <w:bookmarkStart w:id="298" w:name="_Hlk92261605"/>
      <w:bookmarkEnd w:id="297"/>
      <w:r w:rsidR="00B51CDF" w:rsidRPr="009B78DA">
        <w:rPr>
          <w:rFonts w:ascii="Arial" w:hAnsi="Arial" w:cs="Arial"/>
          <w:color w:val="000000" w:themeColor="text1"/>
          <w:sz w:val="22"/>
          <w:szCs w:val="22"/>
        </w:rPr>
        <w:t>Zakończono</w:t>
      </w:r>
      <w:r w:rsidRPr="009B78DA">
        <w:rPr>
          <w:rFonts w:ascii="Arial" w:hAnsi="Arial" w:cs="Arial"/>
          <w:color w:val="000000" w:themeColor="text1"/>
          <w:sz w:val="22"/>
          <w:szCs w:val="22"/>
        </w:rPr>
        <w:t xml:space="preserve"> również elektryfikacja linii nr 71 (Ocice </w:t>
      </w:r>
      <w:r w:rsidR="00466B9A"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Rzeszów). </w:t>
      </w:r>
      <w:bookmarkStart w:id="299" w:name="_Hlk92261581"/>
      <w:r w:rsidRPr="009B78DA">
        <w:rPr>
          <w:rFonts w:ascii="Arial" w:hAnsi="Arial" w:cs="Arial"/>
          <w:color w:val="000000" w:themeColor="text1"/>
          <w:sz w:val="22"/>
          <w:szCs w:val="22"/>
        </w:rPr>
        <w:t xml:space="preserve">Dzięki ukończeniu inwestycji wyeliminowana </w:t>
      </w:r>
      <w:r w:rsidR="00B51CDF" w:rsidRPr="009B78DA">
        <w:rPr>
          <w:rFonts w:ascii="Arial" w:hAnsi="Arial" w:cs="Arial"/>
          <w:color w:val="000000" w:themeColor="text1"/>
          <w:sz w:val="22"/>
          <w:szCs w:val="22"/>
        </w:rPr>
        <w:t>została</w:t>
      </w:r>
      <w:r w:rsidRPr="009B78DA">
        <w:rPr>
          <w:rFonts w:ascii="Arial" w:hAnsi="Arial" w:cs="Arial"/>
          <w:color w:val="000000" w:themeColor="text1"/>
          <w:sz w:val="22"/>
          <w:szCs w:val="22"/>
        </w:rPr>
        <w:t xml:space="preserve"> konieczność zmiany lokomotyw, a ruch na tej trasie </w:t>
      </w:r>
      <w:r w:rsidR="00B51CDF" w:rsidRPr="009B78DA">
        <w:rPr>
          <w:rFonts w:ascii="Arial" w:hAnsi="Arial" w:cs="Arial"/>
          <w:color w:val="000000" w:themeColor="text1"/>
          <w:sz w:val="22"/>
          <w:szCs w:val="22"/>
        </w:rPr>
        <w:t>jest</w:t>
      </w:r>
      <w:r w:rsidRPr="009B78DA">
        <w:rPr>
          <w:rFonts w:ascii="Arial" w:hAnsi="Arial" w:cs="Arial"/>
          <w:color w:val="000000" w:themeColor="text1"/>
          <w:sz w:val="22"/>
          <w:szCs w:val="22"/>
        </w:rPr>
        <w:t xml:space="preserve"> znacznie</w:t>
      </w:r>
      <w:bookmarkEnd w:id="298"/>
      <w:bookmarkEnd w:id="299"/>
      <w:r w:rsidR="00D52BD3" w:rsidRPr="009B78DA">
        <w:rPr>
          <w:rFonts w:ascii="Arial" w:hAnsi="Arial" w:cs="Arial"/>
          <w:color w:val="000000" w:themeColor="text1"/>
          <w:sz w:val="22"/>
          <w:szCs w:val="22"/>
        </w:rPr>
        <w:t xml:space="preserve"> </w:t>
      </w:r>
      <w:r w:rsidR="00466B9A" w:rsidRPr="009B78DA">
        <w:rPr>
          <w:rFonts w:ascii="Arial" w:hAnsi="Arial" w:cs="Arial"/>
          <w:color w:val="000000" w:themeColor="text1"/>
          <w:sz w:val="22"/>
          <w:szCs w:val="22"/>
        </w:rPr>
        <w:t>sprawniejszy.</w:t>
      </w:r>
    </w:p>
    <w:p w14:paraId="1C0ADD6C" w14:textId="0E83430D" w:rsidR="00CD34FC"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horyzoncie czasowym do 2030 r. strategicznym zadaniem jest wzmocnienie roli transportu kolejowego w zintegrowanym systemie transportowym. W tym celu niezbędne będzie kontynuowanie działań, które wpłyną pozytywnie na podniesienie konkurencyjności kolei w stosunku do innych rodzajów transportu, mierzonej czasem i kosztem przejazdu, komfortem podróży i poziomem bezpieczeństwa. Zadanie to będzie realizowane poprzez inwestycje i zmiany technologiczne oraz organizacyjne. Stworzą one możliwości powiększania podaży konkurencyjnych usług, a także zapewnią realizację procesu sukcesywnego zwiększania stopnia interoperacyjności regionalnego systemu transportu kolejowego w ramach systemu transportu kolejowego krajowego oraz w UE.</w:t>
      </w:r>
      <w:r w:rsidR="00CD34FC" w:rsidRPr="009B78DA">
        <w:rPr>
          <w:rFonts w:ascii="Arial" w:hAnsi="Arial" w:cs="Arial"/>
          <w:color w:val="000000" w:themeColor="text1"/>
          <w:sz w:val="22"/>
          <w:szCs w:val="22"/>
        </w:rPr>
        <w:t xml:space="preserve"> </w:t>
      </w:r>
      <w:bookmarkStart w:id="300" w:name="_Hlk76100737"/>
      <w:r w:rsidR="00CD34FC" w:rsidRPr="009B78DA">
        <w:rPr>
          <w:rFonts w:ascii="Arial" w:hAnsi="Arial" w:cs="Arial"/>
          <w:color w:val="000000" w:themeColor="text1"/>
          <w:sz w:val="22"/>
          <w:szCs w:val="22"/>
        </w:rPr>
        <w:t xml:space="preserve">Bardzo ważne jest zasygnalizowanie docelowego układu kolejowego obejmującego budowę linii kolejowych powiązanych ze sobą oraz komunikujących poszczególne części województwa </w:t>
      </w:r>
      <w:r w:rsidR="00627053">
        <w:rPr>
          <w:rFonts w:ascii="Arial" w:hAnsi="Arial" w:cs="Arial"/>
          <w:color w:val="000000" w:themeColor="text1"/>
          <w:sz w:val="22"/>
          <w:szCs w:val="22"/>
        </w:rPr>
        <w:br/>
      </w:r>
      <w:r w:rsidR="00CD34FC" w:rsidRPr="009B78DA">
        <w:rPr>
          <w:rFonts w:ascii="Arial" w:hAnsi="Arial" w:cs="Arial"/>
          <w:color w:val="000000" w:themeColor="text1"/>
          <w:sz w:val="22"/>
          <w:szCs w:val="22"/>
        </w:rPr>
        <w:t>tj. Podkarpacka Kolej Aglomeracyjna łącząca wojewódzki system komunikacyjny z portem lotniczym Rzeszów-Jasionka</w:t>
      </w:r>
      <w:r w:rsidR="00466B9A" w:rsidRPr="009B78DA">
        <w:rPr>
          <w:rFonts w:ascii="Arial" w:hAnsi="Arial" w:cs="Arial"/>
          <w:color w:val="000000" w:themeColor="text1"/>
          <w:sz w:val="22"/>
          <w:szCs w:val="22"/>
        </w:rPr>
        <w:t>,</w:t>
      </w:r>
      <w:r w:rsidR="00CD34FC" w:rsidRPr="009B78DA">
        <w:rPr>
          <w:rFonts w:ascii="Arial" w:hAnsi="Arial" w:cs="Arial"/>
          <w:color w:val="000000" w:themeColor="text1"/>
          <w:sz w:val="22"/>
          <w:szCs w:val="22"/>
        </w:rPr>
        <w:t xml:space="preserve"> </w:t>
      </w:r>
      <w:r w:rsidR="00466B9A" w:rsidRPr="009B78DA">
        <w:rPr>
          <w:rFonts w:ascii="Arial" w:hAnsi="Arial" w:cs="Arial"/>
          <w:color w:val="000000" w:themeColor="text1"/>
          <w:sz w:val="22"/>
          <w:szCs w:val="22"/>
        </w:rPr>
        <w:t xml:space="preserve">a także </w:t>
      </w:r>
      <w:r w:rsidR="00CD34FC" w:rsidRPr="009B78DA">
        <w:rPr>
          <w:rFonts w:ascii="Arial" w:hAnsi="Arial" w:cs="Arial"/>
          <w:color w:val="000000" w:themeColor="text1"/>
          <w:sz w:val="22"/>
          <w:szCs w:val="22"/>
        </w:rPr>
        <w:t>budow</w:t>
      </w:r>
      <w:r w:rsidR="00466B9A" w:rsidRPr="009B78DA">
        <w:rPr>
          <w:rFonts w:ascii="Arial" w:hAnsi="Arial" w:cs="Arial"/>
          <w:color w:val="000000" w:themeColor="text1"/>
          <w:sz w:val="22"/>
          <w:szCs w:val="22"/>
        </w:rPr>
        <w:t>ę</w:t>
      </w:r>
      <w:r w:rsidR="00CD34FC" w:rsidRPr="009B78DA">
        <w:rPr>
          <w:rFonts w:ascii="Arial" w:hAnsi="Arial" w:cs="Arial"/>
          <w:color w:val="000000" w:themeColor="text1"/>
          <w:sz w:val="22"/>
          <w:szCs w:val="22"/>
        </w:rPr>
        <w:t xml:space="preserve"> Karpackiej Kolei Euroregionalnej komunikującej południową część województwa i łącząca się z PKA oraz budowę kolei </w:t>
      </w:r>
      <w:r w:rsidR="00627053">
        <w:rPr>
          <w:rFonts w:ascii="Arial" w:hAnsi="Arial" w:cs="Arial"/>
          <w:color w:val="000000" w:themeColor="text1"/>
          <w:sz w:val="22"/>
          <w:szCs w:val="22"/>
        </w:rPr>
        <w:br/>
      </w:r>
      <w:r w:rsidR="00CD34FC" w:rsidRPr="009B78DA">
        <w:rPr>
          <w:rFonts w:ascii="Arial" w:hAnsi="Arial" w:cs="Arial"/>
          <w:color w:val="000000" w:themeColor="text1"/>
          <w:sz w:val="22"/>
          <w:szCs w:val="22"/>
        </w:rPr>
        <w:t>w ramach tzw. Czwórmiasta komunikują</w:t>
      </w:r>
      <w:r w:rsidR="00D9484D" w:rsidRPr="009B78DA">
        <w:rPr>
          <w:rFonts w:ascii="Arial" w:hAnsi="Arial" w:cs="Arial"/>
          <w:color w:val="000000" w:themeColor="text1"/>
          <w:sz w:val="22"/>
          <w:szCs w:val="22"/>
        </w:rPr>
        <w:t xml:space="preserve">cej północną część województwa </w:t>
      </w:r>
      <w:r w:rsidR="00CD34FC" w:rsidRPr="009B78DA">
        <w:rPr>
          <w:rFonts w:ascii="Arial" w:hAnsi="Arial" w:cs="Arial"/>
          <w:color w:val="000000" w:themeColor="text1"/>
          <w:sz w:val="22"/>
          <w:szCs w:val="22"/>
        </w:rPr>
        <w:t xml:space="preserve">i łączącą się </w:t>
      </w:r>
      <w:r w:rsidR="00627053">
        <w:rPr>
          <w:rFonts w:ascii="Arial" w:hAnsi="Arial" w:cs="Arial"/>
          <w:color w:val="000000" w:themeColor="text1"/>
          <w:sz w:val="22"/>
          <w:szCs w:val="22"/>
        </w:rPr>
        <w:br/>
      </w:r>
      <w:r w:rsidR="00CD34FC" w:rsidRPr="009B78DA">
        <w:rPr>
          <w:rFonts w:ascii="Arial" w:hAnsi="Arial" w:cs="Arial"/>
          <w:color w:val="000000" w:themeColor="text1"/>
          <w:sz w:val="22"/>
          <w:szCs w:val="22"/>
        </w:rPr>
        <w:t xml:space="preserve">z obiema ww. liniami oraz </w:t>
      </w:r>
      <w:r w:rsidR="00CD34FC" w:rsidRPr="009B78DA">
        <w:rPr>
          <w:rStyle w:val="Pogrubienie"/>
          <w:rFonts w:ascii="Arial" w:eastAsiaTheme="majorEastAsia" w:hAnsi="Arial" w:cs="Arial"/>
          <w:b w:val="0"/>
          <w:bCs w:val="0"/>
          <w:color w:val="000000" w:themeColor="text1"/>
          <w:sz w:val="22"/>
          <w:szCs w:val="22"/>
        </w:rPr>
        <w:t>tzw. szprychą nr 6. Ostatecznie budowa linii kolejowych w ramach tzw. szprychy nr 6</w:t>
      </w:r>
      <w:r w:rsidR="00CD34FC" w:rsidRPr="009B78DA">
        <w:rPr>
          <w:rFonts w:ascii="Arial" w:hAnsi="Arial" w:cs="Arial"/>
          <w:b/>
          <w:bCs/>
          <w:color w:val="000000" w:themeColor="text1"/>
          <w:sz w:val="22"/>
          <w:szCs w:val="22"/>
        </w:rPr>
        <w:t xml:space="preserve">, </w:t>
      </w:r>
      <w:r w:rsidR="00CD34FC" w:rsidRPr="009B78DA">
        <w:rPr>
          <w:rFonts w:ascii="Arial" w:hAnsi="Arial" w:cs="Arial"/>
          <w:color w:val="000000" w:themeColor="text1"/>
          <w:sz w:val="22"/>
          <w:szCs w:val="22"/>
        </w:rPr>
        <w:t>która połączy Warszawę i Centralny Port Komunikacyjny z</w:t>
      </w:r>
      <w:r w:rsidR="00CD34FC" w:rsidRPr="009B78DA">
        <w:rPr>
          <w:rFonts w:ascii="Arial" w:hAnsi="Arial" w:cs="Arial"/>
          <w:b/>
          <w:bCs/>
          <w:color w:val="000000" w:themeColor="text1"/>
          <w:sz w:val="22"/>
          <w:szCs w:val="22"/>
        </w:rPr>
        <w:t xml:space="preserve"> </w:t>
      </w:r>
      <w:r w:rsidR="00CD34FC" w:rsidRPr="009B78DA">
        <w:rPr>
          <w:rStyle w:val="Pogrubienie"/>
          <w:rFonts w:ascii="Arial" w:eastAsiaTheme="majorEastAsia" w:hAnsi="Arial" w:cs="Arial"/>
          <w:b w:val="0"/>
          <w:bCs w:val="0"/>
          <w:color w:val="000000" w:themeColor="text1"/>
          <w:sz w:val="22"/>
          <w:szCs w:val="22"/>
        </w:rPr>
        <w:t>Radomiem, Ostrowcem Świętokrzyskim, Stalową Wolą i Rzeszowem</w:t>
      </w:r>
      <w:r w:rsidR="00CD34FC" w:rsidRPr="009B78DA">
        <w:rPr>
          <w:rFonts w:ascii="Arial" w:hAnsi="Arial" w:cs="Arial"/>
          <w:color w:val="000000" w:themeColor="text1"/>
          <w:sz w:val="22"/>
          <w:szCs w:val="22"/>
        </w:rPr>
        <w:t>, a docelowo z</w:t>
      </w:r>
      <w:r w:rsidR="00CD34FC" w:rsidRPr="009B78DA">
        <w:rPr>
          <w:rFonts w:ascii="Arial" w:hAnsi="Arial" w:cs="Arial"/>
          <w:b/>
          <w:bCs/>
          <w:color w:val="000000" w:themeColor="text1"/>
          <w:sz w:val="22"/>
          <w:szCs w:val="22"/>
        </w:rPr>
        <w:t xml:space="preserve"> </w:t>
      </w:r>
      <w:r w:rsidR="00CD34FC" w:rsidRPr="009B78DA">
        <w:rPr>
          <w:rStyle w:val="Pogrubienie"/>
          <w:rFonts w:ascii="Arial" w:eastAsiaTheme="majorEastAsia" w:hAnsi="Arial" w:cs="Arial"/>
          <w:b w:val="0"/>
          <w:bCs w:val="0"/>
          <w:color w:val="000000" w:themeColor="text1"/>
          <w:sz w:val="22"/>
          <w:szCs w:val="22"/>
        </w:rPr>
        <w:t>Sanokiem.</w:t>
      </w:r>
    </w:p>
    <w:bookmarkEnd w:id="300"/>
    <w:p w14:paraId="67DD2F88" w14:textId="77777777" w:rsidR="007675CF" w:rsidRPr="009B78DA" w:rsidRDefault="00222787" w:rsidP="00627053">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Planowana modernizacja, rozbudowa i rewitalizacja sieci linii kolejowych oparta będzie w przeważającej mierze, na realizacji inwestycji zlokalizowanych na transeuropejskiej sieci transportowej TEN-T oraz koncepcji budowy CPK, w której ważną rolę odegra transport kolejowy. Inwestycje dotyczące poprawy jakości stanu linii kolejowych będą także prowadzone na odcinkach o znaczeniu re</w:t>
      </w:r>
      <w:r w:rsidR="00D9484D" w:rsidRPr="009B78DA">
        <w:rPr>
          <w:rFonts w:ascii="Arial" w:hAnsi="Arial" w:cs="Arial"/>
          <w:color w:val="000000" w:themeColor="text1"/>
          <w:sz w:val="22"/>
          <w:szCs w:val="22"/>
        </w:rPr>
        <w:t xml:space="preserve">gionalnym </w:t>
      </w:r>
      <w:r w:rsidRPr="009B78DA">
        <w:rPr>
          <w:rFonts w:ascii="Arial" w:hAnsi="Arial" w:cs="Arial"/>
          <w:color w:val="000000" w:themeColor="text1"/>
          <w:sz w:val="22"/>
          <w:szCs w:val="22"/>
        </w:rPr>
        <w:t>i lokalnym, również poza siecią TEN-T. Jednocześnie należy podjąć starania dotyczące analizy możliwości rewitalizacji nieczynnych lub zlikwidowanych linii kolejowych obsługujących ośrodki miejskie lub</w:t>
      </w:r>
      <w:r w:rsidR="008D46AB" w:rsidRPr="009B78DA">
        <w:rPr>
          <w:rFonts w:ascii="Arial" w:hAnsi="Arial" w:cs="Arial"/>
          <w:color w:val="000000" w:themeColor="text1"/>
          <w:sz w:val="22"/>
          <w:szCs w:val="22"/>
        </w:rPr>
        <w:t xml:space="preserve"> ważniejsze obszary </w:t>
      </w:r>
      <w:r w:rsidR="00D9484D" w:rsidRPr="009B78DA">
        <w:rPr>
          <w:rFonts w:ascii="Arial" w:hAnsi="Arial" w:cs="Arial"/>
          <w:color w:val="000000" w:themeColor="text1"/>
          <w:sz w:val="22"/>
          <w:szCs w:val="22"/>
        </w:rPr>
        <w:br/>
      </w:r>
      <w:r w:rsidR="008D46AB" w:rsidRPr="009B78DA">
        <w:rPr>
          <w:rFonts w:ascii="Arial" w:hAnsi="Arial" w:cs="Arial"/>
          <w:color w:val="000000" w:themeColor="text1"/>
          <w:sz w:val="22"/>
          <w:szCs w:val="22"/>
        </w:rPr>
        <w:t>w regionie.</w:t>
      </w:r>
    </w:p>
    <w:p w14:paraId="41D63924" w14:textId="346489A1" w:rsidR="006E035D" w:rsidRPr="009B78DA" w:rsidRDefault="006E035D" w:rsidP="00627053">
      <w:pPr>
        <w:pStyle w:val="Legenda"/>
        <w:keepNext/>
        <w:rPr>
          <w:rFonts w:ascii="Arial" w:hAnsi="Arial" w:cs="Arial"/>
          <w:i w:val="0"/>
          <w:color w:val="000000" w:themeColor="text1"/>
          <w:sz w:val="22"/>
          <w:szCs w:val="22"/>
        </w:rPr>
      </w:pPr>
      <w:bookmarkStart w:id="301" w:name="_Toc146785691"/>
      <w:bookmarkStart w:id="302" w:name="_Hlk77154976"/>
      <w:bookmarkStart w:id="303" w:name="_Hlk88637394"/>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Planowane inwestycje kolejowe wg priorytetu A i B</w:t>
      </w:r>
      <w:bookmarkEnd w:id="301"/>
    </w:p>
    <w:p w14:paraId="05F353FE" w14:textId="7D42CF07" w:rsidR="00A61EF4" w:rsidRPr="009B78DA" w:rsidRDefault="005951EF" w:rsidP="00F45E35">
      <w:pPr>
        <w:spacing w:before="120" w:line="276" w:lineRule="auto"/>
        <w:jc w:val="both"/>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070D48BE" wp14:editId="545E9DFF">
            <wp:extent cx="5365259" cy="8220075"/>
            <wp:effectExtent l="0" t="0" r="6985" b="0"/>
            <wp:docPr id="87" name="Obraz 87" descr="Granice kraju od wschodu i południa,granice województwa od północy i zachodu,granice powiatów oraz miasta powiatowe.Na mapie zlokalizowana została autostrada A4 z węzłami,doga ekspresowa S19 z węzłami,planowana droga ekspresowa,drogi krajowe,wojewódzkie,linie kolejowe,Przeworska Kolej Wąskotorowa,Bieszczadzka Kolej Leśna.Zaznaczono przedsięwzięcia kolejowe kolor różowo-czarny modernizacja/rewitalizacja linii kolejowej w priorytecie A,kolor fioletowo-czarny modernizacja/rewitalizacja/elektryfikacja linii kolejowej w priorytecie B,różowa przerywana linia orientacyjna trasa przebiegu linii kolejowej w priorytecie A,fioletowa przerywana linia w priorytecie B,kolor żółto-czarny kolej aglomeracyjna w priorytecie A i B,niebiesko-czarny szprycha 6 w priorytecie B,ciemno zielono-czarny kolej lasowiacka w priorytecie B,zielono-czarny karpacka kolej euroregionalna w priorytecie B,zielono przerywana linia orientacyjna trasa przebiegu łącznika kolejowego Krosno-Strzyżów w priorytecie B, czerwonym kwadratem budowa mostów w priorytecie A, brazowo-pomarańczowym budowa/modernizacja przystanku kolejowego/infstartuktury kolejowej w priorytecie A, fioletowym w priorytecie B,czerwono-fioletowym w priorytecie A i B,Zaznaczono obszary zagrożone wykluczeniem transportowym m.in. południowa część województwa,powiat Brzozowski i Lubaczowski.Zaznaczono kolorem żółtym powiazania transportowe wymagające wsparcia,praktycznie całe województwo na kolor seledynowy obszary wymagające poprawy obsługi transportowej" title="Rysunek 62 Planowane inwestycje kolejowe wg priorytetu A i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Obraz 87"/>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382874" cy="8247064"/>
                    </a:xfrm>
                    <a:prstGeom prst="rect">
                      <a:avLst/>
                    </a:prstGeom>
                  </pic:spPr>
                </pic:pic>
              </a:graphicData>
            </a:graphic>
          </wp:inline>
        </w:drawing>
      </w:r>
    </w:p>
    <w:p w14:paraId="4A94D779" w14:textId="1B4D03B7" w:rsidR="005951EF" w:rsidRPr="009B78DA" w:rsidRDefault="005951EF" w:rsidP="00627053">
      <w:pPr>
        <w:spacing w:line="276" w:lineRule="auto"/>
        <w:rPr>
          <w:rFonts w:ascii="Arial" w:hAnsi="Arial" w:cs="Arial"/>
          <w:color w:val="000000" w:themeColor="text1"/>
          <w:sz w:val="22"/>
          <w:szCs w:val="22"/>
        </w:rPr>
      </w:pPr>
      <w:bookmarkStart w:id="304" w:name="_Hlk92213898"/>
      <w:bookmarkEnd w:id="302"/>
      <w:bookmarkEnd w:id="303"/>
      <w:r w:rsidRPr="009B78DA">
        <w:rPr>
          <w:rFonts w:ascii="Arial" w:hAnsi="Arial" w:cs="Arial"/>
          <w:color w:val="000000" w:themeColor="text1"/>
          <w:sz w:val="22"/>
          <w:szCs w:val="22"/>
        </w:rPr>
        <w:t xml:space="preserve">Źródło: </w:t>
      </w:r>
      <w:r w:rsidR="001B6FD0" w:rsidRPr="009B78DA">
        <w:rPr>
          <w:rFonts w:ascii="Arial" w:hAnsi="Arial" w:cs="Arial"/>
          <w:color w:val="000000" w:themeColor="text1"/>
          <w:sz w:val="22"/>
          <w:szCs w:val="22"/>
        </w:rPr>
        <w:t>Opracowanie własne.</w:t>
      </w:r>
    </w:p>
    <w:bookmarkEnd w:id="304"/>
    <w:p w14:paraId="1C46201B" w14:textId="5DC26814" w:rsidR="00222787" w:rsidRPr="009B78DA" w:rsidRDefault="00222787" w:rsidP="00627053">
      <w:pPr>
        <w:spacing w:after="120" w:line="276"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Transport lotniczy</w:t>
      </w:r>
    </w:p>
    <w:p w14:paraId="494A68BA" w14:textId="77777777"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Najbardziej znaczącą rolę w transporcie lotniczym województwa odgrywa Port Lotniczy Rzeszów – Jasionka, który jest zintegrowany z krajową i międzynarodową siecią lotniczą.</w:t>
      </w:r>
    </w:p>
    <w:p w14:paraId="46A074E5" w14:textId="08E0F92E"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Rynek lotniczy, jako część wspólnotowego rynku staje przed wyzwaniem związanym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z efektywnym zaspokojeniem popytu na przewozy lotnicz</w:t>
      </w:r>
      <w:r w:rsidR="00D9484D" w:rsidRPr="009B78DA">
        <w:rPr>
          <w:rFonts w:ascii="Arial" w:hAnsi="Arial" w:cs="Arial"/>
          <w:color w:val="000000" w:themeColor="text1"/>
          <w:sz w:val="22"/>
          <w:szCs w:val="22"/>
        </w:rPr>
        <w:t xml:space="preserve">e, zarówno </w:t>
      </w:r>
      <w:r w:rsidRPr="009B78DA">
        <w:rPr>
          <w:rFonts w:ascii="Arial" w:hAnsi="Arial" w:cs="Arial"/>
          <w:color w:val="000000" w:themeColor="text1"/>
          <w:sz w:val="22"/>
          <w:szCs w:val="22"/>
        </w:rPr>
        <w:t xml:space="preserve">w kraju, w ramach Unii Europejskiej, połączeń interkontynentalnych, jak również uzupełniających połączeń krajowych. Dotyczy to nie tylko przepustowości infrastruktury lotniczej, ale również jej efektywnego zintegrowania z systemem transportowym w Polsce i krajach ościennych. Cel główny programu strategicznego w odniesieniu do transportu lotniczego będzie realizowany poprzez zapewnienie warunków do zrównoważonego rozwoju </w:t>
      </w:r>
      <w:r w:rsidR="00627053">
        <w:rPr>
          <w:rFonts w:ascii="Arial" w:hAnsi="Arial" w:cs="Arial"/>
          <w:color w:val="000000" w:themeColor="text1"/>
          <w:sz w:val="22"/>
          <w:szCs w:val="22"/>
        </w:rPr>
        <w:t xml:space="preserve">rynku pasażerskiego oraz cargo </w:t>
      </w:r>
      <w:r w:rsidRPr="009B78DA">
        <w:rPr>
          <w:rFonts w:ascii="Arial" w:hAnsi="Arial" w:cs="Arial"/>
          <w:color w:val="000000" w:themeColor="text1"/>
          <w:sz w:val="22"/>
          <w:szCs w:val="22"/>
        </w:rPr>
        <w:t>z jednoczesnym zapewnieniem najwyższych standardów bezpieczeństwa i ochrony środowiska. Zwiększenie mobilności tej gałęzi rynku będzie miało miejsce poprzez innowacyjność oraz efektywność transportu lotniczego.</w:t>
      </w:r>
    </w:p>
    <w:p w14:paraId="14B1606B" w14:textId="3A365CFD"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Biorąc pod uwagę prognozowany dynamiczny wzrost ruchu lotniczego, oraz jednocześnie dosyć długi proces inwestycyjny związany z budową składników infrastruktury, istotnie wpływających na jej przepustowość, przyjęta została koncepcja budowy Centralnego Portu Komunikacyjnego, z którym skomunikowany zostanie Port Lotniczy Rzeszów</w:t>
      </w:r>
      <w:r w:rsidR="00466B9A" w:rsidRPr="009B78DA">
        <w:rPr>
          <w:rFonts w:ascii="Arial" w:hAnsi="Arial" w:cs="Arial"/>
          <w:color w:val="000000" w:themeColor="text1"/>
          <w:sz w:val="22"/>
          <w:szCs w:val="22"/>
        </w:rPr>
        <w:t>-</w:t>
      </w:r>
      <w:r w:rsidRPr="009B78DA">
        <w:rPr>
          <w:rFonts w:ascii="Arial" w:hAnsi="Arial" w:cs="Arial"/>
          <w:color w:val="000000" w:themeColor="text1"/>
          <w:sz w:val="22"/>
          <w:szCs w:val="22"/>
        </w:rPr>
        <w:t>Jasionka</w:t>
      </w:r>
      <w:r w:rsidR="00725FD6" w:rsidRPr="009B78DA">
        <w:rPr>
          <w:rFonts w:ascii="Arial" w:hAnsi="Arial" w:cs="Arial"/>
          <w:color w:val="000000" w:themeColor="text1"/>
          <w:sz w:val="22"/>
          <w:szCs w:val="22"/>
        </w:rPr>
        <w:t>.</w:t>
      </w:r>
    </w:p>
    <w:p w14:paraId="73CC9992" w14:textId="77777777" w:rsidR="00B44950" w:rsidRPr="009B78DA" w:rsidRDefault="00222787" w:rsidP="00627053">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Intermodalność transportu lotniczego powinna zostać zapewniona, w miarę możliwości, poprzez zintegrowanie portu lotniczeg</w:t>
      </w:r>
      <w:r w:rsidR="00D9484D" w:rsidRPr="009B78DA">
        <w:rPr>
          <w:rFonts w:ascii="Arial" w:hAnsi="Arial" w:cs="Arial"/>
          <w:color w:val="000000" w:themeColor="text1"/>
          <w:sz w:val="22"/>
          <w:szCs w:val="22"/>
        </w:rPr>
        <w:t xml:space="preserve">o z siecią transportu lądowego </w:t>
      </w:r>
      <w:r w:rsidRPr="009B78DA">
        <w:rPr>
          <w:rFonts w:ascii="Arial" w:hAnsi="Arial" w:cs="Arial"/>
          <w:color w:val="000000" w:themeColor="text1"/>
          <w:sz w:val="22"/>
          <w:szCs w:val="22"/>
        </w:rPr>
        <w:t>w regionie, Polsce i w krajach ościennych, co pozwoli na zwiększenie ich roli oraz poprawę dostępności, nie tylko w ujęciu regionalnym i krajowym, ale także europejskim.</w:t>
      </w:r>
    </w:p>
    <w:p w14:paraId="0B2C78CB" w14:textId="0C692E96" w:rsidR="00222787" w:rsidRPr="009B78DA" w:rsidRDefault="00222787" w:rsidP="00627053">
      <w:pPr>
        <w:spacing w:after="120" w:line="276"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Transport alternatywny</w:t>
      </w:r>
    </w:p>
    <w:p w14:paraId="4422B5E0" w14:textId="77777777"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Ważne jest promowanie i odpowiednie wdrażanie nowych, innowacyjnych rozwiązań, pozwalających na jak najlepsze wykorzystanie dostępnych opcji transportowych, w tym przede wszystkim ruchu rowerowego i pieszego, a także nowoczesnych form poruszania się (urządzenia transportu osobistego, systemy oparte o współużytkowanie). Działania te ukierunkowane będą na wykorzystanie technologii cyfrowych i inteligentnych systemów transportowych.</w:t>
      </w:r>
    </w:p>
    <w:p w14:paraId="02A819B6" w14:textId="77777777"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Najważniejszym szlakiem rowerowym w województwie podkarpackim zrealizowanym w perspektywie finansowej UE 2007-2013 jest Wschodni Szlak Rowerowy Green Velo, który jest najdłuższym spójnie oznakowanym szlakiem rowerowym w Polsce.</w:t>
      </w:r>
    </w:p>
    <w:p w14:paraId="05EF0B9A" w14:textId="77777777"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Problemy w dostępności ścieżek rowerowych przekładały się dotychczas na bardzo niewielki udział ruchu rowerowego. Jednocześnie rozwija się turystyka rowerowa. Sprzyja temu prowadzona przez samorządy rozbudowa szlaków, będących odcinkami tras dla rowerzystów, spełniającymi odpowiednie kryteria, oznaczonymi specjalnymi znakami, których przebieg prowadzi m.in. istniejącymi drogami publicznymi.</w:t>
      </w:r>
    </w:p>
    <w:p w14:paraId="3E9CB411" w14:textId="09A62E1F" w:rsidR="00222787" w:rsidRPr="009B78DA" w:rsidRDefault="00222787" w:rsidP="00627053">
      <w:pPr>
        <w:spacing w:line="276" w:lineRule="auto"/>
        <w:rPr>
          <w:rFonts w:ascii="Calibri" w:hAnsi="Calibri"/>
          <w:color w:val="000000" w:themeColor="text1"/>
          <w:sz w:val="22"/>
          <w:szCs w:val="22"/>
        </w:rPr>
      </w:pPr>
      <w:r w:rsidRPr="009B78DA">
        <w:rPr>
          <w:rFonts w:ascii="Arial" w:hAnsi="Arial" w:cs="Arial"/>
          <w:color w:val="000000" w:themeColor="text1"/>
          <w:sz w:val="22"/>
          <w:szCs w:val="22"/>
        </w:rPr>
        <w:t>Część inwestycji ma charakter konkretnych projektów, natomiast część zadań inwestycyjnych wynika z opracowanych przez Samorząd Województwa Podkarpackiego lub jednostki podległe planów i programów strategicznych. Niezwykle ważne jest przygotowanie dokumentów szczegółowych dotyczących rozwoju transportu rowerowego oraz turystyki rowerowej (obejmujących rozwój ścieżek oraz tras rowerowych).</w:t>
      </w:r>
      <w:r w:rsidR="00D52BD3" w:rsidRPr="009B78DA">
        <w:rPr>
          <w:rFonts w:ascii="Arial" w:hAnsi="Arial" w:cs="Arial"/>
          <w:color w:val="000000" w:themeColor="text1"/>
          <w:sz w:val="22"/>
          <w:szCs w:val="22"/>
        </w:rPr>
        <w:t xml:space="preserve"> </w:t>
      </w:r>
      <w:bookmarkStart w:id="305" w:name="_Hlk100574564"/>
      <w:r w:rsidR="004C6C05" w:rsidRPr="009B78DA">
        <w:rPr>
          <w:rFonts w:ascii="Arial" w:hAnsi="Arial" w:cs="Arial"/>
          <w:color w:val="000000" w:themeColor="text1"/>
          <w:sz w:val="22"/>
          <w:szCs w:val="22"/>
        </w:rPr>
        <w:t xml:space="preserve">Narzędziem służącym wsparciu działań związanych z budową infrastruktury rowerowej oraz umożliwiającym ich prowadzenie w sposób ciągły i skoordynowany </w:t>
      </w:r>
      <w:r w:rsidR="008152EE" w:rsidRPr="009B78DA">
        <w:rPr>
          <w:rFonts w:ascii="Arial" w:hAnsi="Arial" w:cs="Arial"/>
          <w:color w:val="000000" w:themeColor="text1"/>
          <w:sz w:val="22"/>
          <w:szCs w:val="22"/>
        </w:rPr>
        <w:t>jest dokument pn.</w:t>
      </w:r>
      <w:r w:rsidR="004C6C05" w:rsidRPr="009B78DA">
        <w:rPr>
          <w:rFonts w:ascii="Arial" w:hAnsi="Arial" w:cs="Arial"/>
          <w:color w:val="000000" w:themeColor="text1"/>
          <w:sz w:val="22"/>
          <w:szCs w:val="22"/>
        </w:rPr>
        <w:t xml:space="preserve"> </w:t>
      </w:r>
      <w:r w:rsidR="004C6C05" w:rsidRPr="009B78DA">
        <w:rPr>
          <w:rFonts w:ascii="Arial" w:hAnsi="Arial" w:cs="Arial"/>
          <w:i/>
          <w:color w:val="000000" w:themeColor="text1"/>
          <w:sz w:val="22"/>
          <w:szCs w:val="22"/>
        </w:rPr>
        <w:t>Regionalna Polityka Rowerowa Województwa Podkarpackiego</w:t>
      </w:r>
      <w:r w:rsidR="00C50353" w:rsidRPr="009B78DA">
        <w:rPr>
          <w:rStyle w:val="Odwoanieprzypisudolnego"/>
          <w:rFonts w:ascii="Arial" w:hAnsi="Arial" w:cs="Arial"/>
          <w:i/>
          <w:color w:val="000000" w:themeColor="text1"/>
          <w:sz w:val="22"/>
          <w:szCs w:val="22"/>
        </w:rPr>
        <w:footnoteReference w:id="24"/>
      </w:r>
      <w:r w:rsidR="004C6C05" w:rsidRPr="009B78DA">
        <w:rPr>
          <w:rFonts w:ascii="Arial" w:hAnsi="Arial" w:cs="Arial"/>
          <w:i/>
          <w:color w:val="000000" w:themeColor="text1"/>
          <w:sz w:val="22"/>
          <w:szCs w:val="22"/>
        </w:rPr>
        <w:t>.</w:t>
      </w:r>
      <w:r w:rsidR="0045643D" w:rsidRPr="009B78DA">
        <w:rPr>
          <w:rFonts w:ascii="Arial" w:hAnsi="Arial" w:cs="Arial"/>
          <w:i/>
          <w:color w:val="000000" w:themeColor="text1"/>
          <w:sz w:val="22"/>
          <w:szCs w:val="22"/>
        </w:rPr>
        <w:t xml:space="preserve"> </w:t>
      </w:r>
      <w:r w:rsidR="008152EE" w:rsidRPr="009B78DA">
        <w:rPr>
          <w:rFonts w:ascii="Arial" w:hAnsi="Arial" w:cs="Arial"/>
          <w:color w:val="000000" w:themeColor="text1"/>
          <w:sz w:val="22"/>
          <w:szCs w:val="22"/>
        </w:rPr>
        <w:t>T</w:t>
      </w:r>
      <w:r w:rsidR="0045643D" w:rsidRPr="009B78DA">
        <w:rPr>
          <w:rFonts w:ascii="Arial" w:hAnsi="Arial" w:cs="Arial"/>
          <w:color w:val="000000" w:themeColor="text1"/>
          <w:sz w:val="22"/>
          <w:szCs w:val="22"/>
        </w:rPr>
        <w:t xml:space="preserve">o kompleksowy dokument pozwalający na systemowe podejście do wspomagania ruchu rowerowego z koordynacyjną funkcją regionu. </w:t>
      </w:r>
      <w:r w:rsidR="0045643D" w:rsidRPr="009B78DA">
        <w:rPr>
          <w:rFonts w:ascii="Arial" w:hAnsi="Arial" w:cs="Arial"/>
          <w:i/>
          <w:color w:val="000000" w:themeColor="text1"/>
          <w:sz w:val="22"/>
          <w:szCs w:val="22"/>
        </w:rPr>
        <w:t>Polityk</w:t>
      </w:r>
      <w:r w:rsidR="004C6C05" w:rsidRPr="009B78DA">
        <w:rPr>
          <w:rFonts w:ascii="Arial" w:hAnsi="Arial" w:cs="Arial"/>
          <w:i/>
          <w:color w:val="000000" w:themeColor="text1"/>
          <w:sz w:val="22"/>
          <w:szCs w:val="22"/>
        </w:rPr>
        <w:t xml:space="preserve">a </w:t>
      </w:r>
      <w:r w:rsidR="008152EE" w:rsidRPr="009B78DA">
        <w:rPr>
          <w:rFonts w:ascii="Arial" w:hAnsi="Arial" w:cs="Arial"/>
          <w:color w:val="000000" w:themeColor="text1"/>
          <w:sz w:val="22"/>
          <w:szCs w:val="22"/>
        </w:rPr>
        <w:t>to</w:t>
      </w:r>
      <w:r w:rsidR="0045643D" w:rsidRPr="009B78DA">
        <w:rPr>
          <w:rFonts w:ascii="Arial" w:hAnsi="Arial" w:cs="Arial"/>
          <w:color w:val="000000" w:themeColor="text1"/>
          <w:sz w:val="22"/>
          <w:szCs w:val="22"/>
        </w:rPr>
        <w:t xml:space="preserve"> główny dokument Samorządu Województwa Podkarpackiego określający rolę</w:t>
      </w:r>
      <w:r w:rsidR="00627053">
        <w:rPr>
          <w:rFonts w:ascii="Arial" w:hAnsi="Arial" w:cs="Arial"/>
          <w:color w:val="000000" w:themeColor="text1"/>
          <w:sz w:val="22"/>
          <w:szCs w:val="22"/>
        </w:rPr>
        <w:t xml:space="preserve"> </w:t>
      </w:r>
      <w:r w:rsidR="00627053">
        <w:rPr>
          <w:rFonts w:ascii="Arial" w:hAnsi="Arial" w:cs="Arial"/>
          <w:color w:val="000000" w:themeColor="text1"/>
          <w:sz w:val="22"/>
          <w:szCs w:val="22"/>
        </w:rPr>
        <w:br/>
      </w:r>
      <w:r w:rsidR="0045643D" w:rsidRPr="009B78DA">
        <w:rPr>
          <w:rFonts w:ascii="Arial" w:hAnsi="Arial" w:cs="Arial"/>
          <w:color w:val="000000" w:themeColor="text1"/>
          <w:sz w:val="22"/>
          <w:szCs w:val="22"/>
        </w:rPr>
        <w:t>i</w:t>
      </w:r>
      <w:r w:rsidR="008152EE" w:rsidRPr="009B78DA">
        <w:rPr>
          <w:rFonts w:ascii="Arial" w:hAnsi="Arial" w:cs="Arial"/>
          <w:color w:val="000000" w:themeColor="text1"/>
          <w:sz w:val="22"/>
          <w:szCs w:val="22"/>
        </w:rPr>
        <w:t xml:space="preserve"> </w:t>
      </w:r>
      <w:r w:rsidR="0045643D" w:rsidRPr="009B78DA">
        <w:rPr>
          <w:rFonts w:ascii="Arial" w:hAnsi="Arial" w:cs="Arial"/>
          <w:color w:val="000000" w:themeColor="text1"/>
          <w:sz w:val="22"/>
          <w:szCs w:val="22"/>
        </w:rPr>
        <w:t>znaczenie transportu rowerowego w kontekście rozwoju regionu, a także kompleksowo ujmować kwestie dotyczące ruchu rowerowego (przestrzenne, planistyczne, techniczne, organizacyjne, edukacyjne i promocyjne).</w:t>
      </w:r>
      <w:r w:rsidR="0045643D" w:rsidRPr="009B78DA">
        <w:rPr>
          <w:color w:val="000000" w:themeColor="text1"/>
        </w:rPr>
        <w:t xml:space="preserve"> </w:t>
      </w:r>
      <w:bookmarkEnd w:id="305"/>
      <w:r w:rsidR="00466B9A" w:rsidRPr="009B78DA">
        <w:rPr>
          <w:rFonts w:ascii="Arial" w:hAnsi="Arial" w:cs="Arial"/>
          <w:color w:val="000000" w:themeColor="text1"/>
          <w:sz w:val="22"/>
          <w:szCs w:val="22"/>
        </w:rPr>
        <w:t>O</w:t>
      </w:r>
      <w:r w:rsidRPr="009B78DA">
        <w:rPr>
          <w:rFonts w:ascii="Arial" w:hAnsi="Arial" w:cs="Arial"/>
          <w:color w:val="000000" w:themeColor="text1"/>
          <w:sz w:val="22"/>
          <w:szCs w:val="22"/>
        </w:rPr>
        <w:t>dpowiedzialny</w:t>
      </w:r>
      <w:r w:rsidR="008152EE" w:rsidRPr="009B78DA">
        <w:rPr>
          <w:rFonts w:ascii="Arial" w:hAnsi="Arial" w:cs="Arial"/>
          <w:color w:val="000000" w:themeColor="text1"/>
          <w:sz w:val="22"/>
          <w:szCs w:val="22"/>
        </w:rPr>
        <w:t>mi</w:t>
      </w:r>
      <w:r w:rsidR="00466B9A" w:rsidRPr="009B78DA">
        <w:rPr>
          <w:rFonts w:ascii="Arial" w:hAnsi="Arial" w:cs="Arial"/>
          <w:color w:val="000000" w:themeColor="text1"/>
          <w:sz w:val="22"/>
          <w:szCs w:val="22"/>
        </w:rPr>
        <w:t xml:space="preserve"> za t</w:t>
      </w:r>
      <w:r w:rsidR="008152EE" w:rsidRPr="009B78DA">
        <w:rPr>
          <w:rFonts w:ascii="Arial" w:hAnsi="Arial" w:cs="Arial"/>
          <w:color w:val="000000" w:themeColor="text1"/>
          <w:sz w:val="22"/>
          <w:szCs w:val="22"/>
        </w:rPr>
        <w:t>ę dziedzinę</w:t>
      </w:r>
      <w:r w:rsidRPr="009B78DA">
        <w:rPr>
          <w:rFonts w:ascii="Arial" w:hAnsi="Arial" w:cs="Arial"/>
          <w:color w:val="000000" w:themeColor="text1"/>
          <w:sz w:val="22"/>
          <w:szCs w:val="22"/>
        </w:rPr>
        <w:t xml:space="preserve"> w ramach realizacji </w:t>
      </w:r>
      <w:r w:rsidRPr="009B78DA">
        <w:rPr>
          <w:rFonts w:ascii="Arial" w:hAnsi="Arial" w:cs="Arial"/>
          <w:i/>
          <w:color w:val="000000" w:themeColor="text1"/>
          <w:sz w:val="22"/>
          <w:szCs w:val="22"/>
        </w:rPr>
        <w:t>Programu Strategicznego Rozwoju Transportu Województwa Podkarpackiego do roku 2030</w:t>
      </w:r>
      <w:r w:rsidRPr="009B78DA">
        <w:rPr>
          <w:rFonts w:ascii="Arial" w:hAnsi="Arial" w:cs="Arial"/>
          <w:color w:val="000000" w:themeColor="text1"/>
          <w:sz w:val="22"/>
          <w:szCs w:val="22"/>
        </w:rPr>
        <w:t xml:space="preserve"> </w:t>
      </w:r>
      <w:bookmarkStart w:id="306" w:name="_Hlk77837211"/>
      <w:r w:rsidR="008152EE" w:rsidRPr="009B78DA">
        <w:rPr>
          <w:rFonts w:ascii="Arial" w:hAnsi="Arial" w:cs="Arial"/>
          <w:color w:val="000000" w:themeColor="text1"/>
          <w:sz w:val="22"/>
          <w:szCs w:val="22"/>
        </w:rPr>
        <w:t>są</w:t>
      </w:r>
      <w:r w:rsidRPr="009B78DA">
        <w:rPr>
          <w:rFonts w:ascii="Arial" w:hAnsi="Arial" w:cs="Arial"/>
          <w:color w:val="000000" w:themeColor="text1"/>
          <w:sz w:val="22"/>
          <w:szCs w:val="22"/>
        </w:rPr>
        <w:t xml:space="preserve"> </w:t>
      </w:r>
      <w:r w:rsidR="00F70CDF" w:rsidRPr="009B78DA">
        <w:rPr>
          <w:rFonts w:ascii="Arial" w:hAnsi="Arial" w:cs="Arial"/>
          <w:color w:val="000000" w:themeColor="text1"/>
          <w:sz w:val="22"/>
          <w:szCs w:val="22"/>
        </w:rPr>
        <w:t xml:space="preserve">Podkarpacki Zarząd Dróg Wojewódzkich w Rzeszowie/ </w:t>
      </w:r>
      <w:r w:rsidRPr="009B78DA">
        <w:rPr>
          <w:rFonts w:ascii="Arial" w:hAnsi="Arial" w:cs="Arial"/>
          <w:color w:val="000000" w:themeColor="text1"/>
          <w:sz w:val="22"/>
          <w:szCs w:val="22"/>
        </w:rPr>
        <w:t>Departament Promocji, Turystyki i Współpracy Gospodarczej UWMP.</w:t>
      </w:r>
      <w:bookmarkEnd w:id="306"/>
    </w:p>
    <w:p w14:paraId="5E0CD8BE" w14:textId="47442212" w:rsidR="00BD2A66" w:rsidRPr="009B78DA" w:rsidRDefault="00222787" w:rsidP="00627053">
      <w:pPr>
        <w:spacing w:after="120" w:line="276" w:lineRule="auto"/>
        <w:ind w:firstLine="709"/>
        <w:rPr>
          <w:rFonts w:ascii="Arial" w:hAnsi="Arial" w:cs="Arial"/>
          <w:b/>
          <w:color w:val="000000" w:themeColor="text1"/>
          <w:sz w:val="22"/>
          <w:szCs w:val="22"/>
        </w:rPr>
      </w:pPr>
      <w:r w:rsidRPr="009B78DA">
        <w:rPr>
          <w:rFonts w:ascii="Arial" w:hAnsi="Arial" w:cs="Arial"/>
          <w:color w:val="000000" w:themeColor="text1"/>
          <w:sz w:val="22"/>
          <w:szCs w:val="22"/>
        </w:rPr>
        <w:t xml:space="preserve">W województwie podkarpackim transport wodny śródlądowy pomimo aktualnie bardzo niskiego udziału w łącznych przewozach towarowych może odgrywać </w:t>
      </w:r>
      <w:bookmarkStart w:id="307" w:name="_Hlk77837257"/>
      <w:r w:rsidR="00F70CDF" w:rsidRPr="009B78DA">
        <w:rPr>
          <w:rFonts w:ascii="Arial" w:hAnsi="Arial" w:cs="Arial"/>
          <w:color w:val="000000" w:themeColor="text1"/>
          <w:sz w:val="22"/>
          <w:szCs w:val="22"/>
        </w:rPr>
        <w:t>pewną</w:t>
      </w:r>
      <w:r w:rsidRPr="009B78DA">
        <w:rPr>
          <w:rFonts w:ascii="Arial" w:hAnsi="Arial" w:cs="Arial"/>
          <w:color w:val="000000" w:themeColor="text1"/>
          <w:sz w:val="22"/>
          <w:szCs w:val="22"/>
        </w:rPr>
        <w:t xml:space="preserve"> rolę </w:t>
      </w:r>
      <w:bookmarkEnd w:id="307"/>
      <w:r w:rsidR="00627053">
        <w:rPr>
          <w:rFonts w:ascii="Arial" w:hAnsi="Arial" w:cs="Arial"/>
          <w:color w:val="000000" w:themeColor="text1"/>
          <w:sz w:val="22"/>
          <w:szCs w:val="22"/>
        </w:rPr>
        <w:br/>
      </w:r>
      <w:r w:rsidRPr="009B78DA">
        <w:rPr>
          <w:rFonts w:ascii="Arial" w:hAnsi="Arial" w:cs="Arial"/>
          <w:color w:val="000000" w:themeColor="text1"/>
          <w:sz w:val="22"/>
          <w:szCs w:val="22"/>
        </w:rPr>
        <w:t xml:space="preserve">w wybranych segmentach rynku. Jednakże obserwując tendencję wzrostową transportu wodnego śródlądowego należy uwzględnić potencjał rozwojowy tej gałęzi transportu, jak również jego konkurencyjność i komplementarność do przewozów pasażerskich. Niezbędne jest jednak polepszenie warunków nawigacyjnych, co wymaga inwestycji. Zagospodarowanie śródlądowych dróg wodnych i rozwój żeglugi śródlądowej wpisują się we współczesne potrzeby rozwoju społeczno-gospodarczego i dzięki kompleksowemu charakterowi, przyczynią się do poprawy efektywności systemu transportowego oraz będą jednym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z czynników zapewniających długotrwały wzrost gospodarczy dzięki stopniowo generowanym, coraz większym efektom w różnych dziedzinach gospodarki.</w:t>
      </w:r>
    </w:p>
    <w:p w14:paraId="2DE3D547" w14:textId="0188F406" w:rsidR="00222787" w:rsidRPr="009B78DA" w:rsidRDefault="00222787" w:rsidP="00627053">
      <w:pPr>
        <w:spacing w:after="0" w:line="276" w:lineRule="auto"/>
        <w:rPr>
          <w:rFonts w:ascii="Arial" w:hAnsi="Arial" w:cs="Arial"/>
          <w:b/>
          <w:color w:val="000000" w:themeColor="text1"/>
          <w:sz w:val="22"/>
          <w:szCs w:val="22"/>
        </w:rPr>
      </w:pPr>
      <w:r w:rsidRPr="009B78DA">
        <w:rPr>
          <w:rFonts w:ascii="Arial" w:hAnsi="Arial" w:cs="Arial"/>
          <w:b/>
          <w:color w:val="000000" w:themeColor="text1"/>
          <w:sz w:val="22"/>
          <w:szCs w:val="22"/>
        </w:rPr>
        <w:t>Cel podstawowy 2.</w:t>
      </w:r>
      <w:r w:rsidRPr="009B78DA">
        <w:rPr>
          <w:rFonts w:ascii="Arial" w:hAnsi="Arial" w:cs="Arial"/>
          <w:b/>
          <w:color w:val="000000" w:themeColor="text1"/>
          <w:sz w:val="22"/>
          <w:szCs w:val="22"/>
        </w:rPr>
        <w:br/>
        <w:t>Transportowa spójność wewnętrzna</w:t>
      </w:r>
      <w:r w:rsidRPr="009B78DA">
        <w:rPr>
          <w:rFonts w:ascii="Arial" w:hAnsi="Arial" w:cs="Arial"/>
          <w:b/>
          <w:color w:val="000000" w:themeColor="text1"/>
          <w:sz w:val="22"/>
          <w:szCs w:val="22"/>
        </w:rPr>
        <w:br/>
      </w:r>
      <w:r w:rsidR="005071BD" w:rsidRPr="009B78DA">
        <w:rPr>
          <w:rFonts w:ascii="Arial" w:hAnsi="Arial" w:cs="Arial"/>
          <w:b/>
          <w:color w:val="000000" w:themeColor="text1"/>
          <w:sz w:val="22"/>
          <w:szCs w:val="22"/>
        </w:rPr>
        <w:t>Zwiększenie powiązań transportowych w regionie, w tym likwidowanie obszarów wykluczenia transportowego spowodowanego niskim zaludnieniem / obszarami górzystymi / obszarami o niskiej skali zatrudniania</w:t>
      </w:r>
    </w:p>
    <w:p w14:paraId="1879DFFC" w14:textId="39D70966"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Specyfiką województwa podkarpackiego jest policentryczna sieć osadnicza, która pozwoliła na wyznaczenie regionalnych biegunów wzrostu. Stanowią one ważne ośrodki gospodarcze oraz miejsce koncentracji usług o znaczeniu ponadlokalnym. Zgodnie </w:t>
      </w:r>
      <w:r w:rsidR="00A26349">
        <w:rPr>
          <w:rFonts w:ascii="Arial" w:hAnsi="Arial" w:cs="Arial"/>
          <w:color w:val="000000" w:themeColor="text1"/>
          <w:sz w:val="22"/>
          <w:szCs w:val="22"/>
        </w:rPr>
        <w:br/>
      </w:r>
      <w:r w:rsidRPr="009B78DA">
        <w:rPr>
          <w:rFonts w:ascii="Arial" w:hAnsi="Arial" w:cs="Arial"/>
          <w:color w:val="000000" w:themeColor="text1"/>
          <w:sz w:val="22"/>
          <w:szCs w:val="22"/>
        </w:rPr>
        <w:t xml:space="preserve">z zapisami </w:t>
      </w:r>
      <w:r w:rsidRPr="009B78DA">
        <w:rPr>
          <w:rFonts w:ascii="Arial" w:hAnsi="Arial" w:cs="Arial"/>
          <w:i/>
          <w:color w:val="000000" w:themeColor="text1"/>
          <w:sz w:val="22"/>
          <w:szCs w:val="22"/>
        </w:rPr>
        <w:t>Strategii Rozwoju Województwa - Podkarpackie 2030</w:t>
      </w:r>
      <w:r w:rsidRPr="009B78DA">
        <w:rPr>
          <w:rFonts w:ascii="Arial" w:hAnsi="Arial" w:cs="Arial"/>
          <w:color w:val="000000" w:themeColor="text1"/>
          <w:sz w:val="22"/>
          <w:szCs w:val="22"/>
        </w:rPr>
        <w:t>, odgrywają one szczególną rolę w procesie dyfuzji procesów rozwojowych, umożliwiając ich równomierne rozprzestrzenianie na obszar całego regionu.</w:t>
      </w:r>
    </w:p>
    <w:p w14:paraId="16927C33" w14:textId="77777777"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Ważnym instrumentem, umożliwiającym realizację funkcji regionalnych biegunów wzrostu jest infrastruktura transportowa. Umożliwia ona sprawną komunikację pomiędzy miastami regionu oraz stolicą województwa, co sprzyja integracji regionu, jak również wzmacnia procesy integra</w:t>
      </w:r>
      <w:r w:rsidR="00195775" w:rsidRPr="009B78DA">
        <w:rPr>
          <w:rFonts w:ascii="Arial" w:hAnsi="Arial" w:cs="Arial"/>
          <w:color w:val="000000" w:themeColor="text1"/>
          <w:sz w:val="22"/>
          <w:szCs w:val="22"/>
        </w:rPr>
        <w:t>cji rozproszonych rynków pracy.</w:t>
      </w:r>
    </w:p>
    <w:p w14:paraId="0CB3661B" w14:textId="77777777"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Dostępność komunikacyjna jest istotnym czynnikiem funkcjonowania miast a także stanowi o ich potencjale rozwojowym. Na terenie województwa podkarpackiego istnieją obszary, pomiędzy którymi występuje wyraźny przepływ migracyjny. Są to obszary funkcjonalne, które koncentrują ważne funkcje o charakterze gospodarczym i społecznym. Wykazują się również wysoką atrakcyjnością oraz dużym potencjałem endogenicznym oddziałującym także na ich najbliższe sąsiedztwo. Istotnym aspektem w kontekście dostępności komunikacyjnej jest też policentryczna struktura sieci osadniczej, a także rozmies</w:t>
      </w:r>
      <w:r w:rsidR="00C27E1F" w:rsidRPr="009B78DA">
        <w:rPr>
          <w:rFonts w:ascii="Arial" w:hAnsi="Arial" w:cs="Arial"/>
          <w:color w:val="000000" w:themeColor="text1"/>
          <w:sz w:val="22"/>
          <w:szCs w:val="22"/>
        </w:rPr>
        <w:t>zczenie ośrodków przemysłowych.</w:t>
      </w:r>
    </w:p>
    <w:p w14:paraId="37695D71" w14:textId="0FAFC631" w:rsidR="008E3FDF" w:rsidRPr="009B78DA" w:rsidRDefault="00222787" w:rsidP="00627053">
      <w:pPr>
        <w:spacing w:after="0" w:line="276" w:lineRule="auto"/>
        <w:ind w:firstLine="709"/>
        <w:rPr>
          <w:color w:val="000000" w:themeColor="text1"/>
        </w:rPr>
      </w:pPr>
      <w:r w:rsidRPr="009B78DA">
        <w:rPr>
          <w:rFonts w:ascii="Arial" w:hAnsi="Arial" w:cs="Arial"/>
          <w:color w:val="000000" w:themeColor="text1"/>
          <w:sz w:val="22"/>
          <w:szCs w:val="22"/>
        </w:rPr>
        <w:t>Rozwój infrastruktury transportowej, pozwala wzmacniać ciążenia grawitacyjne występujące pomiędzy grupami MOF, a także zwiększyć zakres oddziaływania regionalnych biegunów wzrostu na otaczające je obszary, zwłaszcza w kierunku obszarów uznanych za peryferyjne.</w:t>
      </w:r>
    </w:p>
    <w:p w14:paraId="5960C86A" w14:textId="0C6E6C4D" w:rsidR="00222787" w:rsidRPr="009B78DA" w:rsidRDefault="008E3FDF"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Ponadto, jako że jedną z przyczyn wykluczenia transportowego jest spadek rentowności połączeń, konieczne staje się wsparcie transportu publicznego.</w:t>
      </w:r>
    </w:p>
    <w:p w14:paraId="70F56398" w14:textId="655302CA"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Niekorzystne procesy demograficzne, zachodzą w województwie podkarpackim wolniej niż w innych regionach Polski, a polityka transportowa może być jednym z narzędzi powstrzymania tych trendów. W regionie zachodzą procesy dywergencji, część południowo-wschodnia rozwija się znacznie wolniej od części północno-zachodniej i centralnej. Jednak, rozmieszczenie przestrzenne zidentyfikowanych regionalnych biegunów rozwoju gospodarczego powoduje, że infrastruktura musi być także postrzegana jako narzędzie potencjalnego wspierania dyfuzji rozwoju na cały obszar województwa. Stąd, rozwój infrastruktury transportowej jest ważnym czynnikiem umożliwiającym równoważenie p</w:t>
      </w:r>
      <w:r w:rsidR="00195775" w:rsidRPr="009B78DA">
        <w:rPr>
          <w:rFonts w:ascii="Arial" w:hAnsi="Arial" w:cs="Arial"/>
          <w:color w:val="000000" w:themeColor="text1"/>
          <w:sz w:val="22"/>
          <w:szCs w:val="22"/>
        </w:rPr>
        <w:t>rocesów rozwojowych w regionie.</w:t>
      </w:r>
    </w:p>
    <w:p w14:paraId="0DA6F4B7" w14:textId="3C9EFA0A" w:rsidR="00724C1A"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Ze względu na liczne powiązania pomiędzy miastami – rdzeniami obszarów funkcjonalnych, widoczny jest wyraźny przepływ mieszkańców na poszczególnych kierunkach układu komunikacyjnego województwa.</w:t>
      </w:r>
    </w:p>
    <w:p w14:paraId="7E3CE8D8" w14:textId="77777777"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Najkorzystniejszą czasową dostępnością komunikacyjną charakteryzują się miasta usytuowane wzdłuż korytarza transportowego relacji wschód-zachód, na co duży wpływ ma położenie autostrady A4. Najkrótsze wzajemne połączenia odnotowuje się pomiędzy Rzeszowem a Dębicą, Jarosławiem, Przeworskiem oraz Przemyślem. Miastem-rdzeniem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o najniższej czasowej dostępności drogowej pozostaje Sanok, gdzie czas dojazdu jest bardzo długi w przypadku połączenia z Tarnobrzegiem.</w:t>
      </w:r>
    </w:p>
    <w:p w14:paraId="01BD9751" w14:textId="0FEC5BBE"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Dotychczasowe zmiany dostępności komunikacyjnej wynikają również z budowy drogi ekspresowej S19. Największa różnica zauważalna jest w przypadku miasta-rdzenia obszaru funkcjonalnego Stalowa Wola, w relacji z miastami-rdzeniami: Krosnem i Sanokiem. Czas przejazdu między rdzeniami zmniejszy się nawet o około 25 minut. Inwestycja ta będzie skutkować również wzrostem dostępności powiatów leżajskiego i kolbuszowskiego </w:t>
      </w:r>
      <w:r w:rsidR="00627053">
        <w:rPr>
          <w:rFonts w:ascii="Arial" w:hAnsi="Arial" w:cs="Arial"/>
          <w:color w:val="000000" w:themeColor="text1"/>
          <w:sz w:val="22"/>
          <w:szCs w:val="22"/>
        </w:rPr>
        <w:br/>
      </w:r>
      <w:r w:rsidRPr="009B78DA">
        <w:rPr>
          <w:rFonts w:ascii="Arial" w:hAnsi="Arial" w:cs="Arial"/>
          <w:color w:val="000000" w:themeColor="text1"/>
          <w:sz w:val="22"/>
          <w:szCs w:val="22"/>
        </w:rPr>
        <w:t>w układzie południkowym. Oba z nich są zlokalizowane w relatywnie niewielkiej odległości do Rzeszowa oraz intensywnie rozwijających się stref przemysłowych na północy te</w:t>
      </w:r>
      <w:r w:rsidR="00195775" w:rsidRPr="009B78DA">
        <w:rPr>
          <w:rFonts w:ascii="Arial" w:hAnsi="Arial" w:cs="Arial"/>
          <w:color w:val="000000" w:themeColor="text1"/>
          <w:sz w:val="22"/>
          <w:szCs w:val="22"/>
        </w:rPr>
        <w:t>go miasta.</w:t>
      </w:r>
      <w:r w:rsidR="00725FD6" w:rsidRPr="009B78DA">
        <w:rPr>
          <w:rFonts w:ascii="Arial" w:hAnsi="Arial" w:cs="Arial"/>
          <w:color w:val="000000" w:themeColor="text1"/>
          <w:sz w:val="22"/>
          <w:szCs w:val="22"/>
        </w:rPr>
        <w:t xml:space="preserve"> </w:t>
      </w:r>
      <w:r w:rsidR="00627053">
        <w:rPr>
          <w:rFonts w:ascii="Arial" w:hAnsi="Arial" w:cs="Arial"/>
          <w:color w:val="000000" w:themeColor="text1"/>
          <w:sz w:val="22"/>
          <w:szCs w:val="22"/>
        </w:rPr>
        <w:br/>
      </w:r>
      <w:r w:rsidRPr="009B78DA">
        <w:rPr>
          <w:rFonts w:ascii="Arial" w:hAnsi="Arial" w:cs="Arial"/>
          <w:color w:val="000000" w:themeColor="text1"/>
          <w:sz w:val="22"/>
          <w:szCs w:val="22"/>
        </w:rPr>
        <w:t>Z tego punktu widzenia powinien w najbliższych latach nastąpić duży wzrost dostępności tych obszarów, również w kontekście potencjalnego oddziaływania na rynek pracy.</w:t>
      </w:r>
    </w:p>
    <w:p w14:paraId="6162A0D1" w14:textId="7A3A10DA"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Powiat strzyżowski aktualnie jest znacznie gorzej dostępny, ale jego dostępność skokowo się zwiększy w wariancie wydłużenia S19 do węzła Babica. Przedłużenie drogi ekspresowej w kierunku południowym (przynajmniej do węzła Babica) będzie skutkowało poprawą sytuacji również i w dwóch innych powiatach graniczących z powiatem strzyżowskim, tj. w powiatach brzozowskim oraz jasielskim. Dla powiatu jasielskiego i jego dostępności kluczowa będzie również poprawa warunków podróżowania na DK 73. Trasa ta w kierunku Pilzna jest znacznie obciążona ruchem ciężarowym prowadzącym w kierunku autostrady A4. Znajdujące się na </w:t>
      </w:r>
      <w:r w:rsidR="00617D88" w:rsidRPr="009B78DA">
        <w:rPr>
          <w:rFonts w:ascii="Arial" w:hAnsi="Arial" w:cs="Arial"/>
          <w:color w:val="000000" w:themeColor="text1"/>
          <w:sz w:val="22"/>
          <w:szCs w:val="22"/>
        </w:rPr>
        <w:t>południowym wschodzie</w:t>
      </w:r>
      <w:r w:rsidRPr="009B78DA">
        <w:rPr>
          <w:rFonts w:ascii="Arial" w:hAnsi="Arial" w:cs="Arial"/>
          <w:color w:val="000000" w:themeColor="text1"/>
          <w:sz w:val="22"/>
          <w:szCs w:val="22"/>
        </w:rPr>
        <w:t xml:space="preserve"> regionu powiaty leski </w:t>
      </w:r>
      <w:r w:rsidR="00627053">
        <w:rPr>
          <w:rFonts w:ascii="Arial" w:hAnsi="Arial" w:cs="Arial"/>
          <w:color w:val="000000" w:themeColor="text1"/>
          <w:sz w:val="22"/>
          <w:szCs w:val="22"/>
        </w:rPr>
        <w:br/>
      </w:r>
      <w:r w:rsidRPr="009B78DA">
        <w:rPr>
          <w:rFonts w:ascii="Arial" w:hAnsi="Arial" w:cs="Arial"/>
          <w:color w:val="000000" w:themeColor="text1"/>
          <w:sz w:val="22"/>
          <w:szCs w:val="22"/>
        </w:rPr>
        <w:t>i bieszczadzki mają najgorszą dostępność na Podkarpaciu, a również są w czołówce najgorzej dostępnych obszarów w Polsce. Ich dostępność niestety nie zwiększy się w dużym stopniu do 2023 r. Jedynie przedłużenie drogi ekspresowej S19 do granicy ze Słowacją oraz budowa drogi ekspresowej łączącej S19 z Sanokiem mogłoby zmienić tą sytuację.</w:t>
      </w:r>
    </w:p>
    <w:p w14:paraId="1FC05A15" w14:textId="77777777"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Niezwykle ważne są inwestycje mające na celu zwiększenie powiązań transportowych w regionie, w tym likwidowanie obszarów wykluczenia transportowego:</w:t>
      </w:r>
    </w:p>
    <w:p w14:paraId="314C8E2E" w14:textId="4E500F16" w:rsidR="00222787" w:rsidRPr="009B78DA" w:rsidRDefault="00222787" w:rsidP="00627053">
      <w:pPr>
        <w:pStyle w:val="Akapitzlist"/>
        <w:numPr>
          <w:ilvl w:val="0"/>
          <w:numId w:val="10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rozwój i modernizacja dróg krajowych i obwodnic (np. Miejsce Piastowe – Sanok - obecna DK28 może zmienić kwali</w:t>
      </w:r>
      <w:r w:rsidR="00195775" w:rsidRPr="009B78DA">
        <w:rPr>
          <w:rFonts w:ascii="Arial" w:hAnsi="Arial" w:cs="Arial"/>
          <w:color w:val="000000" w:themeColor="text1"/>
          <w:sz w:val="22"/>
          <w:szCs w:val="22"/>
        </w:rPr>
        <w:t>fikację jako droga wojewódzka)</w:t>
      </w:r>
      <w:r w:rsidR="003142D7" w:rsidRPr="009B78DA">
        <w:rPr>
          <w:rFonts w:ascii="Arial" w:hAnsi="Arial" w:cs="Arial"/>
          <w:color w:val="000000" w:themeColor="text1"/>
          <w:sz w:val="22"/>
          <w:szCs w:val="22"/>
        </w:rPr>
        <w:t>,</w:t>
      </w:r>
    </w:p>
    <w:p w14:paraId="60F7372D" w14:textId="705F8E30" w:rsidR="00222787" w:rsidRPr="009B78DA" w:rsidRDefault="00222787" w:rsidP="00627053">
      <w:pPr>
        <w:pStyle w:val="Akapitzlist"/>
        <w:numPr>
          <w:ilvl w:val="0"/>
          <w:numId w:val="10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likwidację wąskich gardeł m.in. w Miejscu Piastowym (w tym skumulowanie ruchu przy zjazdach do uzdrowisk)</w:t>
      </w:r>
      <w:r w:rsidR="003142D7" w:rsidRPr="009B78DA">
        <w:rPr>
          <w:rFonts w:ascii="Arial" w:hAnsi="Arial" w:cs="Arial"/>
          <w:color w:val="000000" w:themeColor="text1"/>
          <w:sz w:val="22"/>
          <w:szCs w:val="22"/>
        </w:rPr>
        <w:t>,</w:t>
      </w:r>
    </w:p>
    <w:p w14:paraId="070CA998" w14:textId="1CDEC76B" w:rsidR="00222787" w:rsidRPr="009B78DA" w:rsidRDefault="00222787" w:rsidP="00627053">
      <w:pPr>
        <w:pStyle w:val="Akapitzlist"/>
        <w:numPr>
          <w:ilvl w:val="0"/>
          <w:numId w:val="10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poprawa dostępności Beskidu Niskiego oraz Jasła</w:t>
      </w:r>
      <w:r w:rsidR="003142D7" w:rsidRPr="009B78DA">
        <w:rPr>
          <w:rFonts w:ascii="Arial" w:hAnsi="Arial" w:cs="Arial"/>
          <w:color w:val="000000" w:themeColor="text1"/>
          <w:sz w:val="22"/>
          <w:szCs w:val="22"/>
        </w:rPr>
        <w:t>,</w:t>
      </w:r>
    </w:p>
    <w:p w14:paraId="0BD2E372" w14:textId="299510A4" w:rsidR="00222787" w:rsidRPr="009B78DA" w:rsidRDefault="00222787" w:rsidP="00627053">
      <w:pPr>
        <w:pStyle w:val="Akapitzlist"/>
        <w:numPr>
          <w:ilvl w:val="0"/>
          <w:numId w:val="10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powiązanie komunikacyjne </w:t>
      </w:r>
      <w:r w:rsidR="00C32A98" w:rsidRPr="009B78DA">
        <w:rPr>
          <w:rFonts w:ascii="Arial" w:hAnsi="Arial" w:cs="Arial"/>
          <w:color w:val="000000" w:themeColor="text1"/>
          <w:sz w:val="22"/>
          <w:szCs w:val="22"/>
        </w:rPr>
        <w:t>województwa w układzie diagonalnym (skośnym)</w:t>
      </w:r>
      <w:r w:rsidR="003142D7" w:rsidRPr="009B78DA">
        <w:rPr>
          <w:rFonts w:ascii="Arial" w:hAnsi="Arial" w:cs="Arial"/>
          <w:color w:val="000000" w:themeColor="text1"/>
          <w:sz w:val="22"/>
          <w:szCs w:val="22"/>
        </w:rPr>
        <w:t>,</w:t>
      </w:r>
    </w:p>
    <w:p w14:paraId="346C3ADF" w14:textId="56AC22F7" w:rsidR="00222787" w:rsidRPr="009B78DA" w:rsidRDefault="00222787" w:rsidP="00627053">
      <w:pPr>
        <w:pStyle w:val="Akapitzlist"/>
        <w:numPr>
          <w:ilvl w:val="0"/>
          <w:numId w:val="10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poprawa dostępności Lubaczowa - brak dróg krajowych</w:t>
      </w:r>
      <w:r w:rsidR="003142D7" w:rsidRPr="009B78DA">
        <w:rPr>
          <w:rFonts w:ascii="Arial" w:hAnsi="Arial" w:cs="Arial"/>
          <w:color w:val="000000" w:themeColor="text1"/>
          <w:sz w:val="22"/>
          <w:szCs w:val="22"/>
        </w:rPr>
        <w:t>,</w:t>
      </w:r>
    </w:p>
    <w:p w14:paraId="371B482A" w14:textId="51E61E3D" w:rsidR="00222787" w:rsidRPr="009B78DA" w:rsidRDefault="00222787" w:rsidP="00627053">
      <w:pPr>
        <w:pStyle w:val="Akapitzlist"/>
        <w:numPr>
          <w:ilvl w:val="0"/>
          <w:numId w:val="10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poprawa dostępności pomiędzy Przemyślem a Ustrzykami Dolnymi (przez Arłamów)</w:t>
      </w:r>
      <w:r w:rsidR="00ED34A4" w:rsidRPr="009B78DA">
        <w:rPr>
          <w:rFonts w:ascii="Arial" w:hAnsi="Arial" w:cs="Arial"/>
          <w:color w:val="000000" w:themeColor="text1"/>
          <w:sz w:val="22"/>
          <w:szCs w:val="22"/>
        </w:rPr>
        <w:t>,</w:t>
      </w:r>
    </w:p>
    <w:p w14:paraId="0422DE89" w14:textId="03F5326A" w:rsidR="00ED34A4" w:rsidRPr="009B78DA" w:rsidRDefault="00866514" w:rsidP="00627053">
      <w:pPr>
        <w:pStyle w:val="Akapitzlist"/>
        <w:numPr>
          <w:ilvl w:val="0"/>
          <w:numId w:val="105"/>
        </w:numPr>
        <w:spacing w:after="0" w:line="276" w:lineRule="auto"/>
        <w:ind w:left="714" w:hanging="357"/>
        <w:rPr>
          <w:rFonts w:ascii="Arial" w:hAnsi="Arial" w:cs="Arial"/>
          <w:color w:val="000000" w:themeColor="text1"/>
          <w:sz w:val="22"/>
          <w:szCs w:val="22"/>
        </w:rPr>
      </w:pPr>
      <w:bookmarkStart w:id="308" w:name="_Hlk100577992"/>
      <w:r w:rsidRPr="009B78DA">
        <w:rPr>
          <w:rFonts w:ascii="Arial" w:hAnsi="Arial" w:cs="Arial"/>
          <w:color w:val="000000" w:themeColor="text1"/>
          <w:sz w:val="22"/>
          <w:szCs w:val="22"/>
        </w:rPr>
        <w:t xml:space="preserve">a także </w:t>
      </w:r>
      <w:r w:rsidR="00ED34A4" w:rsidRPr="009B78DA">
        <w:rPr>
          <w:rFonts w:ascii="Arial" w:hAnsi="Arial" w:cs="Arial"/>
          <w:color w:val="000000" w:themeColor="text1"/>
          <w:sz w:val="22"/>
          <w:szCs w:val="22"/>
        </w:rPr>
        <w:t xml:space="preserve">poprawa </w:t>
      </w:r>
      <w:r w:rsidRPr="009B78DA">
        <w:rPr>
          <w:rFonts w:ascii="Arial" w:hAnsi="Arial" w:cs="Arial"/>
          <w:color w:val="000000" w:themeColor="text1"/>
          <w:sz w:val="22"/>
          <w:szCs w:val="22"/>
        </w:rPr>
        <w:t>powiązań</w:t>
      </w:r>
      <w:r w:rsidR="003142D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północno – wschodnich obszarów </w:t>
      </w:r>
      <w:r w:rsidR="003142D7" w:rsidRPr="009B78DA">
        <w:rPr>
          <w:rFonts w:ascii="Arial" w:hAnsi="Arial" w:cs="Arial"/>
          <w:color w:val="000000" w:themeColor="text1"/>
          <w:sz w:val="22"/>
          <w:szCs w:val="22"/>
        </w:rPr>
        <w:t>województw</w:t>
      </w:r>
      <w:r w:rsidRPr="009B78DA">
        <w:rPr>
          <w:rFonts w:ascii="Arial" w:hAnsi="Arial" w:cs="Arial"/>
          <w:color w:val="000000" w:themeColor="text1"/>
          <w:sz w:val="22"/>
          <w:szCs w:val="22"/>
        </w:rPr>
        <w:t>a</w:t>
      </w:r>
      <w:r w:rsidR="003142D7" w:rsidRPr="009B78DA">
        <w:rPr>
          <w:rFonts w:ascii="Arial" w:hAnsi="Arial" w:cs="Arial"/>
          <w:color w:val="000000" w:themeColor="text1"/>
          <w:sz w:val="22"/>
          <w:szCs w:val="22"/>
        </w:rPr>
        <w:t xml:space="preserve"> podkarpacki</w:t>
      </w:r>
      <w:r w:rsidRPr="009B78DA">
        <w:rPr>
          <w:rFonts w:ascii="Arial" w:hAnsi="Arial" w:cs="Arial"/>
          <w:color w:val="000000" w:themeColor="text1"/>
          <w:sz w:val="22"/>
          <w:szCs w:val="22"/>
        </w:rPr>
        <w:t>ego</w:t>
      </w:r>
      <w:r w:rsidR="003142D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z obszarami województwa</w:t>
      </w:r>
      <w:r w:rsidR="003142D7" w:rsidRPr="009B78DA">
        <w:rPr>
          <w:rFonts w:ascii="Arial" w:hAnsi="Arial" w:cs="Arial"/>
          <w:color w:val="000000" w:themeColor="text1"/>
          <w:sz w:val="22"/>
          <w:szCs w:val="22"/>
        </w:rPr>
        <w:t xml:space="preserve"> lubelsk</w:t>
      </w:r>
      <w:r w:rsidRPr="009B78DA">
        <w:rPr>
          <w:rFonts w:ascii="Arial" w:hAnsi="Arial" w:cs="Arial"/>
          <w:color w:val="000000" w:themeColor="text1"/>
          <w:sz w:val="22"/>
          <w:szCs w:val="22"/>
        </w:rPr>
        <w:t>iego, w tym poprawa</w:t>
      </w:r>
      <w:r w:rsidR="003142D7" w:rsidRPr="009B78DA">
        <w:rPr>
          <w:rFonts w:ascii="Arial" w:hAnsi="Arial" w:cs="Arial"/>
          <w:color w:val="000000" w:themeColor="text1"/>
          <w:sz w:val="22"/>
          <w:szCs w:val="22"/>
        </w:rPr>
        <w:t xml:space="preserve"> </w:t>
      </w:r>
      <w:r w:rsidR="00ED34A4" w:rsidRPr="009B78DA">
        <w:rPr>
          <w:rFonts w:ascii="Arial" w:hAnsi="Arial" w:cs="Arial"/>
          <w:color w:val="000000" w:themeColor="text1"/>
          <w:sz w:val="22"/>
          <w:szCs w:val="22"/>
        </w:rPr>
        <w:t>dostępności do miasta Leżajsk jako ośrodka, który ma szczególne znaczenie dla mieszkańców powiatu leżajskiego i powiatów ościennych</w:t>
      </w:r>
      <w:r w:rsidR="00D660BC" w:rsidRPr="009B78DA">
        <w:rPr>
          <w:rFonts w:ascii="Arial" w:hAnsi="Arial" w:cs="Arial"/>
          <w:color w:val="000000" w:themeColor="text1"/>
          <w:sz w:val="22"/>
          <w:szCs w:val="22"/>
        </w:rPr>
        <w:t>,</w:t>
      </w:r>
      <w:r w:rsidR="00ED34A4" w:rsidRPr="009B78DA">
        <w:rPr>
          <w:rFonts w:ascii="Arial" w:hAnsi="Arial" w:cs="Arial"/>
          <w:color w:val="000000" w:themeColor="text1"/>
          <w:sz w:val="22"/>
          <w:szCs w:val="22"/>
        </w:rPr>
        <w:t xml:space="preserve"> ale także dla mieszkańców województwa lubelskiego</w:t>
      </w:r>
      <w:bookmarkEnd w:id="308"/>
      <w:r w:rsidR="00627053">
        <w:rPr>
          <w:rFonts w:ascii="Arial" w:hAnsi="Arial" w:cs="Arial"/>
          <w:color w:val="000000" w:themeColor="text1"/>
          <w:sz w:val="22"/>
          <w:szCs w:val="22"/>
        </w:rPr>
        <w:t>.</w:t>
      </w:r>
    </w:p>
    <w:p w14:paraId="2CAC5437" w14:textId="6DD83D62" w:rsidR="00222787" w:rsidRPr="009B78DA" w:rsidRDefault="00222787" w:rsidP="00627053">
      <w:pPr>
        <w:spacing w:after="0" w:line="276" w:lineRule="auto"/>
        <w:ind w:firstLine="709"/>
        <w:rPr>
          <w:rFonts w:ascii="Arial" w:hAnsi="Arial" w:cs="Arial"/>
          <w:color w:val="000000" w:themeColor="text1"/>
          <w:sz w:val="22"/>
          <w:szCs w:val="22"/>
        </w:rPr>
      </w:pPr>
      <w:bookmarkStart w:id="309" w:name="_Hlk92261834"/>
      <w:r w:rsidRPr="009B78DA">
        <w:rPr>
          <w:rFonts w:ascii="Arial" w:hAnsi="Arial" w:cs="Arial"/>
          <w:color w:val="000000" w:themeColor="text1"/>
          <w:sz w:val="22"/>
          <w:szCs w:val="22"/>
        </w:rPr>
        <w:t xml:space="preserve">W zakresie wsparcia dróg lokalnych dopuszczalne będzie wsparcie dróg lokalnych </w:t>
      </w:r>
      <w:r w:rsidR="00627053">
        <w:rPr>
          <w:rFonts w:ascii="Arial" w:hAnsi="Arial" w:cs="Arial"/>
          <w:color w:val="000000" w:themeColor="text1"/>
          <w:sz w:val="22"/>
          <w:szCs w:val="22"/>
        </w:rPr>
        <w:br/>
      </w:r>
      <w:r w:rsidRPr="009B78DA">
        <w:rPr>
          <w:rFonts w:ascii="Arial" w:hAnsi="Arial" w:cs="Arial"/>
          <w:color w:val="000000" w:themeColor="text1"/>
          <w:sz w:val="22"/>
          <w:szCs w:val="22"/>
        </w:rPr>
        <w:t xml:space="preserve">o </w:t>
      </w:r>
      <w:r w:rsidR="00233CFE" w:rsidRPr="009B78DA">
        <w:rPr>
          <w:rFonts w:ascii="Arial" w:hAnsi="Arial" w:cs="Arial"/>
          <w:color w:val="000000" w:themeColor="text1"/>
          <w:sz w:val="22"/>
          <w:szCs w:val="22"/>
        </w:rPr>
        <w:t>strategicznym</w:t>
      </w:r>
      <w:r w:rsidRPr="009B78DA">
        <w:rPr>
          <w:rFonts w:ascii="Arial" w:hAnsi="Arial" w:cs="Arial"/>
          <w:color w:val="000000" w:themeColor="text1"/>
          <w:sz w:val="22"/>
          <w:szCs w:val="22"/>
        </w:rPr>
        <w:t xml:space="preserve"> znaczeniu</w:t>
      </w:r>
      <w:r w:rsidR="00233CFE" w:rsidRPr="009B78DA">
        <w:rPr>
          <w:rFonts w:ascii="Arial" w:hAnsi="Arial" w:cs="Arial"/>
          <w:color w:val="000000" w:themeColor="text1"/>
          <w:sz w:val="22"/>
          <w:szCs w:val="22"/>
        </w:rPr>
        <w:t xml:space="preserve"> dla województwa</w:t>
      </w:r>
      <w:r w:rsidRPr="009B78DA">
        <w:rPr>
          <w:rFonts w:ascii="Arial" w:hAnsi="Arial" w:cs="Arial"/>
          <w:color w:val="000000" w:themeColor="text1"/>
          <w:sz w:val="22"/>
          <w:szCs w:val="22"/>
        </w:rPr>
        <w:t xml:space="preserve">, </w:t>
      </w:r>
      <w:bookmarkEnd w:id="309"/>
      <w:r w:rsidRPr="009B78DA">
        <w:rPr>
          <w:rFonts w:ascii="Arial" w:hAnsi="Arial" w:cs="Arial"/>
          <w:color w:val="000000" w:themeColor="text1"/>
          <w:sz w:val="22"/>
          <w:szCs w:val="22"/>
        </w:rPr>
        <w:t xml:space="preserve">przyczyniających się do: poprawy spójności komunikacyjnej regionu i subregionów, ograniczenia wykluczenia komunikacyjnego i rozwoju infrastruktury subregionalnych publicznych przewozów autobusowych (interwencja ograniczona do inwestycji </w:t>
      </w:r>
      <w:r w:rsidR="00627053">
        <w:rPr>
          <w:rFonts w:ascii="Arial" w:hAnsi="Arial" w:cs="Arial"/>
          <w:color w:val="000000" w:themeColor="text1"/>
          <w:sz w:val="22"/>
          <w:szCs w:val="22"/>
        </w:rPr>
        <w:t>o tzw. charakterze dostępowym).</w:t>
      </w:r>
    </w:p>
    <w:p w14:paraId="25C29606" w14:textId="1B90C70B" w:rsidR="00724C1A" w:rsidRPr="009B78DA" w:rsidRDefault="00724C1A"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Spójność wewnątrzregionalną wzmacniają także rozwiązania multimodalne pozwalające na łączenie transportu alternatywnego z przemieszczaniem się koleją czego przykładem są wykonywane </w:t>
      </w:r>
      <w:bookmarkStart w:id="310" w:name="_Hlk142637708"/>
      <w:r w:rsidRPr="009B78DA">
        <w:rPr>
          <w:rFonts w:ascii="Arial" w:hAnsi="Arial" w:cs="Arial"/>
          <w:color w:val="000000" w:themeColor="text1"/>
          <w:sz w:val="22"/>
          <w:szCs w:val="22"/>
        </w:rPr>
        <w:t>w ramach projektu Podmiejskiej Kolei Aglomeracyjnej – parkingi typu Park &amp; Ride zlokalizowane w sąsiedztwie przystanków kolejowych</w:t>
      </w:r>
      <w:bookmarkEnd w:id="310"/>
      <w:r w:rsidR="00A4274B" w:rsidRPr="009B78DA">
        <w:rPr>
          <w:rStyle w:val="Odwoanieprzypisudolnego"/>
          <w:rFonts w:ascii="Arial" w:hAnsi="Arial" w:cs="Arial"/>
          <w:color w:val="000000" w:themeColor="text1"/>
          <w:sz w:val="22"/>
          <w:szCs w:val="22"/>
        </w:rPr>
        <w:footnoteReference w:id="25"/>
      </w:r>
      <w:r w:rsidRPr="009B78DA">
        <w:rPr>
          <w:rFonts w:ascii="Arial" w:hAnsi="Arial" w:cs="Arial"/>
          <w:color w:val="000000" w:themeColor="text1"/>
          <w:sz w:val="22"/>
          <w:szCs w:val="22"/>
        </w:rPr>
        <w:t>.</w:t>
      </w:r>
    </w:p>
    <w:p w14:paraId="6A279D77" w14:textId="2E6FA486" w:rsidR="00222787"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Realizowane będą również inwestycje w ramach Rządowego Funduszu Rozwoju Dróg, którego celem jest podniesienie poziomu i jakości życia społeczności lokalnych oraz zwiększenie efektywności instytucji publicznych przez rozwój bezpiecznej, spójnej, funkcjonalnej i efektywnej infrastruktury drogowej, jako wsparcie działań samorządu gminnego i powiatowego na rzecz budowy dróg lokalnych o kluczowym znaczeniu dla zrównoważonego rozwoju społeczno-gospodarczego wspólnot samorządowych. Rozwój lokalnej infrastruktury drogowej stanowi działanie komplementarne do inicjatyw podejmowanych na szczeblu krajowym w odniesieniu do budowy systemu autostrad i dróg ekspresowych, przyczyniając się do rozwijania spójnego i zintegrowanego systemu transportowego. Jednocześnie drogi znaczenia lokalnego – powiatowe i gminne – nie mają zapewnionego dostatecznego finansowania w podziale dochodów publicznych i ich stan techniczny jest daleki od zadowalającego. Niemniej samorządy gminne i powiatowe podejmują działania – w ramach posiadanych środków – mające na celu poprawę stanu technicznego tych dróg.</w:t>
      </w:r>
    </w:p>
    <w:p w14:paraId="0C0782F9" w14:textId="0EC47D05" w:rsidR="00755908" w:rsidRPr="009B78DA" w:rsidRDefault="00755908"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Realizując cele rozwojowe Województwo Podkarpackie wychodzi naprzeciwko zapotrzebowaniu na miejsca o charakterze przystankowym, pozwalającym na zmianę modalną celem zrównoważenia transportu. Wprowadzaniu udogodnień na rzecz transportu łączonego, np. w kontekście autobus-rower (ale też w relacji: autobus – inny środek lokomocji) służą stosowne uchwały Sejmiku Województwa Podkarpackiego podejmujące </w:t>
      </w:r>
      <w:r w:rsidR="00627053">
        <w:rPr>
          <w:rFonts w:ascii="Arial" w:hAnsi="Arial" w:cs="Arial"/>
          <w:color w:val="000000" w:themeColor="text1"/>
          <w:sz w:val="22"/>
          <w:szCs w:val="22"/>
        </w:rPr>
        <w:br/>
      </w:r>
      <w:r w:rsidRPr="009B78DA">
        <w:rPr>
          <w:rFonts w:ascii="Arial" w:hAnsi="Arial" w:cs="Arial"/>
          <w:color w:val="000000" w:themeColor="text1"/>
          <w:sz w:val="22"/>
          <w:szCs w:val="22"/>
        </w:rPr>
        <w:t>i odnoszące się problematyki przystanków</w:t>
      </w:r>
      <w:r w:rsidRPr="009B78DA">
        <w:rPr>
          <w:rStyle w:val="Odwoanieprzypisudolnego"/>
          <w:rFonts w:ascii="Arial" w:hAnsi="Arial" w:cs="Arial"/>
          <w:i/>
          <w:color w:val="000000" w:themeColor="text1"/>
          <w:sz w:val="22"/>
          <w:szCs w:val="22"/>
        </w:rPr>
        <w:footnoteReference w:id="26"/>
      </w:r>
      <w:r w:rsidR="00627053">
        <w:rPr>
          <w:rFonts w:ascii="Arial" w:hAnsi="Arial" w:cs="Arial"/>
          <w:color w:val="000000" w:themeColor="text1"/>
          <w:sz w:val="22"/>
          <w:szCs w:val="22"/>
        </w:rPr>
        <w:t>.</w:t>
      </w:r>
    </w:p>
    <w:p w14:paraId="5765FDCA" w14:textId="4D0765F0" w:rsidR="00D44202" w:rsidRPr="009B78DA" w:rsidRDefault="00222787" w:rsidP="00627053">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Dane dotyczące przejazdów kolejowych realizowanych między miastami obszarów funkcjonalnych obrazują stan sieci transportu kolejowego w regionie. </w:t>
      </w:r>
      <w:r w:rsidR="009E36CA" w:rsidRPr="009B78DA">
        <w:rPr>
          <w:rFonts w:ascii="Arial" w:hAnsi="Arial" w:cs="Arial"/>
          <w:color w:val="000000" w:themeColor="text1"/>
          <w:sz w:val="22"/>
          <w:szCs w:val="22"/>
        </w:rPr>
        <w:t>Potrzebne działania powinny być zrealizowane w ramach obszarów z</w:t>
      </w:r>
      <w:r w:rsidRPr="009B78DA">
        <w:rPr>
          <w:rFonts w:ascii="Arial" w:hAnsi="Arial" w:cs="Arial"/>
          <w:color w:val="000000" w:themeColor="text1"/>
          <w:sz w:val="22"/>
          <w:szCs w:val="22"/>
        </w:rPr>
        <w:t xml:space="preserve"> </w:t>
      </w:r>
      <w:r w:rsidR="009E36CA" w:rsidRPr="009B78DA">
        <w:rPr>
          <w:rFonts w:ascii="Arial" w:hAnsi="Arial" w:cs="Arial"/>
          <w:color w:val="000000" w:themeColor="text1"/>
          <w:sz w:val="22"/>
          <w:szCs w:val="22"/>
        </w:rPr>
        <w:t>n</w:t>
      </w:r>
      <w:r w:rsidRPr="009B78DA">
        <w:rPr>
          <w:rFonts w:ascii="Arial" w:hAnsi="Arial" w:cs="Arial"/>
          <w:color w:val="000000" w:themeColor="text1"/>
          <w:sz w:val="22"/>
          <w:szCs w:val="22"/>
        </w:rPr>
        <w:t>ajsłabszą dostępnością. W celu zwiększenia znaczenia pasażerskiego transportu kolejowego konieczne jest zwiększenie liczby kursów pociągów. Ze względu na przygraniczne położenie województwa, w celu ożywienia istniejących kontaktów</w:t>
      </w:r>
      <w:r w:rsidR="00947773"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międzynarodowych, konieczne jest przywrócenie zawieszonych połączeń do stacji Krościenko i dalej na Ukrainę. Istotn</w:t>
      </w:r>
      <w:r w:rsidR="008916E0" w:rsidRPr="009B78DA">
        <w:rPr>
          <w:rFonts w:ascii="Arial" w:hAnsi="Arial" w:cs="Arial"/>
          <w:color w:val="000000" w:themeColor="text1"/>
          <w:sz w:val="22"/>
          <w:szCs w:val="22"/>
        </w:rPr>
        <w:t>y</w:t>
      </w:r>
      <w:r w:rsidRPr="009B78DA">
        <w:rPr>
          <w:rFonts w:ascii="Arial" w:hAnsi="Arial" w:cs="Arial"/>
          <w:color w:val="000000" w:themeColor="text1"/>
          <w:sz w:val="22"/>
          <w:szCs w:val="22"/>
        </w:rPr>
        <w:t xml:space="preserve"> będzie również </w:t>
      </w:r>
      <w:r w:rsidR="008916E0" w:rsidRPr="009B78DA">
        <w:rPr>
          <w:rFonts w:ascii="Arial" w:hAnsi="Arial" w:cs="Arial"/>
          <w:color w:val="000000" w:themeColor="text1"/>
          <w:sz w:val="22"/>
          <w:szCs w:val="22"/>
        </w:rPr>
        <w:t xml:space="preserve">rozwój </w:t>
      </w:r>
      <w:r w:rsidRPr="009B78DA">
        <w:rPr>
          <w:rFonts w:ascii="Arial" w:hAnsi="Arial" w:cs="Arial"/>
          <w:color w:val="000000" w:themeColor="text1"/>
          <w:sz w:val="22"/>
          <w:szCs w:val="22"/>
        </w:rPr>
        <w:t xml:space="preserve">połączeń na linii nr 107 Nowy Zagórz – Łupków i dalej na Słowację. Szansą na pobudzenie rozwoju gospodarczego regionu jest także modernizacja </w:t>
      </w:r>
      <w:r w:rsidR="00627053">
        <w:rPr>
          <w:rFonts w:ascii="Arial" w:hAnsi="Arial" w:cs="Arial"/>
          <w:color w:val="000000" w:themeColor="text1"/>
          <w:sz w:val="22"/>
          <w:szCs w:val="22"/>
        </w:rPr>
        <w:t>linii kolejowych wąskotorowych.</w:t>
      </w:r>
    </w:p>
    <w:p w14:paraId="4E95B9F3" w14:textId="77777777" w:rsidR="001836D2" w:rsidRPr="009B78DA" w:rsidRDefault="001836D2" w:rsidP="00433523">
      <w:pPr>
        <w:spacing w:after="0" w:line="264" w:lineRule="auto"/>
        <w:jc w:val="both"/>
        <w:rPr>
          <w:rFonts w:ascii="Arial" w:hAnsi="Arial" w:cs="Arial"/>
          <w:color w:val="000000" w:themeColor="text1"/>
          <w:sz w:val="22"/>
          <w:szCs w:val="22"/>
        </w:rPr>
      </w:pPr>
    </w:p>
    <w:p w14:paraId="104A2469" w14:textId="610B6E53" w:rsidR="001836D2" w:rsidRPr="009B78DA" w:rsidRDefault="001836D2" w:rsidP="00627053">
      <w:pPr>
        <w:spacing w:after="0" w:line="264" w:lineRule="auto"/>
        <w:jc w:val="both"/>
        <w:rPr>
          <w:rFonts w:ascii="Arial" w:hAnsi="Arial" w:cs="Arial"/>
          <w:color w:val="000000" w:themeColor="text1"/>
          <w:sz w:val="10"/>
          <w:szCs w:val="10"/>
        </w:rPr>
        <w:sectPr w:rsidR="001836D2" w:rsidRPr="009B78DA" w:rsidSect="00FF467F">
          <w:pgSz w:w="11906" w:h="16838"/>
          <w:pgMar w:top="1417" w:right="1417" w:bottom="1417" w:left="1417" w:header="708" w:footer="708" w:gutter="0"/>
          <w:cols w:space="708"/>
          <w:docGrid w:linePitch="360"/>
        </w:sectPr>
      </w:pPr>
    </w:p>
    <w:p w14:paraId="5CD16116" w14:textId="0BF1CB34" w:rsidR="006E035D" w:rsidRPr="009B78DA" w:rsidRDefault="006E035D" w:rsidP="006E035D">
      <w:pPr>
        <w:pStyle w:val="Legenda"/>
        <w:keepNext/>
        <w:jc w:val="both"/>
        <w:rPr>
          <w:rFonts w:ascii="Arial" w:hAnsi="Arial" w:cs="Arial"/>
          <w:i w:val="0"/>
          <w:color w:val="000000" w:themeColor="text1"/>
          <w:sz w:val="22"/>
          <w:szCs w:val="22"/>
        </w:rPr>
      </w:pPr>
      <w:bookmarkStart w:id="311" w:name="_Toc146785692"/>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Inwestycje dotyczące parkingów Park &amp; Ride (etc.) jako elementów projektu Podmiejskiej Kolei Aglomeracyjnej</w:t>
      </w:r>
      <w:bookmarkEnd w:id="311"/>
    </w:p>
    <w:p w14:paraId="76120F50" w14:textId="04F309E8" w:rsidR="001836D2" w:rsidRPr="009B78DA" w:rsidRDefault="00433523" w:rsidP="007862F6">
      <w:pPr>
        <w:spacing w:after="0"/>
        <w:rPr>
          <w:color w:val="000000" w:themeColor="text1"/>
        </w:rPr>
      </w:pPr>
      <w:r w:rsidRPr="009B78DA">
        <w:rPr>
          <w:noProof/>
          <w:color w:val="000000" w:themeColor="text1"/>
        </w:rPr>
        <w:drawing>
          <wp:inline distT="0" distB="0" distL="0" distR="0" wp14:anchorId="7ACFB197" wp14:editId="5A94D43B">
            <wp:extent cx="8867775" cy="5827000"/>
            <wp:effectExtent l="0" t="0" r="0" b="2540"/>
            <wp:docPr id="95733382" name="Obraz 4" descr="Schemat obrazujący inwestycji dotyczących parkingów Park &amp; Ride, jako elementów projektu Podmiejskiej Kolei Aglomeracyjnej na osi Wschód-Zachód oraz osi Północ-Południe" title="Rysunek 63 Inwestycje dotyczące parkingów Park &amp; Ride (etc.) jako elementów projektu Podmiejskiej Kolei Aglomera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33382" name="Obraz 4" descr="Obraz zawierający mapa, tekst, atlas, diagram&#10;&#10;Opis wygenerowany automatyczni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8874406" cy="5831357"/>
                    </a:xfrm>
                    <a:prstGeom prst="rect">
                      <a:avLst/>
                    </a:prstGeom>
                  </pic:spPr>
                </pic:pic>
              </a:graphicData>
            </a:graphic>
          </wp:inline>
        </w:drawing>
      </w:r>
    </w:p>
    <w:p w14:paraId="431D21CD" w14:textId="7AD5F3CF" w:rsidR="00BE63FF" w:rsidRPr="009B78DA" w:rsidRDefault="001836D2" w:rsidP="007862F6">
      <w:pPr>
        <w:spacing w:after="0"/>
        <w:rPr>
          <w:rFonts w:ascii="Arial" w:hAnsi="Arial" w:cs="Arial"/>
          <w:color w:val="000000" w:themeColor="text1"/>
          <w:sz w:val="22"/>
          <w:szCs w:val="22"/>
        </w:rPr>
        <w:sectPr w:rsidR="00BE63FF" w:rsidRPr="009B78DA" w:rsidSect="00BE63FF">
          <w:pgSz w:w="16838" w:h="11906" w:orient="landscape"/>
          <w:pgMar w:top="720" w:right="720" w:bottom="720" w:left="720" w:header="708" w:footer="708" w:gutter="0"/>
          <w:cols w:space="708"/>
          <w:docGrid w:linePitch="360"/>
        </w:sectPr>
      </w:pPr>
      <w:r w:rsidRPr="009B78DA">
        <w:rPr>
          <w:rFonts w:ascii="Arial" w:hAnsi="Arial" w:cs="Arial"/>
          <w:color w:val="000000" w:themeColor="text1"/>
          <w:sz w:val="22"/>
          <w:szCs w:val="22"/>
        </w:rPr>
        <w:t>Źródło: Opracowan</w:t>
      </w:r>
      <w:r w:rsidR="0023397E" w:rsidRPr="009B78DA">
        <w:rPr>
          <w:rFonts w:ascii="Arial" w:hAnsi="Arial" w:cs="Arial"/>
          <w:color w:val="000000" w:themeColor="text1"/>
          <w:sz w:val="22"/>
          <w:szCs w:val="22"/>
        </w:rPr>
        <w:t>o</w:t>
      </w:r>
      <w:r w:rsidRPr="009B78DA">
        <w:rPr>
          <w:rFonts w:ascii="Arial" w:hAnsi="Arial" w:cs="Arial"/>
          <w:color w:val="000000" w:themeColor="text1"/>
          <w:sz w:val="22"/>
          <w:szCs w:val="22"/>
        </w:rPr>
        <w:t xml:space="preserve"> na postawie materiałów Departamentu Dróg i Publicznego Transportu Zbiorowego UMWP</w:t>
      </w:r>
      <w:r w:rsidR="00640A11" w:rsidRPr="009B78DA">
        <w:rPr>
          <w:rFonts w:ascii="Arial" w:hAnsi="Arial" w:cs="Arial"/>
          <w:color w:val="000000" w:themeColor="text1"/>
          <w:sz w:val="22"/>
          <w:szCs w:val="22"/>
        </w:rPr>
        <w:t>.</w:t>
      </w:r>
    </w:p>
    <w:p w14:paraId="42B3085A" w14:textId="7CC6CB85" w:rsidR="00222787" w:rsidRPr="009B78DA" w:rsidRDefault="00195775" w:rsidP="00F31AB1">
      <w:pPr>
        <w:spacing w:after="0" w:line="276" w:lineRule="auto"/>
        <w:rPr>
          <w:rFonts w:ascii="Arial" w:hAnsi="Arial" w:cs="Arial"/>
          <w:b/>
          <w:color w:val="000000" w:themeColor="text1"/>
          <w:sz w:val="22"/>
          <w:szCs w:val="22"/>
        </w:rPr>
      </w:pPr>
      <w:r w:rsidRPr="009B78DA">
        <w:rPr>
          <w:rFonts w:ascii="Arial" w:hAnsi="Arial" w:cs="Arial"/>
          <w:b/>
          <w:color w:val="000000" w:themeColor="text1"/>
          <w:sz w:val="22"/>
          <w:szCs w:val="22"/>
        </w:rPr>
        <w:t>Cel podstawowy 3.</w:t>
      </w:r>
      <w:r w:rsidRPr="009B78DA">
        <w:rPr>
          <w:rFonts w:ascii="Arial" w:hAnsi="Arial" w:cs="Arial"/>
          <w:b/>
          <w:color w:val="000000" w:themeColor="text1"/>
          <w:sz w:val="22"/>
          <w:szCs w:val="22"/>
        </w:rPr>
        <w:br/>
        <w:t>Integracja MOF</w:t>
      </w:r>
      <w:r w:rsidRPr="009B78DA">
        <w:rPr>
          <w:rFonts w:ascii="Arial" w:hAnsi="Arial" w:cs="Arial"/>
          <w:b/>
          <w:color w:val="000000" w:themeColor="text1"/>
          <w:sz w:val="22"/>
          <w:szCs w:val="22"/>
        </w:rPr>
        <w:br/>
      </w:r>
      <w:bookmarkStart w:id="312" w:name="_Hlk92615404"/>
      <w:r w:rsidR="00153941" w:rsidRPr="009B78DA">
        <w:rPr>
          <w:rFonts w:ascii="Arial" w:hAnsi="Arial" w:cs="Arial"/>
          <w:b/>
          <w:color w:val="000000" w:themeColor="text1"/>
          <w:sz w:val="22"/>
          <w:szCs w:val="22"/>
        </w:rPr>
        <w:t xml:space="preserve">Integracja wewnętrzna </w:t>
      </w:r>
      <w:r w:rsidR="00E01E38" w:rsidRPr="009B78DA">
        <w:rPr>
          <w:rFonts w:ascii="Arial" w:hAnsi="Arial" w:cs="Arial"/>
          <w:b/>
          <w:color w:val="000000" w:themeColor="text1"/>
          <w:sz w:val="22"/>
          <w:szCs w:val="22"/>
        </w:rPr>
        <w:t>Rzeszowskiego Obszaru Funkcjonalnego</w:t>
      </w:r>
      <w:r w:rsidR="00153941" w:rsidRPr="009B78DA">
        <w:rPr>
          <w:rFonts w:ascii="Arial" w:hAnsi="Arial" w:cs="Arial"/>
          <w:b/>
          <w:color w:val="000000" w:themeColor="text1"/>
          <w:sz w:val="22"/>
          <w:szCs w:val="22"/>
        </w:rPr>
        <w:t xml:space="preserve"> i </w:t>
      </w:r>
      <w:r w:rsidR="00E01E38" w:rsidRPr="009B78DA">
        <w:rPr>
          <w:rFonts w:ascii="Arial" w:hAnsi="Arial" w:cs="Arial"/>
          <w:b/>
          <w:color w:val="000000" w:themeColor="text1"/>
          <w:sz w:val="22"/>
          <w:szCs w:val="22"/>
        </w:rPr>
        <w:t xml:space="preserve">miejskich </w:t>
      </w:r>
      <w:r w:rsidR="00153941" w:rsidRPr="009B78DA">
        <w:rPr>
          <w:rFonts w:ascii="Arial" w:hAnsi="Arial" w:cs="Arial"/>
          <w:b/>
          <w:color w:val="000000" w:themeColor="text1"/>
          <w:sz w:val="22"/>
          <w:szCs w:val="22"/>
        </w:rPr>
        <w:t>obszarów funkcjonalnych biegunów wzrostu</w:t>
      </w:r>
      <w:r w:rsidR="00A6352F" w:rsidRPr="009B78DA">
        <w:rPr>
          <w:rFonts w:ascii="Arial" w:hAnsi="Arial" w:cs="Arial"/>
          <w:b/>
          <w:color w:val="000000" w:themeColor="text1"/>
          <w:sz w:val="22"/>
          <w:szCs w:val="22"/>
        </w:rPr>
        <w:t>,</w:t>
      </w:r>
      <w:r w:rsidR="00153941" w:rsidRPr="009B78DA">
        <w:rPr>
          <w:rFonts w:ascii="Arial" w:hAnsi="Arial" w:cs="Arial"/>
          <w:b/>
          <w:color w:val="000000" w:themeColor="text1"/>
          <w:sz w:val="22"/>
          <w:szCs w:val="22"/>
        </w:rPr>
        <w:t xml:space="preserve"> uwzględniająca policentryczny układ województwa i umożliwiająca integrację głównych rynków pracy</w:t>
      </w:r>
      <w:bookmarkEnd w:id="312"/>
    </w:p>
    <w:p w14:paraId="69543B29" w14:textId="77777777" w:rsidR="00222787" w:rsidRPr="009B78DA" w:rsidRDefault="00222787" w:rsidP="00F31AB1">
      <w:pPr>
        <w:spacing w:after="0" w:line="276"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Rzeszowski Obszar Funkcjonalny</w:t>
      </w:r>
    </w:p>
    <w:p w14:paraId="5F6E8542" w14:textId="7FE1CF10" w:rsidR="00222787" w:rsidRPr="009B78DA" w:rsidRDefault="00222787" w:rsidP="00F31AB1">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Rzeszowski Obszar Funkcjonalny jest położony w środkowej części województwa podkarpackiego. Dzięki centralnemu położeniu jest właściwie w pełni powiązany zarówno </w:t>
      </w:r>
      <w:r w:rsidR="008840E5" w:rsidRPr="009B78DA">
        <w:rPr>
          <w:rFonts w:ascii="Arial" w:hAnsi="Arial" w:cs="Arial"/>
          <w:color w:val="000000" w:themeColor="text1"/>
          <w:sz w:val="22"/>
          <w:szCs w:val="22"/>
        </w:rPr>
        <w:br/>
      </w:r>
      <w:r w:rsidRPr="009B78DA">
        <w:rPr>
          <w:rFonts w:ascii="Arial" w:hAnsi="Arial" w:cs="Arial"/>
          <w:color w:val="000000" w:themeColor="text1"/>
          <w:sz w:val="22"/>
          <w:szCs w:val="22"/>
        </w:rPr>
        <w:t>z układem komunikacyjnym krajowym jak i międzynarodowym. Na obszarze ROF-u najważniejsze kierunki połączeń występują na osi północ-południe, droga ekspresowa S19 oraz na osi wschód-zachód, autostrada A4 z węzłami.</w:t>
      </w:r>
    </w:p>
    <w:p w14:paraId="2DFB2E5D" w14:textId="00929647" w:rsidR="00222787" w:rsidRPr="009B78DA" w:rsidRDefault="00222787" w:rsidP="00F31AB1">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Wąskie gardła w Rzeszowskim Obszarze Funkcjonalnym, po oddaniu do użytku autostrady A4 i kolejnych fragmentów drogi ekspresowej S19, są coraz bardziej widoczne </w:t>
      </w:r>
      <w:r w:rsidR="00C16B05" w:rsidRPr="009B78DA">
        <w:rPr>
          <w:rFonts w:ascii="Arial" w:hAnsi="Arial" w:cs="Arial"/>
          <w:color w:val="000000" w:themeColor="text1"/>
          <w:sz w:val="22"/>
          <w:szCs w:val="22"/>
        </w:rPr>
        <w:br/>
      </w:r>
      <w:r w:rsidRPr="009B78DA">
        <w:rPr>
          <w:rFonts w:ascii="Arial" w:hAnsi="Arial" w:cs="Arial"/>
          <w:color w:val="000000" w:themeColor="text1"/>
          <w:sz w:val="22"/>
          <w:szCs w:val="22"/>
        </w:rPr>
        <w:t>w układzie południkowym na odcinkach wylotowych DK9 (w kierunku do Głogowa Małopolskiego) oraz DK19/S19 (w kierunku południowym). Wąskie gardło na DK19 może zostać zlikwidowane poprzez realizację drogi ekspresowej S19 od węzła Rzeszów Południe do węzła Babica, oraz inwestycje na drogach doprowadzających do niej ruch. Szczególnie istotny z punktu widzenia realizacji inwestycji na drogach wojewódzkich jest ciąg trzech projektów od węzła Babica na S19 do obwodnicy Strzyżowa</w:t>
      </w:r>
      <w:r w:rsidR="00184D0C" w:rsidRPr="009B78DA">
        <w:rPr>
          <w:rFonts w:ascii="Arial" w:hAnsi="Arial" w:cs="Arial"/>
          <w:color w:val="000000" w:themeColor="text1"/>
          <w:sz w:val="22"/>
          <w:szCs w:val="22"/>
        </w:rPr>
        <w:t xml:space="preserve"> </w:t>
      </w:r>
      <w:bookmarkStart w:id="313" w:name="_Hlk92616857"/>
      <w:r w:rsidR="00184D0C" w:rsidRPr="009B78DA">
        <w:rPr>
          <w:rFonts w:ascii="Arial" w:hAnsi="Arial" w:cs="Arial"/>
          <w:color w:val="000000" w:themeColor="text1"/>
          <w:sz w:val="22"/>
          <w:szCs w:val="22"/>
        </w:rPr>
        <w:t>oraz południowej obwodnicy Rzeszowa.</w:t>
      </w:r>
      <w:bookmarkEnd w:id="313"/>
    </w:p>
    <w:p w14:paraId="1146D058" w14:textId="1A9ED1F9" w:rsidR="004A7E9D" w:rsidRPr="009B78DA" w:rsidRDefault="00222787" w:rsidP="00F31AB1">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Lokalizacja czterokierunkowego węzła kolejowego na terenie Rzeszowskiego Obszaru Funkcjonalnego umożliwia skomunikowanie</w:t>
      </w:r>
      <w:r w:rsidR="00195775" w:rsidRPr="009B78DA">
        <w:rPr>
          <w:rFonts w:ascii="Arial" w:hAnsi="Arial" w:cs="Arial"/>
          <w:color w:val="000000" w:themeColor="text1"/>
          <w:sz w:val="22"/>
          <w:szCs w:val="22"/>
        </w:rPr>
        <w:t xml:space="preserve"> strefy zewnętrznej z rdzeniem.</w:t>
      </w:r>
      <w:r w:rsidR="004C6FC6"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W celu zwiększenia znaczenia transportu kolejowego, a także lepszej obsługi komunikacyjnej rdzenia oraz strefy zewnętrznej </w:t>
      </w:r>
      <w:r w:rsidR="004C6FC6" w:rsidRPr="009B78DA">
        <w:rPr>
          <w:rFonts w:ascii="Arial" w:hAnsi="Arial" w:cs="Arial"/>
          <w:color w:val="000000" w:themeColor="text1"/>
          <w:sz w:val="22"/>
          <w:szCs w:val="22"/>
        </w:rPr>
        <w:t>uruchomiono</w:t>
      </w:r>
      <w:r w:rsidRPr="009B78DA">
        <w:rPr>
          <w:rFonts w:ascii="Arial" w:hAnsi="Arial" w:cs="Arial"/>
          <w:color w:val="000000" w:themeColor="text1"/>
          <w:sz w:val="22"/>
          <w:szCs w:val="22"/>
        </w:rPr>
        <w:t xml:space="preserve"> system szybkiej kolei podmiejskiej - Podmiejskiej Kolei Aglomeracyjnej </w:t>
      </w:r>
      <w:r w:rsidR="004C6FC6"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PKA</w:t>
      </w:r>
      <w:r w:rsidR="004C6FC6" w:rsidRPr="009B78DA">
        <w:rPr>
          <w:rFonts w:ascii="Arial" w:hAnsi="Arial" w:cs="Arial"/>
          <w:color w:val="000000" w:themeColor="text1"/>
          <w:sz w:val="22"/>
          <w:szCs w:val="22"/>
        </w:rPr>
        <w:t xml:space="preserve"> (aktualnie wyzwaniem jest jego rozbudowa </w:t>
      </w:r>
      <w:r w:rsidR="00F31AB1">
        <w:rPr>
          <w:rFonts w:ascii="Arial" w:hAnsi="Arial" w:cs="Arial"/>
          <w:color w:val="000000" w:themeColor="text1"/>
          <w:sz w:val="22"/>
          <w:szCs w:val="22"/>
        </w:rPr>
        <w:br/>
      </w:r>
      <w:r w:rsidR="004C6FC6" w:rsidRPr="009B78DA">
        <w:rPr>
          <w:rFonts w:ascii="Arial" w:hAnsi="Arial" w:cs="Arial"/>
          <w:color w:val="000000" w:themeColor="text1"/>
          <w:sz w:val="22"/>
          <w:szCs w:val="22"/>
        </w:rPr>
        <w:t>i rozwój).</w:t>
      </w:r>
    </w:p>
    <w:p w14:paraId="469E9FF1" w14:textId="28A26FD4" w:rsidR="00222787" w:rsidRPr="009B78DA" w:rsidRDefault="00222787" w:rsidP="00F31AB1">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ramach transportu publicznego kluczowe znaczenie ma transport autobusowy, dlatego przewidywana jest realizacja projektów z zakresu transportu publicznego zarówno przez Gminę Miasto Rzeszów, jak również przez ZG PKS, z uwzględnieniem możliwości integracji obu systemów.</w:t>
      </w:r>
    </w:p>
    <w:p w14:paraId="747A1981" w14:textId="78C373A0" w:rsidR="0034087A" w:rsidRPr="009B78DA" w:rsidRDefault="0034087A" w:rsidP="00F31AB1">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Znaczenie portu lotniczego w „Rzeszowie-Jasionce” oraz jego dostępność drogowa systematycznie rosną w ostatnich latach, a dostępność kolejowa może zostać znacznie poprawiona w przypadku budowy połączenia kolejowego oraz realizacji Aglomeracyjnej Kolei Podmiejskiej. Zlokalizowane w sąsiedztwie portu lotniczego Rzeszów - Jasionka miejsca koncentracji dzielności gospodarczej, sprzyjają</w:t>
      </w:r>
      <w:r w:rsidR="00D660BC"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rozwijaniu funkcji logistycznych, stąd istotne jest także wspieranie działań na rzecz lepszej ich integracji z transportem kolejowym (np. poprzez budowę bocznicy towarowej w ramach planowanej budowy połączenia kolejowego do portu lotniczego Rzeszów - Jasionka). Działania te pozwolą również na poprawę dostępności do Parku Naukowo - Technologicznego oraz stref przemysłowym </w:t>
      </w:r>
      <w:r w:rsidR="00F31AB1">
        <w:rPr>
          <w:rFonts w:ascii="Arial" w:hAnsi="Arial" w:cs="Arial"/>
          <w:color w:val="000000" w:themeColor="text1"/>
          <w:sz w:val="22"/>
          <w:szCs w:val="22"/>
        </w:rPr>
        <w:br/>
      </w:r>
      <w:r w:rsidRPr="009B78DA">
        <w:rPr>
          <w:rFonts w:ascii="Arial" w:hAnsi="Arial" w:cs="Arial"/>
          <w:color w:val="000000" w:themeColor="text1"/>
          <w:sz w:val="22"/>
          <w:szCs w:val="22"/>
        </w:rPr>
        <w:t>w miejscowości Jasionka i Rogoźnica, zlokalizowanych w obrębie lotniska.</w:t>
      </w:r>
    </w:p>
    <w:p w14:paraId="6BAEF072" w14:textId="63A5310A" w:rsidR="00CB276D" w:rsidRPr="00F31AB1" w:rsidRDefault="00CB276D" w:rsidP="00F31AB1">
      <w:pPr>
        <w:spacing w:after="12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Transport towarów w ramach ROF odbywa się z wykorzystaniem zarówno transportu drogowego, jak i kolejowego. Problemem jest transport towarów realizowany przy pomocy samochodów. Jest on intensywny, we wszystkich kierunkach, głównie po drogach krajowych</w:t>
      </w:r>
      <w:r w:rsidR="00D14AC1"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r w:rsidR="00D14AC1" w:rsidRPr="009B78DA">
        <w:rPr>
          <w:rFonts w:ascii="Arial" w:hAnsi="Arial" w:cs="Arial"/>
          <w:color w:val="000000" w:themeColor="text1"/>
          <w:sz w:val="22"/>
          <w:szCs w:val="22"/>
        </w:rPr>
        <w:t>B</w:t>
      </w:r>
      <w:r w:rsidRPr="009B78DA">
        <w:rPr>
          <w:rFonts w:ascii="Arial" w:hAnsi="Arial" w:cs="Arial"/>
          <w:color w:val="000000" w:themeColor="text1"/>
          <w:sz w:val="22"/>
          <w:szCs w:val="22"/>
        </w:rPr>
        <w:t xml:space="preserve">rak realnych perspektyw </w:t>
      </w:r>
      <w:bookmarkStart w:id="314" w:name="_Hlk120258388"/>
      <w:r w:rsidRPr="009B78DA">
        <w:rPr>
          <w:rFonts w:ascii="Arial" w:hAnsi="Arial" w:cs="Arial"/>
          <w:color w:val="000000" w:themeColor="text1"/>
          <w:sz w:val="22"/>
          <w:szCs w:val="22"/>
        </w:rPr>
        <w:t>budowy S74 skutkuje coraz większym problemem</w:t>
      </w:r>
      <w:r w:rsidR="00F31AB1">
        <w:rPr>
          <w:rFonts w:ascii="Arial" w:hAnsi="Arial" w:cs="Arial"/>
          <w:color w:val="000000" w:themeColor="text1"/>
          <w:sz w:val="22"/>
          <w:szCs w:val="22"/>
        </w:rPr>
        <w:t xml:space="preserve"> </w:t>
      </w:r>
      <w:r w:rsidRPr="009B78DA">
        <w:rPr>
          <w:rFonts w:ascii="Arial" w:hAnsi="Arial" w:cs="Arial"/>
          <w:color w:val="000000" w:themeColor="text1"/>
          <w:sz w:val="22"/>
          <w:szCs w:val="22"/>
        </w:rPr>
        <w:t>w układzie skośnym na całym odcinku od Rzeszowa do Głogowa Małopolskiego, a także na odcinku wylotowym w kierunku południowym DK19 przez Boguchwałę do Babicy. W układzie równoleżnikowym wykonane inwestycje (autostrada A4 i linia kolejowa nr 91) skutkują optymalnymi warunkami do transportu towarów w tym korytarzu transportowym.</w:t>
      </w:r>
      <w:r w:rsidR="00435E61" w:rsidRPr="009B78DA">
        <w:rPr>
          <w:rFonts w:ascii="Arial" w:hAnsi="Arial" w:cs="Arial"/>
          <w:color w:val="000000" w:themeColor="text1"/>
          <w:sz w:val="22"/>
          <w:szCs w:val="22"/>
        </w:rPr>
        <w:t xml:space="preserve"> Ważną rolę odegrają kolejowe połączenia o wysokiej efektywności – nowe (Rzeszów-Łętownia)</w:t>
      </w:r>
      <w:r w:rsidR="00F31AB1">
        <w:rPr>
          <w:rFonts w:ascii="Arial" w:hAnsi="Arial" w:cs="Arial"/>
          <w:color w:val="000000" w:themeColor="text1"/>
          <w:sz w:val="22"/>
          <w:szCs w:val="22"/>
        </w:rPr>
        <w:t xml:space="preserve"> </w:t>
      </w:r>
      <w:r w:rsidR="00F31AB1">
        <w:rPr>
          <w:rFonts w:ascii="Arial" w:hAnsi="Arial" w:cs="Arial"/>
          <w:color w:val="000000" w:themeColor="text1"/>
          <w:sz w:val="22"/>
          <w:szCs w:val="22"/>
        </w:rPr>
        <w:br/>
      </w:r>
      <w:r w:rsidR="00435E61" w:rsidRPr="009B78DA">
        <w:rPr>
          <w:rFonts w:ascii="Arial" w:hAnsi="Arial" w:cs="Arial"/>
          <w:color w:val="000000" w:themeColor="text1"/>
          <w:sz w:val="22"/>
          <w:szCs w:val="22"/>
        </w:rPr>
        <w:t>i modernizowane.</w:t>
      </w:r>
      <w:bookmarkEnd w:id="314"/>
      <w:r w:rsidR="00435E61" w:rsidRPr="009B78DA">
        <w:rPr>
          <w:rFonts w:ascii="Arial" w:hAnsi="Arial" w:cs="Arial"/>
          <w:color w:val="000000" w:themeColor="text1"/>
          <w:sz w:val="22"/>
          <w:szCs w:val="22"/>
        </w:rPr>
        <w:t xml:space="preserve"> </w:t>
      </w:r>
      <w:r w:rsidR="0056153F" w:rsidRPr="009B78DA">
        <w:rPr>
          <w:rFonts w:ascii="Arial" w:hAnsi="Arial" w:cs="Arial"/>
          <w:color w:val="000000" w:themeColor="text1"/>
          <w:sz w:val="22"/>
          <w:szCs w:val="22"/>
        </w:rPr>
        <w:t>O</w:t>
      </w:r>
      <w:r w:rsidR="00455327" w:rsidRPr="009B78DA">
        <w:rPr>
          <w:rFonts w:ascii="Arial" w:hAnsi="Arial" w:cs="Arial"/>
          <w:color w:val="000000" w:themeColor="text1"/>
          <w:sz w:val="22"/>
          <w:szCs w:val="22"/>
        </w:rPr>
        <w:t xml:space="preserve">czekiwana dalsza, szybka koncentracja potoków ruchu na kierunku </w:t>
      </w:r>
      <w:r w:rsidR="0056153F" w:rsidRPr="009B78DA">
        <w:rPr>
          <w:rFonts w:ascii="Arial" w:hAnsi="Arial" w:cs="Arial"/>
          <w:color w:val="000000" w:themeColor="text1"/>
          <w:sz w:val="22"/>
          <w:szCs w:val="22"/>
        </w:rPr>
        <w:t xml:space="preserve">do </w:t>
      </w:r>
      <w:r w:rsidR="00455327" w:rsidRPr="009B78DA">
        <w:rPr>
          <w:rFonts w:ascii="Arial" w:hAnsi="Arial" w:cs="Arial"/>
          <w:color w:val="000000" w:themeColor="text1"/>
          <w:sz w:val="22"/>
          <w:szCs w:val="22"/>
        </w:rPr>
        <w:t>stolicy regionu</w:t>
      </w:r>
      <w:r w:rsidR="00166399" w:rsidRPr="009B78DA">
        <w:rPr>
          <w:rFonts w:ascii="Arial" w:hAnsi="Arial" w:cs="Arial"/>
          <w:color w:val="000000" w:themeColor="text1"/>
          <w:sz w:val="22"/>
          <w:szCs w:val="22"/>
        </w:rPr>
        <w:t>,</w:t>
      </w:r>
      <w:r w:rsidR="0056153F" w:rsidRPr="009B78DA">
        <w:rPr>
          <w:rFonts w:ascii="Arial" w:hAnsi="Arial" w:cs="Arial"/>
          <w:color w:val="000000" w:themeColor="text1"/>
          <w:sz w:val="22"/>
          <w:szCs w:val="22"/>
        </w:rPr>
        <w:t xml:space="preserve"> jest jednym</w:t>
      </w:r>
      <w:r w:rsidR="00CA38AB" w:rsidRPr="009B78DA">
        <w:rPr>
          <w:rFonts w:ascii="Arial" w:hAnsi="Arial" w:cs="Arial"/>
          <w:color w:val="000000" w:themeColor="text1"/>
          <w:sz w:val="22"/>
          <w:szCs w:val="22"/>
        </w:rPr>
        <w:t xml:space="preserve"> </w:t>
      </w:r>
      <w:r w:rsidR="0056153F" w:rsidRPr="009B78DA">
        <w:rPr>
          <w:rFonts w:ascii="Arial" w:hAnsi="Arial" w:cs="Arial"/>
          <w:color w:val="000000" w:themeColor="text1"/>
          <w:sz w:val="22"/>
          <w:szCs w:val="22"/>
        </w:rPr>
        <w:t>z głównych argumentów przemawiających za koncentracją środków w obrębie opisywanego Celu podstawowego.</w:t>
      </w:r>
    </w:p>
    <w:p w14:paraId="54EE5653" w14:textId="6A8ED32C" w:rsidR="006E035D" w:rsidRPr="009B78DA" w:rsidRDefault="006E035D" w:rsidP="00FE12F6">
      <w:pPr>
        <w:pStyle w:val="Legenda"/>
        <w:keepNext/>
        <w:spacing w:after="120"/>
        <w:rPr>
          <w:rFonts w:ascii="Arial" w:hAnsi="Arial" w:cs="Arial"/>
          <w:i w:val="0"/>
          <w:color w:val="000000" w:themeColor="text1"/>
          <w:sz w:val="22"/>
          <w:szCs w:val="22"/>
        </w:rPr>
      </w:pPr>
      <w:bookmarkStart w:id="315" w:name="_Toc146785693"/>
      <w:bookmarkStart w:id="316" w:name="_Hlk75263476"/>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Proponowane kierunki rozwoju sieci transportowej w Rzeszowskim Obszarze Funkcjonalnym</w:t>
      </w:r>
      <w:bookmarkEnd w:id="315"/>
    </w:p>
    <w:p w14:paraId="4D164BC2" w14:textId="3899EA3D" w:rsidR="00B44950" w:rsidRPr="009B78DA" w:rsidRDefault="009B32FC" w:rsidP="008840E5">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03BBF73D" wp14:editId="2A458F27">
            <wp:extent cx="5758973" cy="6871970"/>
            <wp:effectExtent l="0" t="0" r="0" b="5080"/>
            <wp:docPr id="16" name="Obraz 16" descr="Obszar zaznaczony kolorem ciemno szarym rdzeń obszaru funkcjonalnego Rzeszów, następnie kolorem jasno szarym gminy strefy zewnętrznej obszaru funkcjonalnego. Od góry Głogów Małopolski, Trzebownisko, Czarna, Świlcza, Łańcut, Boguchwała, Czudec, Tyczyn, Chmielnik, Łańcut, Lubenia. Ponadto na czerwono została oznaczona Autostrada A4 z głównymi węzłami, Rzeszów Północ, Rzeszów Wschód. Na czerwono drogę ekspresową S19 z węzłami Świlcza, Jasionka do Lublina. Na czerwono drogę ekspresową S19 z węzłami w realizacji Rzeszów Południe do granicy ze Słowacją. Na czerwono drogi krajowe nr. 94, 9. Na żółto drogi wojewódzkie 869, 878, 881, 877, 883. Przerywaną biało czarna linia kolej aglomeracyjna E30, 106, 71. Ponadto wskazano powiązania komunikacyjne wymagające wzmocnienia Warszawa, Lublin, Słowacja, Dynów" title="Rysunek 64 Proponowane kierunki rozwoju sieci transportowej w Rzeszowskim Obszarze Funkcjonal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az 16"/>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86241" cy="6904508"/>
                    </a:xfrm>
                    <a:prstGeom prst="rect">
                      <a:avLst/>
                    </a:prstGeom>
                  </pic:spPr>
                </pic:pic>
              </a:graphicData>
            </a:graphic>
          </wp:inline>
        </w:drawing>
      </w:r>
    </w:p>
    <w:bookmarkEnd w:id="316"/>
    <w:p w14:paraId="093F1562" w14:textId="09173957" w:rsidR="00F30426" w:rsidRPr="00F31AB1" w:rsidRDefault="005951EF" w:rsidP="00FE12F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0C7065" w:rsidRPr="009B78DA">
        <w:rPr>
          <w:rFonts w:ascii="Arial" w:hAnsi="Arial" w:cs="Arial"/>
          <w:color w:val="000000" w:themeColor="text1"/>
          <w:sz w:val="22"/>
          <w:szCs w:val="22"/>
        </w:rPr>
        <w:t>Opracowanie własne.</w:t>
      </w:r>
    </w:p>
    <w:p w14:paraId="2224CC1C" w14:textId="61B1BCFF" w:rsidR="00222787" w:rsidRPr="009B78DA" w:rsidRDefault="00222787" w:rsidP="00FE12F6">
      <w:pPr>
        <w:spacing w:after="0" w:line="276"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Obszar Funkcjonalny Przemyśla</w:t>
      </w:r>
    </w:p>
    <w:p w14:paraId="78B70970" w14:textId="6DBD1AA6" w:rsidR="00D23264" w:rsidRPr="009B78DA" w:rsidRDefault="00222787" w:rsidP="00FE12F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Obszar Przemyśla jest kolejnym obszarem funkcjonalnym, generującym wewnętrzne potoki ruchu. Przez północną część strefy zewnętrznej obszaru przebiega autostrada A4 łącząca teren </w:t>
      </w:r>
      <w:r w:rsidR="00FE12F6">
        <w:rPr>
          <w:rFonts w:ascii="Arial" w:hAnsi="Arial" w:cs="Arial"/>
          <w:color w:val="000000" w:themeColor="text1"/>
          <w:sz w:val="22"/>
          <w:szCs w:val="22"/>
        </w:rPr>
        <w:t>obszaru poprzez węzeł Przemyśl.</w:t>
      </w:r>
    </w:p>
    <w:p w14:paraId="20F20187" w14:textId="77777777" w:rsidR="00222787" w:rsidRPr="009B78DA" w:rsidRDefault="004C6FC6" w:rsidP="00FE12F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Rozwój</w:t>
      </w:r>
      <w:r w:rsidR="00222787" w:rsidRPr="009B78DA">
        <w:rPr>
          <w:rFonts w:ascii="Arial" w:hAnsi="Arial" w:cs="Arial"/>
          <w:color w:val="000000" w:themeColor="text1"/>
          <w:sz w:val="22"/>
          <w:szCs w:val="22"/>
        </w:rPr>
        <w:t xml:space="preserve"> dostępności komunikacyjnej </w:t>
      </w:r>
      <w:r w:rsidRPr="009B78DA">
        <w:rPr>
          <w:rFonts w:ascii="Arial" w:hAnsi="Arial" w:cs="Arial"/>
          <w:color w:val="000000" w:themeColor="text1"/>
          <w:sz w:val="22"/>
          <w:szCs w:val="22"/>
        </w:rPr>
        <w:t>powinien przebiegać w następujących kierunkach:</w:t>
      </w:r>
    </w:p>
    <w:p w14:paraId="7F316AFC" w14:textId="77777777" w:rsidR="00222787" w:rsidRPr="009B78DA" w:rsidRDefault="00222787" w:rsidP="00FE12F6">
      <w:pPr>
        <w:pStyle w:val="Akapitzlist"/>
        <w:numPr>
          <w:ilvl w:val="0"/>
          <w:numId w:val="227"/>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DK77 – połączenie w kierunku północnym, skomunikowanie gmin Żurawica i Orły;</w:t>
      </w:r>
    </w:p>
    <w:p w14:paraId="25E248AC" w14:textId="77777777" w:rsidR="00222787" w:rsidRPr="009B78DA" w:rsidRDefault="00222787" w:rsidP="00FE12F6">
      <w:pPr>
        <w:pStyle w:val="Akapitzlist"/>
        <w:numPr>
          <w:ilvl w:val="0"/>
          <w:numId w:val="227"/>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DK28 – łącząca gminy Krasiczyn i Medyka z Przemyślem.</w:t>
      </w:r>
    </w:p>
    <w:p w14:paraId="750AC386" w14:textId="77777777" w:rsidR="00222787" w:rsidRPr="009B78DA" w:rsidRDefault="00222787" w:rsidP="00FE12F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Uzupełnieniem układu drogowego mającym wpływ na poprawę dostępności wewnątrz obszaru funkcjonalnego Przemyśl są drogi wojewódzkie:</w:t>
      </w:r>
    </w:p>
    <w:p w14:paraId="38FBF21A" w14:textId="77777777" w:rsidR="00222787" w:rsidRPr="009B78DA" w:rsidRDefault="00222787" w:rsidP="00FE12F6">
      <w:pPr>
        <w:pStyle w:val="Akapitzlist"/>
        <w:numPr>
          <w:ilvl w:val="0"/>
          <w:numId w:val="227"/>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DW881 – połączenie w kierunku północno-wschodnim gminy Żurawica;</w:t>
      </w:r>
    </w:p>
    <w:p w14:paraId="3483A431" w14:textId="77777777" w:rsidR="00222787" w:rsidRPr="009B78DA" w:rsidRDefault="00222787" w:rsidP="00FE12F6">
      <w:pPr>
        <w:pStyle w:val="Akapitzlist"/>
        <w:numPr>
          <w:ilvl w:val="0"/>
          <w:numId w:val="227"/>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DW884 – połączenie w kierunku zachodnim;</w:t>
      </w:r>
    </w:p>
    <w:p w14:paraId="393EAFFC" w14:textId="4698E83A" w:rsidR="00222787" w:rsidRPr="009B78DA" w:rsidRDefault="00222787" w:rsidP="00FE12F6">
      <w:pPr>
        <w:pStyle w:val="Akapitzlist"/>
        <w:numPr>
          <w:ilvl w:val="0"/>
          <w:numId w:val="227"/>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DW885 – odcinek łączący rdzeń obszaru z Hermanowicami oraz p</w:t>
      </w:r>
      <w:r w:rsidR="007E2B3A" w:rsidRPr="009B78DA">
        <w:rPr>
          <w:rFonts w:ascii="Arial" w:hAnsi="Arial" w:cs="Arial"/>
          <w:color w:val="000000" w:themeColor="text1"/>
          <w:sz w:val="22"/>
          <w:szCs w:val="22"/>
        </w:rPr>
        <w:t>owstającym</w:t>
      </w:r>
      <w:r w:rsidRPr="009B78DA">
        <w:rPr>
          <w:rFonts w:ascii="Arial" w:hAnsi="Arial" w:cs="Arial"/>
          <w:color w:val="000000" w:themeColor="text1"/>
          <w:sz w:val="22"/>
          <w:szCs w:val="22"/>
        </w:rPr>
        <w:t xml:space="preserve"> drogowym przejściem granicznym z Ukrainą w Malhowicach</w:t>
      </w:r>
      <w:r w:rsidR="009E682F" w:rsidRPr="009B78DA">
        <w:rPr>
          <w:rFonts w:ascii="Arial" w:hAnsi="Arial" w:cs="Arial"/>
          <w:color w:val="000000" w:themeColor="text1"/>
          <w:sz w:val="22"/>
          <w:szCs w:val="22"/>
        </w:rPr>
        <w:t>;</w:t>
      </w:r>
    </w:p>
    <w:p w14:paraId="25CDBC9A" w14:textId="38801961" w:rsidR="009E682F" w:rsidRPr="00FE12F6" w:rsidRDefault="009E682F" w:rsidP="00FE12F6">
      <w:pPr>
        <w:pStyle w:val="Akapitzlist"/>
        <w:numPr>
          <w:ilvl w:val="0"/>
          <w:numId w:val="227"/>
        </w:numPr>
        <w:spacing w:after="120" w:line="276" w:lineRule="auto"/>
        <w:ind w:left="714" w:hanging="357"/>
        <w:contextualSpacing w:val="0"/>
        <w:rPr>
          <w:rFonts w:ascii="Arial" w:hAnsi="Arial" w:cs="Arial"/>
          <w:color w:val="000000" w:themeColor="text1"/>
          <w:sz w:val="22"/>
          <w:szCs w:val="22"/>
        </w:rPr>
      </w:pPr>
      <w:bookmarkStart w:id="317" w:name="_Hlk92617144"/>
      <w:r w:rsidRPr="009B78DA">
        <w:rPr>
          <w:rFonts w:ascii="Arial" w:hAnsi="Arial" w:cs="Arial"/>
          <w:color w:val="000000" w:themeColor="text1"/>
          <w:sz w:val="22"/>
          <w:szCs w:val="22"/>
        </w:rPr>
        <w:t>Połączenie w kierunku na Bieszczady (Arłamów).</w:t>
      </w:r>
      <w:bookmarkEnd w:id="317"/>
    </w:p>
    <w:p w14:paraId="513EA9C0" w14:textId="560EE25F" w:rsidR="006E035D" w:rsidRPr="009B78DA" w:rsidRDefault="006E035D" w:rsidP="00FE12F6">
      <w:pPr>
        <w:pStyle w:val="Legenda"/>
        <w:keepNext/>
        <w:spacing w:after="120"/>
        <w:rPr>
          <w:rFonts w:ascii="Arial" w:hAnsi="Arial" w:cs="Arial"/>
          <w:i w:val="0"/>
          <w:color w:val="000000" w:themeColor="text1"/>
          <w:sz w:val="22"/>
          <w:szCs w:val="22"/>
        </w:rPr>
      </w:pPr>
      <w:bookmarkStart w:id="318" w:name="_Toc146785694"/>
      <w:bookmarkStart w:id="319" w:name="_Hlk75263484"/>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Proponowane kierunki rozwoju sieci transportowej w obszarze funkcjonalnym Przemyśla</w:t>
      </w:r>
      <w:bookmarkEnd w:id="318"/>
    </w:p>
    <w:p w14:paraId="4BE6443D" w14:textId="77777777" w:rsidR="00B44950" w:rsidRPr="009B78DA" w:rsidRDefault="00F95E5B" w:rsidP="008840E5">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48CE682" wp14:editId="3A56F564">
            <wp:extent cx="5786755" cy="5481431"/>
            <wp:effectExtent l="0" t="0" r="4445" b="5080"/>
            <wp:docPr id="54" name="Obraz 54" descr="Obszar zaznaczony kolorem ciemno szarym rdzeń obszaru funkcjonalnego Przemyśl, Następnie kolorem jasno szarym gminy strefy zewnętrznej obszaru funkcjonalnego. Od góry Orły, Przemyśl, Żurawica, Medyka, Krasiczyn. Ponadto na czerwono została oznaczona Autostrada A4 z węzłem Przemyśl. Na czerwono drogi krajowe 28, 77. Na żółto drogi wojewódzkie 881, 884, 885. Przerywaną biało czarna linia linie kolejowe E30 i 102. Zaznaczono również drogi powiatowe jasno szara linią. Od wschodu zaznaczono szeroka czarna linia granice państwa z Ukrainą. Zaznaczono kołem pomarańczowo białym budowę obwodnicy w Przemyślu oraz wskazano powiązania komunikacyjne wymagające wzmocnienia Rzeszów, Lublin Warszawa, Ukraina, Sanok, Krosno" title="Rysunek 65 Proponowane kierunki rozwoju sieci transportowej w obszarze funkcjonalnym Przemyś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MOF_Przemyśl.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89161" cy="5483710"/>
                    </a:xfrm>
                    <a:prstGeom prst="rect">
                      <a:avLst/>
                    </a:prstGeom>
                  </pic:spPr>
                </pic:pic>
              </a:graphicData>
            </a:graphic>
          </wp:inline>
        </w:drawing>
      </w:r>
    </w:p>
    <w:bookmarkEnd w:id="319"/>
    <w:p w14:paraId="60AF21E3" w14:textId="71C42417" w:rsidR="005951EF" w:rsidRPr="009B78DA" w:rsidRDefault="005951EF" w:rsidP="00FE12F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911B88" w:rsidRPr="009B78DA">
        <w:rPr>
          <w:rFonts w:ascii="Arial" w:hAnsi="Arial" w:cs="Arial"/>
          <w:color w:val="000000" w:themeColor="text1"/>
          <w:sz w:val="22"/>
          <w:szCs w:val="22"/>
        </w:rPr>
        <w:t>Opracowanie własne.</w:t>
      </w:r>
    </w:p>
    <w:p w14:paraId="090583F4" w14:textId="77777777" w:rsidR="004C6FC6" w:rsidRPr="009B78DA" w:rsidRDefault="004C6FC6"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Przemyślu występuje drugi co do wielkości węzeł kolejowy na Podkarpaciu. Największe znaczenie dla dostępności całego obszaru funkcjonalnego ma przebieg linii kolejowej nr 91 (E30) relacji Kraków – Rzeszów – Medyka, która w znacznym stopniu ułatwia komunikację głównie w gminac</w:t>
      </w:r>
      <w:r w:rsidR="00D9484D" w:rsidRPr="009B78DA">
        <w:rPr>
          <w:rFonts w:ascii="Arial" w:hAnsi="Arial" w:cs="Arial"/>
          <w:color w:val="000000" w:themeColor="text1"/>
          <w:sz w:val="22"/>
          <w:szCs w:val="22"/>
        </w:rPr>
        <w:t xml:space="preserve">h Orły i Żurawica w powiązaniu </w:t>
      </w:r>
      <w:r w:rsidRPr="009B78DA">
        <w:rPr>
          <w:rFonts w:ascii="Arial" w:hAnsi="Arial" w:cs="Arial"/>
          <w:color w:val="000000" w:themeColor="text1"/>
          <w:sz w:val="22"/>
          <w:szCs w:val="22"/>
        </w:rPr>
        <w:t>z ośrodkiem centralnym. Linia nr 102 ułatwia natomiast komunikację w kierunku obszaru przygranicznego i Chyrowa.</w:t>
      </w:r>
    </w:p>
    <w:p w14:paraId="514C22EF" w14:textId="403B346C" w:rsidR="00093842" w:rsidRPr="00FE12F6" w:rsidRDefault="004C6FC6"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Zlokalizowany na obszarze MOF terminal przeładunkowy Żurawica-Medyka, łączący linie normalnotorowe i szerokotorowe, umożliwia bezpośredni w</w:t>
      </w:r>
      <w:r w:rsidR="00FE12F6">
        <w:rPr>
          <w:rFonts w:ascii="Arial" w:hAnsi="Arial" w:cs="Arial"/>
          <w:color w:val="000000" w:themeColor="text1"/>
          <w:sz w:val="22"/>
          <w:szCs w:val="22"/>
        </w:rPr>
        <w:t>jazd pociągom z terenu Ukrainy.</w:t>
      </w:r>
    </w:p>
    <w:p w14:paraId="2F50A8A0" w14:textId="2494CBA0" w:rsidR="00222787" w:rsidRPr="009B78DA" w:rsidRDefault="00195775" w:rsidP="00FE12F6">
      <w:pPr>
        <w:spacing w:after="0" w:line="288"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Obszar Funkcjonalny Krosna</w:t>
      </w:r>
    </w:p>
    <w:p w14:paraId="4461C915" w14:textId="77777777" w:rsidR="004C6FC6" w:rsidRPr="009B78DA" w:rsidRDefault="004C6FC6"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Rozwój dostępności komunikacyjnej powinien przebiegać w następujących kierunkach:</w:t>
      </w:r>
    </w:p>
    <w:p w14:paraId="766C04FD" w14:textId="61D0A1A7" w:rsidR="00222787" w:rsidRPr="009B78DA" w:rsidRDefault="00222787" w:rsidP="00FE12F6">
      <w:pPr>
        <w:pStyle w:val="Akapitzlist"/>
        <w:numPr>
          <w:ilvl w:val="0"/>
          <w:numId w:val="106"/>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DK19 – przebiegająca peryferyjnie wzdłuż wschodniej granicy strefy zewnętrznej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o ograniczonym wpływie na </w:t>
      </w:r>
      <w:r w:rsidR="00FE12F6">
        <w:rPr>
          <w:rFonts w:ascii="Arial" w:hAnsi="Arial" w:cs="Arial"/>
          <w:color w:val="000000" w:themeColor="text1"/>
          <w:sz w:val="22"/>
          <w:szCs w:val="22"/>
        </w:rPr>
        <w:t>połączenie ze rdzeniem obszaru;</w:t>
      </w:r>
    </w:p>
    <w:p w14:paraId="2908605D" w14:textId="14421DAE" w:rsidR="004C6FC6" w:rsidRPr="009B78DA" w:rsidRDefault="00222787" w:rsidP="00FE12F6">
      <w:pPr>
        <w:pStyle w:val="Akapitzlist"/>
        <w:numPr>
          <w:ilvl w:val="0"/>
          <w:numId w:val="106"/>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DK28 – posiadająca większe znaczenie w kontekście realizowanych podróży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w kierunku ośrodka centralnego, łączy gminy Jedlicz</w:t>
      </w:r>
      <w:r w:rsidR="00D9484D" w:rsidRPr="009B78DA">
        <w:rPr>
          <w:rFonts w:ascii="Arial" w:hAnsi="Arial" w:cs="Arial"/>
          <w:color w:val="000000" w:themeColor="text1"/>
          <w:sz w:val="22"/>
          <w:szCs w:val="22"/>
        </w:rPr>
        <w:t xml:space="preserve">e i Miejsce Piastowe </w:t>
      </w:r>
      <w:r w:rsidR="00195775" w:rsidRPr="009B78DA">
        <w:rPr>
          <w:rFonts w:ascii="Arial" w:hAnsi="Arial" w:cs="Arial"/>
          <w:color w:val="000000" w:themeColor="text1"/>
          <w:sz w:val="22"/>
          <w:szCs w:val="22"/>
        </w:rPr>
        <w:t>z Krosnem</w:t>
      </w:r>
      <w:r w:rsidR="00617D88" w:rsidRPr="009B78DA">
        <w:rPr>
          <w:rFonts w:ascii="Arial" w:hAnsi="Arial" w:cs="Arial"/>
          <w:color w:val="000000" w:themeColor="text1"/>
          <w:sz w:val="22"/>
          <w:szCs w:val="22"/>
        </w:rPr>
        <w:t>;</w:t>
      </w:r>
    </w:p>
    <w:p w14:paraId="41658C67" w14:textId="1A387C77" w:rsidR="004C6FC6" w:rsidRPr="009B78DA" w:rsidRDefault="00D14AC1" w:rsidP="00FE12F6">
      <w:pPr>
        <w:pStyle w:val="Akapitzlist"/>
        <w:numPr>
          <w:ilvl w:val="0"/>
          <w:numId w:val="106"/>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w:t>
      </w:r>
      <w:r w:rsidR="00222787" w:rsidRPr="009B78DA">
        <w:rPr>
          <w:rFonts w:ascii="Arial" w:hAnsi="Arial" w:cs="Arial"/>
          <w:color w:val="000000" w:themeColor="text1"/>
          <w:sz w:val="22"/>
          <w:szCs w:val="22"/>
        </w:rPr>
        <w:t xml:space="preserve">990 i </w:t>
      </w:r>
      <w:r w:rsidRPr="009B78DA">
        <w:rPr>
          <w:rFonts w:ascii="Arial" w:hAnsi="Arial" w:cs="Arial"/>
          <w:color w:val="000000" w:themeColor="text1"/>
          <w:sz w:val="22"/>
          <w:szCs w:val="22"/>
        </w:rPr>
        <w:t>DW</w:t>
      </w:r>
      <w:r w:rsidR="00222787" w:rsidRPr="009B78DA">
        <w:rPr>
          <w:rFonts w:ascii="Arial" w:hAnsi="Arial" w:cs="Arial"/>
          <w:color w:val="000000" w:themeColor="text1"/>
          <w:sz w:val="22"/>
          <w:szCs w:val="22"/>
        </w:rPr>
        <w:t xml:space="preserve">991 komunikujące odpowiednio gminy Wojaszówka i Korczyna. </w:t>
      </w:r>
    </w:p>
    <w:p w14:paraId="6FC8233B" w14:textId="77777777" w:rsidR="00222787" w:rsidRPr="009B78DA" w:rsidRDefault="00222787"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większym stopniu na obszarze funkcjonalnym Krosno skomunikowane są gminy położone na wschodzie i północy regionu. Z kolei gminą o najniższej dostępności jest Chorkówka. Inwestycją, która znacząco wpłynie na poprawę dostępności będzie realizacja odcinka drogi ekspresowej S19 z węzłami. Jednak w przypadku obszaru funkcjonalnego Krosno inwestycja ta ma charakter zewnętrzny.</w:t>
      </w:r>
    </w:p>
    <w:p w14:paraId="6BFC8A23" w14:textId="0ABF414D" w:rsidR="00222787" w:rsidRPr="009B78DA" w:rsidRDefault="00222787"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Dostępność zewnętrzna MOF Krosno, nie poprawiła się znacząco w wyniku realizacji głównych inwestycji infrastrukturalnych w regionie. </w:t>
      </w:r>
      <w:r w:rsidR="00D14AC1" w:rsidRPr="009B78DA">
        <w:rPr>
          <w:rFonts w:ascii="Arial" w:hAnsi="Arial" w:cs="Arial"/>
          <w:color w:val="000000" w:themeColor="text1"/>
          <w:sz w:val="22"/>
          <w:szCs w:val="22"/>
        </w:rPr>
        <w:t>J</w:t>
      </w:r>
      <w:r w:rsidRPr="009B78DA">
        <w:rPr>
          <w:rFonts w:ascii="Arial" w:hAnsi="Arial" w:cs="Arial"/>
          <w:color w:val="000000" w:themeColor="text1"/>
          <w:sz w:val="22"/>
          <w:szCs w:val="22"/>
        </w:rPr>
        <w:t xml:space="preserve">est </w:t>
      </w:r>
      <w:r w:rsidR="00D14AC1" w:rsidRPr="009B78DA">
        <w:rPr>
          <w:rFonts w:ascii="Arial" w:hAnsi="Arial" w:cs="Arial"/>
          <w:color w:val="000000" w:themeColor="text1"/>
          <w:sz w:val="22"/>
          <w:szCs w:val="22"/>
        </w:rPr>
        <w:t xml:space="preserve">to </w:t>
      </w:r>
      <w:r w:rsidRPr="009B78DA">
        <w:rPr>
          <w:rFonts w:ascii="Arial" w:hAnsi="Arial" w:cs="Arial"/>
          <w:color w:val="000000" w:themeColor="text1"/>
          <w:sz w:val="22"/>
          <w:szCs w:val="22"/>
        </w:rPr>
        <w:t xml:space="preserve">obszar, w którym realizuje się relatywnie mało inwestycji drogowych, chociaż mają </w:t>
      </w:r>
      <w:r w:rsidR="00D14AC1" w:rsidRPr="009B78DA">
        <w:rPr>
          <w:rFonts w:ascii="Arial" w:hAnsi="Arial" w:cs="Arial"/>
          <w:color w:val="000000" w:themeColor="text1"/>
          <w:sz w:val="22"/>
          <w:szCs w:val="22"/>
        </w:rPr>
        <w:t xml:space="preserve">tutaj </w:t>
      </w:r>
      <w:r w:rsidRPr="009B78DA">
        <w:rPr>
          <w:rFonts w:ascii="Arial" w:hAnsi="Arial" w:cs="Arial"/>
          <w:color w:val="000000" w:themeColor="text1"/>
          <w:sz w:val="22"/>
          <w:szCs w:val="22"/>
        </w:rPr>
        <w:t xml:space="preserve">miejsce szczególnie intensywne międzygminne dojazdy do pracy. </w:t>
      </w:r>
      <w:r w:rsidR="00D14AC1" w:rsidRPr="009B78DA">
        <w:rPr>
          <w:rFonts w:ascii="Arial" w:hAnsi="Arial" w:cs="Arial"/>
          <w:color w:val="000000" w:themeColor="text1"/>
          <w:sz w:val="22"/>
          <w:szCs w:val="22"/>
        </w:rPr>
        <w:t xml:space="preserve">Stan techniczny </w:t>
      </w:r>
      <w:r w:rsidRPr="009B78DA">
        <w:rPr>
          <w:rFonts w:ascii="Arial" w:hAnsi="Arial" w:cs="Arial"/>
          <w:color w:val="000000" w:themeColor="text1"/>
          <w:sz w:val="22"/>
          <w:szCs w:val="22"/>
        </w:rPr>
        <w:t xml:space="preserve">dróg dojazdowych jest w większości przypadków </w:t>
      </w:r>
      <w:r w:rsidR="00D14AC1" w:rsidRPr="009B78DA">
        <w:rPr>
          <w:rFonts w:ascii="Arial" w:hAnsi="Arial" w:cs="Arial"/>
          <w:color w:val="000000" w:themeColor="text1"/>
          <w:sz w:val="22"/>
          <w:szCs w:val="22"/>
        </w:rPr>
        <w:t>określany jako bardzo zły.</w:t>
      </w:r>
      <w:r w:rsidRPr="009B78DA">
        <w:rPr>
          <w:rFonts w:ascii="Arial" w:hAnsi="Arial" w:cs="Arial"/>
          <w:color w:val="000000" w:themeColor="text1"/>
          <w:sz w:val="22"/>
          <w:szCs w:val="22"/>
        </w:rPr>
        <w:t xml:space="preserve"> </w:t>
      </w:r>
      <w:r w:rsidR="00D14AC1" w:rsidRPr="009B78DA">
        <w:rPr>
          <w:rFonts w:ascii="Arial" w:hAnsi="Arial" w:cs="Arial"/>
          <w:color w:val="000000" w:themeColor="text1"/>
          <w:sz w:val="22"/>
          <w:szCs w:val="22"/>
        </w:rPr>
        <w:t>D</w:t>
      </w:r>
      <w:r w:rsidRPr="009B78DA">
        <w:rPr>
          <w:rFonts w:ascii="Arial" w:hAnsi="Arial" w:cs="Arial"/>
          <w:color w:val="000000" w:themeColor="text1"/>
          <w:sz w:val="22"/>
          <w:szCs w:val="22"/>
        </w:rPr>
        <w:t xml:space="preserve">uża część ruchu dojazdowego jest wykonywana </w:t>
      </w:r>
      <w:r w:rsidR="0088139E" w:rsidRPr="009B78DA">
        <w:rPr>
          <w:rFonts w:ascii="Arial" w:hAnsi="Arial" w:cs="Arial"/>
          <w:color w:val="000000" w:themeColor="text1"/>
          <w:sz w:val="22"/>
          <w:szCs w:val="22"/>
        </w:rPr>
        <w:br/>
      </w:r>
      <w:r w:rsidRPr="009B78DA">
        <w:rPr>
          <w:rFonts w:ascii="Arial" w:hAnsi="Arial" w:cs="Arial"/>
          <w:color w:val="000000" w:themeColor="text1"/>
          <w:sz w:val="22"/>
          <w:szCs w:val="22"/>
        </w:rPr>
        <w:t>z wykorzystani</w:t>
      </w:r>
      <w:r w:rsidR="00195775" w:rsidRPr="009B78DA">
        <w:rPr>
          <w:rFonts w:ascii="Arial" w:hAnsi="Arial" w:cs="Arial"/>
          <w:color w:val="000000" w:themeColor="text1"/>
          <w:sz w:val="22"/>
          <w:szCs w:val="22"/>
        </w:rPr>
        <w:t>em dróg powiatowych i gminnych.</w:t>
      </w:r>
    </w:p>
    <w:p w14:paraId="524C5CB8" w14:textId="129BE262" w:rsidR="00222787" w:rsidRPr="009B78DA" w:rsidRDefault="00222787"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Stale wzrasta ruch ciężki w ciągu DK28, dlatego dużą inwestycją w ramach MOF Krosno jest realizacja obwodnicy miasta Krosno </w:t>
      </w:r>
      <w:r w:rsidR="00526A33" w:rsidRPr="009B78DA">
        <w:rPr>
          <w:rFonts w:ascii="Arial" w:hAnsi="Arial" w:cs="Arial"/>
          <w:color w:val="000000" w:themeColor="text1"/>
          <w:sz w:val="22"/>
          <w:szCs w:val="22"/>
        </w:rPr>
        <w:t xml:space="preserve">na odcinku </w:t>
      </w:r>
      <w:r w:rsidRPr="009B78DA">
        <w:rPr>
          <w:rFonts w:ascii="Arial" w:hAnsi="Arial" w:cs="Arial"/>
          <w:color w:val="000000" w:themeColor="text1"/>
          <w:sz w:val="22"/>
          <w:szCs w:val="22"/>
        </w:rPr>
        <w:t>tej drogi krajowej.</w:t>
      </w:r>
      <w:r w:rsidR="00D52BD3" w:rsidRPr="009B78DA">
        <w:rPr>
          <w:rFonts w:ascii="Arial" w:hAnsi="Arial" w:cs="Arial"/>
          <w:color w:val="000000" w:themeColor="text1"/>
          <w:sz w:val="22"/>
          <w:szCs w:val="22"/>
        </w:rPr>
        <w:t xml:space="preserve"> </w:t>
      </w:r>
      <w:r w:rsidR="00526A33" w:rsidRPr="009B78DA">
        <w:rPr>
          <w:rFonts w:ascii="Arial" w:hAnsi="Arial" w:cs="Arial"/>
          <w:color w:val="000000" w:themeColor="text1"/>
          <w:sz w:val="22"/>
          <w:szCs w:val="22"/>
        </w:rPr>
        <w:t>DK</w:t>
      </w:r>
      <w:r w:rsidRPr="009B78DA">
        <w:rPr>
          <w:rFonts w:ascii="Arial" w:hAnsi="Arial" w:cs="Arial"/>
          <w:color w:val="000000" w:themeColor="text1"/>
          <w:sz w:val="22"/>
          <w:szCs w:val="22"/>
        </w:rPr>
        <w:t xml:space="preserve">19 w jej przejściu przez MOF Krosno jest </w:t>
      </w:r>
      <w:r w:rsidR="00526A33" w:rsidRPr="009B78DA">
        <w:rPr>
          <w:rFonts w:ascii="Arial" w:hAnsi="Arial" w:cs="Arial"/>
          <w:color w:val="000000" w:themeColor="text1"/>
          <w:sz w:val="22"/>
          <w:szCs w:val="22"/>
        </w:rPr>
        <w:t xml:space="preserve">w wysokim stopniu obciążona </w:t>
      </w:r>
      <w:r w:rsidRPr="009B78DA">
        <w:rPr>
          <w:rFonts w:ascii="Arial" w:hAnsi="Arial" w:cs="Arial"/>
          <w:color w:val="000000" w:themeColor="text1"/>
          <w:sz w:val="22"/>
          <w:szCs w:val="22"/>
        </w:rPr>
        <w:t xml:space="preserve">ruchem ciężarowym. Przy tym jest to droga relatywnie wąska, bez pobocza, znajdująca się w złym stanie technicznym. </w:t>
      </w:r>
      <w:r w:rsidR="00C16B05"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W przypadku znacznego odłożenia realizacji tego odcinka należy podjąć się modernizacji najbardziej zdegradowanych </w:t>
      </w:r>
      <w:r w:rsidR="00526A33" w:rsidRPr="009B78DA">
        <w:rPr>
          <w:rFonts w:ascii="Arial" w:hAnsi="Arial" w:cs="Arial"/>
          <w:color w:val="000000" w:themeColor="text1"/>
          <w:sz w:val="22"/>
          <w:szCs w:val="22"/>
        </w:rPr>
        <w:t xml:space="preserve">fragmentów </w:t>
      </w:r>
      <w:r w:rsidRPr="009B78DA">
        <w:rPr>
          <w:rFonts w:ascii="Arial" w:hAnsi="Arial" w:cs="Arial"/>
          <w:color w:val="000000" w:themeColor="text1"/>
          <w:sz w:val="22"/>
          <w:szCs w:val="22"/>
        </w:rPr>
        <w:t>DK19 w jej przebiegu przez MOF Krosno.</w:t>
      </w:r>
    </w:p>
    <w:p w14:paraId="50209811" w14:textId="4162CBB1" w:rsidR="006E035D" w:rsidRPr="009B78DA" w:rsidRDefault="006E035D" w:rsidP="00FE12F6">
      <w:pPr>
        <w:pStyle w:val="Legenda"/>
        <w:keepNext/>
        <w:spacing w:after="120"/>
        <w:rPr>
          <w:rFonts w:ascii="Arial" w:hAnsi="Arial" w:cs="Arial"/>
          <w:i w:val="0"/>
          <w:color w:val="000000" w:themeColor="text1"/>
          <w:sz w:val="22"/>
          <w:szCs w:val="22"/>
        </w:rPr>
      </w:pPr>
      <w:bookmarkStart w:id="320" w:name="_Toc146785695"/>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Proponowane kierunki rozwoju sieci transportowej w obszarze funkcjonalnym Krosna</w:t>
      </w:r>
      <w:bookmarkEnd w:id="320"/>
    </w:p>
    <w:p w14:paraId="1E4ADA62" w14:textId="6C821D80" w:rsidR="00B44950" w:rsidRPr="009B78DA" w:rsidRDefault="00433523" w:rsidP="008840E5">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56B2995B" wp14:editId="24DF2850">
            <wp:extent cx="5760720" cy="6093344"/>
            <wp:effectExtent l="0" t="0" r="0" b="3175"/>
            <wp:docPr id="2083337458" name="Obraz 3" descr="Obszar zaznaczony kolorem ciemno szarym rdzeń obszaru funkcjonalnego Krosno, Następnie kolorem jasno szarym gminy strefy zewnętrznej obszaru funkcjonalnego. Od góry Wojaszówka, Jedlicze, Korczyna, Krościenko Wyżne, Chorkówka, Miejsce Piastowe. Ponadto na czerwono została oznaczona droga ekspresowa S19 z węzłami w realizacji. Na czerwono drogi krajowe 28 i 19. Na żółto drogi wojewódzkie 990, 991. Przerywaną biało czarna linia linie kolejowe 106, 108. Zaznaczono również drogi powiatowe jasno szara linią. Zaznaczono kołem pomarańczowo białym budowę obwodnicy w Krośnie oraz wskazano powiązania komunikacyjne wymagające wzmocnienia Jasło, Rzeszów, Słowacja, Sanok, Przemyśl " title="Rysunek 66 Proponowane kierunki rozwoju sieci transportowej w obszarze funkcjonalnym Kros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37458" name="Obraz 3" descr="Obraz zawierający mapa, tekst, atlas&#10;&#10;Opis wygenerowany automatyczni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60720" cy="6093344"/>
                    </a:xfrm>
                    <a:prstGeom prst="rect">
                      <a:avLst/>
                    </a:prstGeom>
                  </pic:spPr>
                </pic:pic>
              </a:graphicData>
            </a:graphic>
          </wp:inline>
        </w:drawing>
      </w:r>
    </w:p>
    <w:p w14:paraId="1E150871" w14:textId="0CB207BA" w:rsidR="00A61EF4" w:rsidRPr="009B78DA" w:rsidRDefault="005951EF" w:rsidP="00FE12F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911B88" w:rsidRPr="009B78DA">
        <w:rPr>
          <w:rFonts w:ascii="Arial" w:hAnsi="Arial" w:cs="Arial"/>
          <w:color w:val="000000" w:themeColor="text1"/>
          <w:sz w:val="22"/>
          <w:szCs w:val="22"/>
        </w:rPr>
        <w:t>Opracowanie własne.</w:t>
      </w:r>
    </w:p>
    <w:p w14:paraId="36AB2F18" w14:textId="185D8CA8" w:rsidR="00CF67AA" w:rsidRPr="009B78DA" w:rsidRDefault="00CF67AA"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Wąskim gardłem pozostają odcinki wylotowe z Krosna będące w zarządzie GDDKiA</w:t>
      </w:r>
      <w:r w:rsidR="00C16150"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r w:rsidR="00C16150" w:rsidRPr="009B78DA">
        <w:rPr>
          <w:rFonts w:ascii="Arial" w:hAnsi="Arial" w:cs="Arial"/>
          <w:color w:val="000000" w:themeColor="text1"/>
          <w:sz w:val="22"/>
          <w:szCs w:val="22"/>
        </w:rPr>
        <w:t xml:space="preserve">Charakteryzują </w:t>
      </w:r>
      <w:r w:rsidRPr="009B78DA">
        <w:rPr>
          <w:rFonts w:ascii="Arial" w:hAnsi="Arial" w:cs="Arial"/>
          <w:color w:val="000000" w:themeColor="text1"/>
          <w:sz w:val="22"/>
          <w:szCs w:val="22"/>
        </w:rPr>
        <w:t xml:space="preserve">się </w:t>
      </w:r>
      <w:r w:rsidR="00C16150" w:rsidRPr="009B78DA">
        <w:rPr>
          <w:rFonts w:ascii="Arial" w:hAnsi="Arial" w:cs="Arial"/>
          <w:color w:val="000000" w:themeColor="text1"/>
          <w:sz w:val="22"/>
          <w:szCs w:val="22"/>
        </w:rPr>
        <w:t xml:space="preserve">one </w:t>
      </w:r>
      <w:r w:rsidRPr="009B78DA">
        <w:rPr>
          <w:rFonts w:ascii="Arial" w:hAnsi="Arial" w:cs="Arial"/>
          <w:color w:val="000000" w:themeColor="text1"/>
          <w:sz w:val="22"/>
          <w:szCs w:val="22"/>
        </w:rPr>
        <w:t>bardzo wysokim natężeniem ruchu, w tym ruchu ciężarowego (przede wszystkim odcinek na półn</w:t>
      </w:r>
      <w:r w:rsidR="00D9484D" w:rsidRPr="009B78DA">
        <w:rPr>
          <w:rFonts w:ascii="Arial" w:hAnsi="Arial" w:cs="Arial"/>
          <w:color w:val="000000" w:themeColor="text1"/>
          <w:sz w:val="22"/>
          <w:szCs w:val="22"/>
        </w:rPr>
        <w:t xml:space="preserve">ocny-zachód w kierunku Jasła), </w:t>
      </w:r>
      <w:r w:rsidRPr="009B78DA">
        <w:rPr>
          <w:rFonts w:ascii="Arial" w:hAnsi="Arial" w:cs="Arial"/>
          <w:color w:val="000000" w:themeColor="text1"/>
          <w:sz w:val="22"/>
          <w:szCs w:val="22"/>
        </w:rPr>
        <w:t>a także odcin</w:t>
      </w:r>
      <w:r w:rsidR="00FE12F6">
        <w:rPr>
          <w:rFonts w:ascii="Arial" w:hAnsi="Arial" w:cs="Arial"/>
          <w:color w:val="000000" w:themeColor="text1"/>
          <w:sz w:val="22"/>
          <w:szCs w:val="22"/>
        </w:rPr>
        <w:t>ki dojazdowe dróg wojewódzkich.</w:t>
      </w:r>
    </w:p>
    <w:p w14:paraId="603A772B" w14:textId="57E9C2BA" w:rsidR="00CF67AA" w:rsidRPr="009B78DA" w:rsidRDefault="00CF67AA"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Priorytetem inwestycyjnym dla MOF Krosno jest kontynuacja działań związanych </w:t>
      </w:r>
      <w:r w:rsidR="008840E5"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z budową drogi ekspresowej S19 do Miejsca Piastowego (planowana jest również obwodnica Miejsca Piastowego w ciągu </w:t>
      </w:r>
      <w:r w:rsidR="00D07C5E" w:rsidRPr="009B78DA">
        <w:rPr>
          <w:rFonts w:ascii="Arial" w:hAnsi="Arial" w:cs="Arial"/>
          <w:color w:val="000000" w:themeColor="text1"/>
          <w:sz w:val="22"/>
          <w:szCs w:val="22"/>
        </w:rPr>
        <w:t>DK</w:t>
      </w:r>
      <w:r w:rsidRPr="009B78DA">
        <w:rPr>
          <w:rFonts w:ascii="Arial" w:hAnsi="Arial" w:cs="Arial"/>
          <w:color w:val="000000" w:themeColor="text1"/>
          <w:sz w:val="22"/>
          <w:szCs w:val="22"/>
        </w:rPr>
        <w:t>28 jako rozwiązanie kompleksowe), modernizacja uk</w:t>
      </w:r>
      <w:r w:rsidR="00D9484D" w:rsidRPr="009B78DA">
        <w:rPr>
          <w:rFonts w:ascii="Arial" w:hAnsi="Arial" w:cs="Arial"/>
          <w:color w:val="000000" w:themeColor="text1"/>
          <w:sz w:val="22"/>
          <w:szCs w:val="22"/>
        </w:rPr>
        <w:t xml:space="preserve">ładu dróg krajowych DK28/DK73, </w:t>
      </w:r>
      <w:r w:rsidRPr="009B78DA">
        <w:rPr>
          <w:rFonts w:ascii="Arial" w:hAnsi="Arial" w:cs="Arial"/>
          <w:color w:val="000000" w:themeColor="text1"/>
          <w:sz w:val="22"/>
          <w:szCs w:val="22"/>
        </w:rPr>
        <w:t xml:space="preserve">a także poprawa warunków dojazdowych do miasta-rdzenia. Wąskie gardło na odcinku między S19 a Sanokiem, może zostać zlikwidowane </w:t>
      </w:r>
      <w:r w:rsidR="00FE12F6">
        <w:rPr>
          <w:rFonts w:ascii="Arial" w:hAnsi="Arial" w:cs="Arial"/>
          <w:color w:val="000000" w:themeColor="text1"/>
          <w:sz w:val="22"/>
          <w:szCs w:val="22"/>
        </w:rPr>
        <w:br/>
      </w:r>
      <w:r w:rsidRPr="009B78DA">
        <w:rPr>
          <w:rFonts w:ascii="Arial" w:hAnsi="Arial" w:cs="Arial"/>
          <w:color w:val="000000" w:themeColor="text1"/>
          <w:sz w:val="22"/>
          <w:szCs w:val="22"/>
        </w:rPr>
        <w:t>w wyniku realizacji postulowanego w KPZK 2030 łącznika w standardzie drogi ekspresowej.</w:t>
      </w:r>
    </w:p>
    <w:p w14:paraId="7B955E20" w14:textId="57E8A207" w:rsidR="004959A0" w:rsidRPr="009B78DA" w:rsidRDefault="004959A0"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Istotne znaczenie dla MOF Krosna odgrywać </w:t>
      </w:r>
      <w:r w:rsidR="0035594E"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także poprawa połączeń drogowych, prowadzących do terenów atrakcyjnych turystycznie (</w:t>
      </w:r>
      <w:r w:rsidR="005D7070" w:rsidRPr="009B78DA">
        <w:rPr>
          <w:rFonts w:ascii="Arial" w:hAnsi="Arial" w:cs="Arial"/>
          <w:color w:val="000000" w:themeColor="text1"/>
          <w:sz w:val="22"/>
          <w:szCs w:val="22"/>
        </w:rPr>
        <w:t xml:space="preserve">Bieszczady, </w:t>
      </w:r>
      <w:r w:rsidRPr="009B78DA">
        <w:rPr>
          <w:rFonts w:ascii="Arial" w:hAnsi="Arial" w:cs="Arial"/>
          <w:color w:val="000000" w:themeColor="text1"/>
          <w:sz w:val="22"/>
          <w:szCs w:val="22"/>
        </w:rPr>
        <w:t>Beskid N</w:t>
      </w:r>
      <w:r w:rsidR="005D7070" w:rsidRPr="009B78DA">
        <w:rPr>
          <w:rFonts w:ascii="Arial" w:hAnsi="Arial" w:cs="Arial"/>
          <w:color w:val="000000" w:themeColor="text1"/>
          <w:sz w:val="22"/>
          <w:szCs w:val="22"/>
        </w:rPr>
        <w:t>iski</w:t>
      </w:r>
      <w:r w:rsidR="00A845AE" w:rsidRPr="009B78DA">
        <w:rPr>
          <w:rFonts w:ascii="Arial" w:hAnsi="Arial" w:cs="Arial"/>
          <w:color w:val="000000" w:themeColor="text1"/>
          <w:sz w:val="22"/>
          <w:szCs w:val="22"/>
        </w:rPr>
        <w:t xml:space="preserve"> </w:t>
      </w:r>
      <w:r w:rsidR="005D7070" w:rsidRPr="009B78DA">
        <w:rPr>
          <w:rFonts w:ascii="Arial" w:hAnsi="Arial" w:cs="Arial"/>
          <w:color w:val="000000" w:themeColor="text1"/>
          <w:sz w:val="22"/>
          <w:szCs w:val="22"/>
        </w:rPr>
        <w:t>oraz teren</w:t>
      </w:r>
      <w:r w:rsidR="00A845AE" w:rsidRPr="009B78DA">
        <w:rPr>
          <w:rFonts w:ascii="Arial" w:hAnsi="Arial" w:cs="Arial"/>
          <w:color w:val="000000" w:themeColor="text1"/>
          <w:sz w:val="22"/>
          <w:szCs w:val="22"/>
        </w:rPr>
        <w:t>y</w:t>
      </w:r>
      <w:r w:rsidR="005D7070" w:rsidRPr="009B78DA">
        <w:rPr>
          <w:rFonts w:ascii="Arial" w:hAnsi="Arial" w:cs="Arial"/>
          <w:color w:val="000000" w:themeColor="text1"/>
          <w:sz w:val="22"/>
          <w:szCs w:val="22"/>
        </w:rPr>
        <w:t xml:space="preserve"> uzdrowiskow</w:t>
      </w:r>
      <w:r w:rsidR="00A845AE" w:rsidRPr="009B78DA">
        <w:rPr>
          <w:rFonts w:ascii="Arial" w:hAnsi="Arial" w:cs="Arial"/>
          <w:color w:val="000000" w:themeColor="text1"/>
          <w:sz w:val="22"/>
          <w:szCs w:val="22"/>
        </w:rPr>
        <w:t>e).</w:t>
      </w:r>
    </w:p>
    <w:p w14:paraId="3DFAA974" w14:textId="5C57DDDE" w:rsidR="00CF67AA" w:rsidRPr="009B78DA" w:rsidRDefault="00CF67AA"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Biorąc pod uwagę połączenia kolejowe na terenie obszaru funkcjonalnego Krosno</w:t>
      </w:r>
      <w:r w:rsidR="00C16150"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dostępność komunikacyjna jest stosunkowo niska. Konieczne jest wsparcie niezelektryfikowanej linii kolejowej nr 108 (aktualnie łączącej z rdzeniem obszaru gminy Jedlicze i Miejsce Piastowe, pomimo tego, że jest istotnym połączeniem kolejowym stolicy województwa z Bieszczadami)</w:t>
      </w:r>
      <w:r w:rsidR="000E08CB"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Pełny efekt rewitalizacji zostanie uzyskany dopiero w wyniku kontynuacji działań na linii 108, zaś poprawę dostępności do Rzeszowa można osiągnąć poprzez budowę łącznicy kolejowej </w:t>
      </w:r>
      <w:bookmarkStart w:id="321" w:name="_Hlk100567822"/>
      <w:r w:rsidR="000E08CB" w:rsidRPr="009B78DA">
        <w:rPr>
          <w:rFonts w:ascii="Arial" w:hAnsi="Arial" w:cs="Arial"/>
          <w:color w:val="000000" w:themeColor="text1"/>
          <w:sz w:val="22"/>
          <w:szCs w:val="22"/>
        </w:rPr>
        <w:t xml:space="preserve">Jedlicze – Szebnie, </w:t>
      </w:r>
      <w:bookmarkEnd w:id="321"/>
      <w:r w:rsidRPr="009B78DA">
        <w:rPr>
          <w:rFonts w:ascii="Arial" w:hAnsi="Arial" w:cs="Arial"/>
          <w:color w:val="000000" w:themeColor="text1"/>
          <w:sz w:val="22"/>
          <w:szCs w:val="22"/>
        </w:rPr>
        <w:t>łączącej linie 108 i 106</w:t>
      </w:r>
      <w:r w:rsidR="000E08CB" w:rsidRPr="009B78DA">
        <w:rPr>
          <w:rFonts w:ascii="Arial" w:hAnsi="Arial" w:cs="Arial"/>
          <w:color w:val="000000" w:themeColor="text1"/>
          <w:sz w:val="22"/>
          <w:szCs w:val="22"/>
        </w:rPr>
        <w:t xml:space="preserve">. </w:t>
      </w:r>
      <w:r w:rsidR="007165E6" w:rsidRPr="009B78DA">
        <w:rPr>
          <w:rFonts w:ascii="Arial" w:hAnsi="Arial" w:cs="Arial"/>
          <w:color w:val="000000" w:themeColor="text1"/>
          <w:sz w:val="22"/>
          <w:szCs w:val="22"/>
        </w:rPr>
        <w:t>Inwestycja ta znacznie skróci czas dojazdu z MOF</w:t>
      </w:r>
      <w:r w:rsidR="00FE12F6">
        <w:rPr>
          <w:rFonts w:ascii="Arial" w:hAnsi="Arial" w:cs="Arial"/>
          <w:color w:val="000000" w:themeColor="text1"/>
          <w:sz w:val="22"/>
          <w:szCs w:val="22"/>
        </w:rPr>
        <w:t xml:space="preserve"> Krosna do stolicy województwa.</w:t>
      </w:r>
    </w:p>
    <w:p w14:paraId="1E65DA0D" w14:textId="31E77AF8" w:rsidR="0097474C" w:rsidRPr="009B78DA" w:rsidRDefault="0097474C"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shd w:val="clear" w:color="auto" w:fill="FFFFFF" w:themeFill="background1"/>
        </w:rPr>
        <w:t>Aktualnie na terenie miasta Krosna realizowany jest projekt pn. „Likwidacja problemów komunikacyjnych na skrzyżowaniach układu drogowego z linią kolejową nr 108 na terenie miasta Krosna”, w ramach którego, w związku z rozbudową linii kolejowej nr 108 Stróże – Krościenko, zaplanowano szereg powiązań układu dróg gminnych z drogą wojewódzką nr 991. Projekt ten przyczyni się do poprawy układu komunikacyjnego wewnątrz miasta rdzenia.</w:t>
      </w:r>
    </w:p>
    <w:p w14:paraId="4E5D2D95" w14:textId="1C689A68" w:rsidR="00107163" w:rsidRPr="00FE12F6" w:rsidRDefault="0097150A" w:rsidP="00FE12F6">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Jednocześnie dla MOF Krosna duże znaczenie może mieć rozwój transportu multimodalnego ze szczególnym uwzględnieniem infrastruktury transportu intermodalnego. Rozwiązania dla transportu intermodalnego są istotne m.in. ze względu na zaopatrzenie przemysłu, który w rejonie o tradycjach petrochemicznych ma szansę przekształcić się</w:t>
      </w:r>
      <w:r w:rsidR="00FE12F6">
        <w:rPr>
          <w:rFonts w:ascii="Arial" w:hAnsi="Arial" w:cs="Arial"/>
          <w:color w:val="000000" w:themeColor="text1"/>
          <w:sz w:val="22"/>
          <w:szCs w:val="22"/>
        </w:rPr>
        <w:t xml:space="preserve"> </w:t>
      </w:r>
      <w:r w:rsidR="00FE12F6">
        <w:rPr>
          <w:rFonts w:ascii="Arial" w:hAnsi="Arial" w:cs="Arial"/>
          <w:color w:val="000000" w:themeColor="text1"/>
          <w:sz w:val="22"/>
          <w:szCs w:val="22"/>
        </w:rPr>
        <w:br/>
      </w:r>
      <w:r w:rsidRPr="009B78DA">
        <w:rPr>
          <w:rFonts w:ascii="Arial" w:hAnsi="Arial" w:cs="Arial"/>
          <w:color w:val="000000" w:themeColor="text1"/>
          <w:sz w:val="22"/>
          <w:szCs w:val="22"/>
        </w:rPr>
        <w:t>w kierunku uruchomienia produkcji zielonej energii (np. koncepcje organizacji biorafinerii). Inwestycje w tym zakresie powinny być roz</w:t>
      </w:r>
      <w:r w:rsidR="00FE12F6">
        <w:rPr>
          <w:rFonts w:ascii="Arial" w:hAnsi="Arial" w:cs="Arial"/>
          <w:color w:val="000000" w:themeColor="text1"/>
          <w:sz w:val="22"/>
          <w:szCs w:val="22"/>
        </w:rPr>
        <w:t>patrywane wspólnie z MOF Jasła.</w:t>
      </w:r>
    </w:p>
    <w:p w14:paraId="54439225" w14:textId="752CAFB2" w:rsidR="00222787" w:rsidRPr="009B78DA" w:rsidRDefault="00195775" w:rsidP="00FE12F6">
      <w:pPr>
        <w:spacing w:after="0" w:line="288"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Obszar Funkcjonalny Jasła</w:t>
      </w:r>
    </w:p>
    <w:p w14:paraId="5A74EDA6" w14:textId="77777777" w:rsidR="00107163" w:rsidRPr="009B78DA" w:rsidRDefault="00107163" w:rsidP="00FE12F6">
      <w:pPr>
        <w:spacing w:after="0" w:line="288" w:lineRule="auto"/>
        <w:ind w:firstLine="851"/>
        <w:rPr>
          <w:rFonts w:ascii="Arial" w:hAnsi="Arial" w:cs="Arial"/>
          <w:color w:val="000000" w:themeColor="text1"/>
          <w:sz w:val="22"/>
          <w:szCs w:val="22"/>
        </w:rPr>
      </w:pPr>
      <w:bookmarkStart w:id="322" w:name="_Hlk75263506"/>
      <w:r w:rsidRPr="009B78DA">
        <w:rPr>
          <w:rFonts w:ascii="Arial" w:hAnsi="Arial" w:cs="Arial"/>
          <w:color w:val="000000" w:themeColor="text1"/>
          <w:sz w:val="22"/>
          <w:szCs w:val="22"/>
        </w:rPr>
        <w:t>Rozwój dostępności komunikacyjnej powinien przebiegać w następujących kierunkach:</w:t>
      </w:r>
    </w:p>
    <w:p w14:paraId="52CDD52A" w14:textId="77777777" w:rsidR="00107163" w:rsidRPr="009B78DA" w:rsidRDefault="00107163" w:rsidP="00FE12F6">
      <w:pPr>
        <w:pStyle w:val="Akapitzlist"/>
        <w:numPr>
          <w:ilvl w:val="0"/>
          <w:numId w:val="107"/>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DK28 – na osi wschód-zachód;</w:t>
      </w:r>
    </w:p>
    <w:p w14:paraId="3D77A09F" w14:textId="6AD79B16" w:rsidR="00107163" w:rsidRPr="009B78DA" w:rsidRDefault="00107163" w:rsidP="00FE12F6">
      <w:pPr>
        <w:pStyle w:val="Akapitzlist"/>
        <w:numPr>
          <w:ilvl w:val="0"/>
          <w:numId w:val="107"/>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DK73 – z Jasła w kierunku północnym</w:t>
      </w:r>
      <w:r w:rsidR="00617D88" w:rsidRPr="009B78DA">
        <w:rPr>
          <w:rFonts w:ascii="Arial" w:hAnsi="Arial" w:cs="Arial"/>
          <w:color w:val="000000" w:themeColor="text1"/>
          <w:sz w:val="22"/>
          <w:szCs w:val="22"/>
        </w:rPr>
        <w:t>;</w:t>
      </w:r>
    </w:p>
    <w:p w14:paraId="3159D0F9" w14:textId="77777777" w:rsidR="00107163" w:rsidRPr="009B78DA" w:rsidRDefault="00107163" w:rsidP="00FE12F6">
      <w:pPr>
        <w:pStyle w:val="Akapitzlist"/>
        <w:numPr>
          <w:ilvl w:val="0"/>
          <w:numId w:val="107"/>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DW992 - będąca uzupełnieniem sieci komunikacyjnej na osi północ-południe;</w:t>
      </w:r>
    </w:p>
    <w:p w14:paraId="5DB2B8CC" w14:textId="6C6587F0" w:rsidR="00107163" w:rsidRPr="009B78DA" w:rsidRDefault="00107163" w:rsidP="00FE12F6">
      <w:pPr>
        <w:pStyle w:val="Akapitzlist"/>
        <w:numPr>
          <w:ilvl w:val="0"/>
          <w:numId w:val="107"/>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DW993 – położona w gminie Dębowiec, o znaczeniu marginalnym dla połączenia obszarów strefy zewnętrznej z rdzeniem</w:t>
      </w:r>
      <w:r w:rsidR="00617D88" w:rsidRPr="009B78DA">
        <w:rPr>
          <w:rFonts w:ascii="Arial" w:hAnsi="Arial" w:cs="Arial"/>
          <w:color w:val="000000" w:themeColor="text1"/>
          <w:sz w:val="22"/>
          <w:szCs w:val="22"/>
        </w:rPr>
        <w:t>;</w:t>
      </w:r>
    </w:p>
    <w:p w14:paraId="166F7CDB" w14:textId="2DB03655" w:rsidR="00086D17" w:rsidRPr="009B78DA" w:rsidRDefault="00107163" w:rsidP="00FE12F6">
      <w:pPr>
        <w:pStyle w:val="Akapitzlist"/>
        <w:numPr>
          <w:ilvl w:val="0"/>
          <w:numId w:val="107"/>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DW988 – łącząca gminę Jasło z rdzeniem.</w:t>
      </w:r>
    </w:p>
    <w:p w14:paraId="493D205A" w14:textId="34CDE679" w:rsidR="00F5015A" w:rsidRPr="009B78DA" w:rsidRDefault="00107163" w:rsidP="00FE12F6">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Bardzo ważna dla miasta Jasła oraz jego obszaru funkcjonalnego jest planowana budowa obwodnicy w ciągu DK 73. Inwestycja stanowi element większego planu związanego z poprawą przepustowości całego </w:t>
      </w:r>
      <w:r w:rsidR="00C16150" w:rsidRPr="009B78DA">
        <w:rPr>
          <w:rFonts w:ascii="Arial" w:hAnsi="Arial" w:cs="Arial"/>
          <w:color w:val="000000" w:themeColor="text1"/>
          <w:sz w:val="22"/>
          <w:szCs w:val="22"/>
        </w:rPr>
        <w:t xml:space="preserve">odcinka </w:t>
      </w:r>
      <w:r w:rsidRPr="009B78DA">
        <w:rPr>
          <w:rFonts w:ascii="Arial" w:hAnsi="Arial" w:cs="Arial"/>
          <w:color w:val="000000" w:themeColor="text1"/>
          <w:sz w:val="22"/>
          <w:szCs w:val="22"/>
        </w:rPr>
        <w:t>DK73 pomiędzy Pilznem a Jasłem (w kierunku autostrady A4)</w:t>
      </w:r>
      <w:r w:rsidR="005B1A71" w:rsidRPr="009B78DA">
        <w:rPr>
          <w:rFonts w:ascii="Arial" w:hAnsi="Arial" w:cs="Arial"/>
          <w:color w:val="000000" w:themeColor="text1"/>
          <w:sz w:val="22"/>
          <w:szCs w:val="22"/>
        </w:rPr>
        <w:t xml:space="preserve">, która poprawi dostępność komunikacyjną w kierunku północnym. </w:t>
      </w:r>
      <w:r w:rsidRPr="009B78DA">
        <w:rPr>
          <w:rFonts w:ascii="Arial" w:hAnsi="Arial" w:cs="Arial"/>
          <w:color w:val="000000" w:themeColor="text1"/>
          <w:sz w:val="22"/>
          <w:szCs w:val="22"/>
        </w:rPr>
        <w:t xml:space="preserve">Ważna jest również poprawa dostępności na osi wschód-zachód w ciągu DK28 (połączenie </w:t>
      </w:r>
      <w:r w:rsidR="00FE12F6">
        <w:rPr>
          <w:rFonts w:ascii="Arial" w:hAnsi="Arial" w:cs="Arial"/>
          <w:color w:val="000000" w:themeColor="text1"/>
          <w:sz w:val="22"/>
          <w:szCs w:val="22"/>
        </w:rPr>
        <w:br/>
      </w:r>
      <w:r w:rsidRPr="009B78DA">
        <w:rPr>
          <w:rFonts w:ascii="Arial" w:hAnsi="Arial" w:cs="Arial"/>
          <w:color w:val="000000" w:themeColor="text1"/>
          <w:sz w:val="22"/>
          <w:szCs w:val="22"/>
        </w:rPr>
        <w:t>z woj. małopolskim oraz z Krosnem i dalej w kierunku Bieszczad)</w:t>
      </w:r>
      <w:r w:rsidR="009B7CCB" w:rsidRPr="009B78DA">
        <w:rPr>
          <w:rFonts w:ascii="Arial" w:hAnsi="Arial" w:cs="Arial"/>
          <w:color w:val="000000" w:themeColor="text1"/>
          <w:sz w:val="22"/>
          <w:szCs w:val="22"/>
        </w:rPr>
        <w:t xml:space="preserve">. Jednocześnie z uwagi na przebiegający przez </w:t>
      </w:r>
      <w:r w:rsidR="00F5015A" w:rsidRPr="009B78DA">
        <w:rPr>
          <w:rFonts w:ascii="Arial" w:hAnsi="Arial" w:cs="Arial"/>
          <w:color w:val="000000" w:themeColor="text1"/>
          <w:sz w:val="22"/>
          <w:szCs w:val="22"/>
        </w:rPr>
        <w:t>MOF Jasło</w:t>
      </w:r>
      <w:r w:rsidR="009B7CCB" w:rsidRPr="009B78DA">
        <w:rPr>
          <w:rFonts w:ascii="Arial" w:hAnsi="Arial" w:cs="Arial"/>
          <w:color w:val="000000" w:themeColor="text1"/>
          <w:sz w:val="22"/>
          <w:szCs w:val="22"/>
        </w:rPr>
        <w:t xml:space="preserve"> ruch tranzytowy m.in. </w:t>
      </w:r>
      <w:r w:rsidR="00A12121" w:rsidRPr="009B78DA">
        <w:rPr>
          <w:rFonts w:ascii="Arial" w:hAnsi="Arial" w:cs="Arial"/>
          <w:color w:val="000000" w:themeColor="text1"/>
          <w:sz w:val="22"/>
          <w:szCs w:val="22"/>
        </w:rPr>
        <w:t xml:space="preserve">z </w:t>
      </w:r>
      <w:r w:rsidR="00F5015A" w:rsidRPr="009B78DA">
        <w:rPr>
          <w:rFonts w:ascii="Arial" w:hAnsi="Arial" w:cs="Arial"/>
          <w:color w:val="000000" w:themeColor="text1"/>
          <w:sz w:val="22"/>
          <w:szCs w:val="22"/>
        </w:rPr>
        <w:t>południowej części Europy</w:t>
      </w:r>
      <w:r w:rsidR="00A12121" w:rsidRPr="009B78DA">
        <w:rPr>
          <w:rFonts w:ascii="Arial" w:hAnsi="Arial" w:cs="Arial"/>
          <w:color w:val="000000" w:themeColor="text1"/>
          <w:sz w:val="22"/>
          <w:szCs w:val="22"/>
        </w:rPr>
        <w:t>,</w:t>
      </w:r>
      <w:r w:rsidR="00F5015A" w:rsidRPr="009B78DA">
        <w:rPr>
          <w:rFonts w:ascii="Arial" w:hAnsi="Arial" w:cs="Arial"/>
          <w:color w:val="000000" w:themeColor="text1"/>
          <w:sz w:val="22"/>
          <w:szCs w:val="22"/>
        </w:rPr>
        <w:t xml:space="preserve"> </w:t>
      </w:r>
      <w:r w:rsidR="009B7CCB" w:rsidRPr="009B78DA">
        <w:rPr>
          <w:rFonts w:ascii="Arial" w:hAnsi="Arial" w:cs="Arial"/>
          <w:color w:val="000000" w:themeColor="text1"/>
          <w:sz w:val="22"/>
          <w:szCs w:val="22"/>
        </w:rPr>
        <w:t>istotne jest wspieranie poprawy dostępności komunikacyjnej</w:t>
      </w:r>
      <w:r w:rsidR="005B1A71" w:rsidRPr="009B78DA">
        <w:rPr>
          <w:rFonts w:ascii="Arial" w:hAnsi="Arial" w:cs="Arial"/>
          <w:color w:val="000000" w:themeColor="text1"/>
          <w:sz w:val="22"/>
          <w:szCs w:val="22"/>
        </w:rPr>
        <w:t xml:space="preserve"> także </w:t>
      </w:r>
      <w:r w:rsidR="00086D17" w:rsidRPr="009B78DA">
        <w:rPr>
          <w:rFonts w:ascii="Arial" w:hAnsi="Arial" w:cs="Arial"/>
          <w:color w:val="000000" w:themeColor="text1"/>
          <w:sz w:val="22"/>
          <w:szCs w:val="22"/>
        </w:rPr>
        <w:t>w kierunku południowym (</w:t>
      </w:r>
      <w:r w:rsidR="009B7CCB" w:rsidRPr="009B78DA">
        <w:rPr>
          <w:rFonts w:ascii="Arial" w:hAnsi="Arial" w:cs="Arial"/>
          <w:color w:val="000000" w:themeColor="text1"/>
          <w:sz w:val="22"/>
          <w:szCs w:val="22"/>
        </w:rPr>
        <w:t>połączeni</w:t>
      </w:r>
      <w:r w:rsidR="00CC22AF" w:rsidRPr="009B78DA">
        <w:rPr>
          <w:rFonts w:ascii="Arial" w:hAnsi="Arial" w:cs="Arial"/>
          <w:color w:val="000000" w:themeColor="text1"/>
          <w:sz w:val="22"/>
          <w:szCs w:val="22"/>
        </w:rPr>
        <w:t xml:space="preserve">a ze </w:t>
      </w:r>
      <w:r w:rsidR="00FE12F6">
        <w:rPr>
          <w:rFonts w:ascii="Arial" w:hAnsi="Arial" w:cs="Arial"/>
          <w:color w:val="000000" w:themeColor="text1"/>
          <w:sz w:val="22"/>
          <w:szCs w:val="22"/>
        </w:rPr>
        <w:t>Słowacją).</w:t>
      </w:r>
    </w:p>
    <w:p w14:paraId="77181E28" w14:textId="4A4BC32F" w:rsidR="006E035D" w:rsidRPr="009B78DA" w:rsidRDefault="006E035D" w:rsidP="00FE12F6">
      <w:pPr>
        <w:pStyle w:val="Legenda"/>
        <w:keepNext/>
        <w:spacing w:after="120"/>
        <w:rPr>
          <w:rFonts w:ascii="Arial" w:hAnsi="Arial" w:cs="Arial"/>
          <w:i w:val="0"/>
          <w:color w:val="000000" w:themeColor="text1"/>
          <w:sz w:val="22"/>
          <w:szCs w:val="22"/>
        </w:rPr>
      </w:pPr>
      <w:bookmarkStart w:id="323" w:name="_Toc146785696"/>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67</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Proponowane kierunki rozwoju sieci transportowej w obszarze funkcjonalnym Jasła</w:t>
      </w:r>
      <w:bookmarkEnd w:id="323"/>
    </w:p>
    <w:p w14:paraId="48C1D11A" w14:textId="77777777" w:rsidR="00222787" w:rsidRPr="009B78DA" w:rsidRDefault="00F95E5B" w:rsidP="008840E5">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34B2BE95" wp14:editId="643D87B9">
            <wp:extent cx="5760719" cy="6093344"/>
            <wp:effectExtent l="0" t="0" r="0" b="3175"/>
            <wp:docPr id="56" name="Obraz 56" descr="Obszar zaznaczony kolorem ciemno szarym rdzeń obszaru funkcjonalnego Jasło, Następnie kolorem jasno szarym gminy strefy zewnętrznej obszaru funkcjonalnego. Od góry Kołaczyce, Jasło, Skołyszyn. Na czerwono drogi krajowe 28 i 73. Na żółto drogi wojewódzkie 992, 988. Przerywaną biało czarna linia linie kolejowe 106, 108. Zaznaczono również drogi powiatowe jasno szara linią. Zaznaczono kołem pomarańczowo białym budowę obwodnicy w Jaśle oraz wskazano powiązania komunikacyjne wymagające wzmocnienia Dębica/ Mielec, Krosno, Słowacja, Nowy Sącz" title="Rysunek 67 Proponowane kierunki rozwoju sieci transportowej w obszarze funkcjonalnym Jasł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MOF_Jasło.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60719" cy="6093344"/>
                    </a:xfrm>
                    <a:prstGeom prst="rect">
                      <a:avLst/>
                    </a:prstGeom>
                  </pic:spPr>
                </pic:pic>
              </a:graphicData>
            </a:graphic>
          </wp:inline>
        </w:drawing>
      </w:r>
    </w:p>
    <w:p w14:paraId="742F81CE" w14:textId="10BB9391" w:rsidR="005951EF" w:rsidRPr="009B78DA" w:rsidRDefault="005951EF" w:rsidP="00C62881">
      <w:pPr>
        <w:spacing w:after="120" w:line="276" w:lineRule="auto"/>
        <w:rPr>
          <w:rFonts w:ascii="Arial" w:hAnsi="Arial" w:cs="Arial"/>
          <w:color w:val="000000" w:themeColor="text1"/>
          <w:sz w:val="22"/>
          <w:szCs w:val="22"/>
        </w:rPr>
      </w:pPr>
      <w:bookmarkStart w:id="324" w:name="_Hlk76100788"/>
      <w:bookmarkEnd w:id="322"/>
      <w:r w:rsidRPr="009B78DA">
        <w:rPr>
          <w:rFonts w:ascii="Arial" w:hAnsi="Arial" w:cs="Arial"/>
          <w:color w:val="000000" w:themeColor="text1"/>
          <w:sz w:val="22"/>
          <w:szCs w:val="22"/>
        </w:rPr>
        <w:t xml:space="preserve">Źródło: </w:t>
      </w:r>
      <w:r w:rsidR="00911B88" w:rsidRPr="009B78DA">
        <w:rPr>
          <w:rFonts w:ascii="Arial" w:hAnsi="Arial" w:cs="Arial"/>
          <w:color w:val="000000" w:themeColor="text1"/>
          <w:sz w:val="22"/>
          <w:szCs w:val="22"/>
        </w:rPr>
        <w:t>Opracowanie własne.</w:t>
      </w:r>
    </w:p>
    <w:p w14:paraId="154BAF47" w14:textId="37671DCE" w:rsidR="00CF67AA" w:rsidRPr="009B78DA" w:rsidRDefault="00CF67AA" w:rsidP="00C6288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Istotne dla funkcjonowania MOF są przebiegające w układzie wschód</w:t>
      </w:r>
      <w:r w:rsidR="00C16150" w:rsidRPr="009B78DA">
        <w:rPr>
          <w:rFonts w:ascii="Arial" w:hAnsi="Arial" w:cs="Arial"/>
          <w:color w:val="000000" w:themeColor="text1"/>
          <w:sz w:val="22"/>
          <w:szCs w:val="22"/>
        </w:rPr>
        <w:t>-</w:t>
      </w:r>
      <w:r w:rsidRPr="009B78DA">
        <w:rPr>
          <w:rFonts w:ascii="Arial" w:hAnsi="Arial" w:cs="Arial"/>
          <w:color w:val="000000" w:themeColor="text1"/>
          <w:sz w:val="22"/>
          <w:szCs w:val="22"/>
        </w:rPr>
        <w:t>zachód linie kolejowe nr 106 oraz 108, komun</w:t>
      </w:r>
      <w:r w:rsidR="00D9484D" w:rsidRPr="009B78DA">
        <w:rPr>
          <w:rFonts w:ascii="Arial" w:hAnsi="Arial" w:cs="Arial"/>
          <w:color w:val="000000" w:themeColor="text1"/>
          <w:sz w:val="22"/>
          <w:szCs w:val="22"/>
        </w:rPr>
        <w:t xml:space="preserve">ikujące gminy Tarnowiec, Jasło </w:t>
      </w:r>
      <w:r w:rsidRPr="009B78DA">
        <w:rPr>
          <w:rFonts w:ascii="Arial" w:hAnsi="Arial" w:cs="Arial"/>
          <w:color w:val="000000" w:themeColor="text1"/>
          <w:sz w:val="22"/>
          <w:szCs w:val="22"/>
        </w:rPr>
        <w:t>i Skołyszyn z rdzeniem. Bardzo istotna z punktu widzenia obszaru funkcjonalnego jest również rewitalizacja linii kolejowej nr 108 i 110 na odcinku Gorlice – Jasło (która usprawniłaby połączenie z woj. małopolskim). Dodatkowo oficjalnie wpisano linię kolejową nr 166 relacji Dębica – Jasło do wykazu linii kolejowych o znaczeniu państwowym.</w:t>
      </w:r>
    </w:p>
    <w:p w14:paraId="693D2DDE" w14:textId="32DDCADE" w:rsidR="00107163" w:rsidRPr="00C62881" w:rsidRDefault="003B27FF" w:rsidP="00C62881">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Aktywna działalność strefy gospodarczej na terenie byłej rafinerii w Jaśle, a także możliwe inwestycje w sektorze biopaliw na terenie MOF Jasło i MOF Krosno, mogą mieć istotny wpływ na zwiększenie przewozu towarów koleją oraz zwiększenie ich objętości do dalszego przeładunku. Zarówno dla MOF Jasła, jak i sąsiedniego MOF Krosna istotne jest zatem wspieranie działań w zakresie rozwoju transportu intermodalnego, a propozycje inwestycji w tym zakresie powinny być rozpatrywane wspólnie dla obydwu wspomnianych obszarów.</w:t>
      </w:r>
    </w:p>
    <w:p w14:paraId="138FE51A" w14:textId="4D7A55DF" w:rsidR="00222787" w:rsidRPr="009B78DA" w:rsidRDefault="00222787" w:rsidP="00C62881">
      <w:pPr>
        <w:spacing w:after="0" w:line="276"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Obszar Fun</w:t>
      </w:r>
      <w:r w:rsidR="00195775" w:rsidRPr="009B78DA">
        <w:rPr>
          <w:rFonts w:ascii="Arial" w:hAnsi="Arial" w:cs="Arial"/>
          <w:b/>
          <w:i/>
          <w:color w:val="000000" w:themeColor="text1"/>
          <w:sz w:val="22"/>
          <w:szCs w:val="22"/>
          <w:u w:val="single"/>
        </w:rPr>
        <w:t>kcjonalny Tarnobrzega</w:t>
      </w:r>
    </w:p>
    <w:bookmarkEnd w:id="324"/>
    <w:p w14:paraId="1254D3AA" w14:textId="77777777" w:rsidR="00CF67AA" w:rsidRPr="009B78DA" w:rsidRDefault="00CF67AA" w:rsidP="00C6288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Rozwój dostępności komunikacyjnej </w:t>
      </w:r>
      <w:r w:rsidR="00D23264" w:rsidRPr="009B78DA">
        <w:rPr>
          <w:rFonts w:ascii="Arial" w:hAnsi="Arial" w:cs="Arial"/>
          <w:color w:val="000000" w:themeColor="text1"/>
          <w:sz w:val="22"/>
          <w:szCs w:val="22"/>
        </w:rPr>
        <w:t xml:space="preserve">drogowej </w:t>
      </w:r>
      <w:r w:rsidRPr="009B78DA">
        <w:rPr>
          <w:rFonts w:ascii="Arial" w:hAnsi="Arial" w:cs="Arial"/>
          <w:color w:val="000000" w:themeColor="text1"/>
          <w:sz w:val="22"/>
          <w:szCs w:val="22"/>
        </w:rPr>
        <w:t>powinien przebiegać w następujących kierunkach:</w:t>
      </w:r>
    </w:p>
    <w:p w14:paraId="5B48E398" w14:textId="77777777" w:rsidR="00222787" w:rsidRPr="009B78DA" w:rsidRDefault="00222787" w:rsidP="00C62881">
      <w:pPr>
        <w:pStyle w:val="Akapitzlist"/>
        <w:numPr>
          <w:ilvl w:val="0"/>
          <w:numId w:val="108"/>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DK77 – łącząca Sandomierz z Leżajskiem i Jarosławiem, nie oddziałująca wyraźnie na połączenia wewnątrz obszaru; </w:t>
      </w:r>
    </w:p>
    <w:p w14:paraId="165018F6" w14:textId="592EBA22" w:rsidR="00222787" w:rsidRPr="009B78DA" w:rsidRDefault="00222787" w:rsidP="00C62881">
      <w:pPr>
        <w:pStyle w:val="Akapitzlist"/>
        <w:numPr>
          <w:ilvl w:val="0"/>
          <w:numId w:val="108"/>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DK9 – ważna w relacji rdzenia obszaru funkcjonalnego z gminą Nowa Dęba a także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z województwem świętokrzyskim oraz Radomiem i Rzeszowem</w:t>
      </w:r>
      <w:r w:rsidR="009E7EED" w:rsidRPr="009B78DA">
        <w:rPr>
          <w:rFonts w:ascii="Arial" w:hAnsi="Arial" w:cs="Arial"/>
          <w:color w:val="000000" w:themeColor="text1"/>
          <w:sz w:val="22"/>
          <w:szCs w:val="22"/>
        </w:rPr>
        <w:t>;</w:t>
      </w:r>
    </w:p>
    <w:p w14:paraId="19DA4792" w14:textId="77777777" w:rsidR="00222787" w:rsidRPr="009B78DA" w:rsidRDefault="00222787" w:rsidP="00C62881">
      <w:pPr>
        <w:pStyle w:val="Akapitzlist"/>
        <w:numPr>
          <w:ilvl w:val="0"/>
          <w:numId w:val="108"/>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DW723 – łącząca Tarnobrzeg z drogą DK77; </w:t>
      </w:r>
    </w:p>
    <w:p w14:paraId="65F87A56" w14:textId="77777777" w:rsidR="00222787" w:rsidRPr="009B78DA" w:rsidRDefault="00222787" w:rsidP="00C62881">
      <w:pPr>
        <w:pStyle w:val="Akapitzlist"/>
        <w:numPr>
          <w:ilvl w:val="0"/>
          <w:numId w:val="108"/>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DW758 – z Tarnobrzega w kierunku woj. świętokrzyskieg</w:t>
      </w:r>
      <w:r w:rsidR="00CC51BA" w:rsidRPr="009B78DA">
        <w:rPr>
          <w:rFonts w:ascii="Arial" w:hAnsi="Arial" w:cs="Arial"/>
          <w:color w:val="000000" w:themeColor="text1"/>
          <w:sz w:val="22"/>
          <w:szCs w:val="22"/>
        </w:rPr>
        <w:t>o z przeprawą promową na Wiśle;</w:t>
      </w:r>
    </w:p>
    <w:p w14:paraId="087A2E54" w14:textId="77777777" w:rsidR="00222787" w:rsidRPr="009B78DA" w:rsidRDefault="00222787" w:rsidP="00C62881">
      <w:pPr>
        <w:pStyle w:val="Akapitzlist"/>
        <w:numPr>
          <w:ilvl w:val="0"/>
          <w:numId w:val="108"/>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DW854 – łącząca DK77 z DK74 w woj. lubelskim; </w:t>
      </w:r>
    </w:p>
    <w:p w14:paraId="5250145F" w14:textId="77777777" w:rsidR="00222787" w:rsidRPr="009B78DA" w:rsidRDefault="00222787" w:rsidP="00C62881">
      <w:pPr>
        <w:pStyle w:val="Akapitzlist"/>
        <w:numPr>
          <w:ilvl w:val="0"/>
          <w:numId w:val="108"/>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DW871 – o dużym znaczeniu w kontekście prze</w:t>
      </w:r>
      <w:r w:rsidR="00CC51BA" w:rsidRPr="009B78DA">
        <w:rPr>
          <w:rFonts w:ascii="Arial" w:hAnsi="Arial" w:cs="Arial"/>
          <w:color w:val="000000" w:themeColor="text1"/>
          <w:sz w:val="22"/>
          <w:szCs w:val="22"/>
        </w:rPr>
        <w:t>pływu w kierunku Stalowej Woli;</w:t>
      </w:r>
    </w:p>
    <w:p w14:paraId="652A61C4" w14:textId="77777777" w:rsidR="00222787" w:rsidRPr="009B78DA" w:rsidRDefault="00222787" w:rsidP="00C62881">
      <w:pPr>
        <w:pStyle w:val="Akapitzlist"/>
        <w:numPr>
          <w:ilvl w:val="0"/>
          <w:numId w:val="108"/>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DW872 – przechodząca przez gminę Baranów Sandomierski oraz w małym fragmencie przez gminę Nowa Dęba w południowo-zachodniej części obsza</w:t>
      </w:r>
      <w:r w:rsidR="00CC51BA" w:rsidRPr="009B78DA">
        <w:rPr>
          <w:rFonts w:ascii="Arial" w:hAnsi="Arial" w:cs="Arial"/>
          <w:color w:val="000000" w:themeColor="text1"/>
          <w:sz w:val="22"/>
          <w:szCs w:val="22"/>
        </w:rPr>
        <w:t>ru;</w:t>
      </w:r>
    </w:p>
    <w:p w14:paraId="25F59391" w14:textId="77777777" w:rsidR="00222787" w:rsidRPr="009B78DA" w:rsidRDefault="00222787" w:rsidP="00C62881">
      <w:pPr>
        <w:pStyle w:val="Akapitzlist"/>
        <w:numPr>
          <w:ilvl w:val="0"/>
          <w:numId w:val="108"/>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DW985 – w gminie Baranów Sandomiers</w:t>
      </w:r>
      <w:r w:rsidR="00CC51BA" w:rsidRPr="009B78DA">
        <w:rPr>
          <w:rFonts w:ascii="Arial" w:hAnsi="Arial" w:cs="Arial"/>
          <w:color w:val="000000" w:themeColor="text1"/>
          <w:sz w:val="22"/>
          <w:szCs w:val="22"/>
        </w:rPr>
        <w:t>ki, wiążąca z Mielcem i Dębicą.</w:t>
      </w:r>
    </w:p>
    <w:p w14:paraId="592AE2B6" w14:textId="6E05A9E3" w:rsidR="00222787" w:rsidRPr="009B78DA" w:rsidRDefault="00222787" w:rsidP="00C6288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Przez MOF Tarnobrzeg przebiegają szlaki tranzytowe DK9 i DK77 obciążone bardzo wysokim natężeniem ruchu, w tym szczególnie na DK9 – </w:t>
      </w:r>
      <w:r w:rsidR="00C16150" w:rsidRPr="009B78DA">
        <w:rPr>
          <w:rFonts w:ascii="Arial" w:hAnsi="Arial" w:cs="Arial"/>
          <w:color w:val="000000" w:themeColor="text1"/>
          <w:sz w:val="22"/>
          <w:szCs w:val="22"/>
        </w:rPr>
        <w:t xml:space="preserve">ruchem </w:t>
      </w:r>
      <w:r w:rsidRPr="009B78DA">
        <w:rPr>
          <w:rFonts w:ascii="Arial" w:hAnsi="Arial" w:cs="Arial"/>
          <w:color w:val="000000" w:themeColor="text1"/>
          <w:sz w:val="22"/>
          <w:szCs w:val="22"/>
        </w:rPr>
        <w:t>pojazdów ciężarowych. Zrealizowane inwestycje, nie są wystarczające wobec wyzwań, jakie niesie wzmożony popyt transportowy w układzie skośnym. Przy odłożeniu w czasie inwestycji na drodze ekspresowej S74 można się spodziewać dalszego narastania problemów, jakie stwarza wąskie gardło w</w:t>
      </w:r>
      <w:r w:rsidR="0089702E" w:rsidRPr="009B78DA">
        <w:rPr>
          <w:rFonts w:ascii="Arial" w:hAnsi="Arial" w:cs="Arial"/>
          <w:color w:val="000000" w:themeColor="text1"/>
          <w:sz w:val="22"/>
          <w:szCs w:val="22"/>
        </w:rPr>
        <w:t>e wspomnianym</w:t>
      </w:r>
      <w:r w:rsidRPr="009B78DA">
        <w:rPr>
          <w:rFonts w:ascii="Arial" w:hAnsi="Arial" w:cs="Arial"/>
          <w:color w:val="000000" w:themeColor="text1"/>
          <w:sz w:val="22"/>
          <w:szCs w:val="22"/>
        </w:rPr>
        <w:t xml:space="preserve"> układzie skośnym między Rzeszowem</w:t>
      </w:r>
      <w:r w:rsidR="0089702E"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a województwem świętokrzyskim.</w:t>
      </w:r>
    </w:p>
    <w:p w14:paraId="6A534ACB" w14:textId="52431FB4" w:rsidR="006C2782" w:rsidRPr="009B78DA" w:rsidRDefault="00AA514B" w:rsidP="00C6288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w:t>
      </w:r>
      <w:r w:rsidR="007430AA" w:rsidRPr="009B78DA">
        <w:rPr>
          <w:rFonts w:ascii="Arial" w:hAnsi="Arial" w:cs="Arial"/>
          <w:color w:val="000000" w:themeColor="text1"/>
          <w:sz w:val="22"/>
          <w:szCs w:val="22"/>
        </w:rPr>
        <w:t>opraw</w:t>
      </w:r>
      <w:r w:rsidRPr="009B78DA">
        <w:rPr>
          <w:rFonts w:ascii="Arial" w:hAnsi="Arial" w:cs="Arial"/>
          <w:color w:val="000000" w:themeColor="text1"/>
          <w:sz w:val="22"/>
          <w:szCs w:val="22"/>
        </w:rPr>
        <w:t>a</w:t>
      </w:r>
      <w:r w:rsidR="007430AA" w:rsidRPr="009B78DA">
        <w:rPr>
          <w:rFonts w:ascii="Arial" w:hAnsi="Arial" w:cs="Arial"/>
          <w:color w:val="000000" w:themeColor="text1"/>
          <w:sz w:val="22"/>
          <w:szCs w:val="22"/>
        </w:rPr>
        <w:t xml:space="preserve"> dostępności drogowej wewn</w:t>
      </w:r>
      <w:r w:rsidRPr="009B78DA">
        <w:rPr>
          <w:rFonts w:ascii="Arial" w:hAnsi="Arial" w:cs="Arial"/>
          <w:color w:val="000000" w:themeColor="text1"/>
          <w:sz w:val="22"/>
          <w:szCs w:val="22"/>
        </w:rPr>
        <w:t>ą</w:t>
      </w:r>
      <w:r w:rsidR="007430AA" w:rsidRPr="009B78DA">
        <w:rPr>
          <w:rFonts w:ascii="Arial" w:hAnsi="Arial" w:cs="Arial"/>
          <w:color w:val="000000" w:themeColor="text1"/>
          <w:sz w:val="22"/>
          <w:szCs w:val="22"/>
        </w:rPr>
        <w:t>trz MOF Tarnobrzega, możliwa będzie dzięki oddaniu do użytku budowanej obwodnicy miasta Tarnobrzega w ciągu DW</w:t>
      </w:r>
      <w:r w:rsidR="00071F04" w:rsidRPr="009B78DA">
        <w:rPr>
          <w:rFonts w:ascii="Arial" w:hAnsi="Arial" w:cs="Arial"/>
          <w:color w:val="000000" w:themeColor="text1"/>
          <w:sz w:val="22"/>
          <w:szCs w:val="22"/>
        </w:rPr>
        <w:t>871</w:t>
      </w:r>
      <w:r w:rsidR="007430AA" w:rsidRPr="009B78DA">
        <w:rPr>
          <w:rFonts w:ascii="Arial" w:hAnsi="Arial" w:cs="Arial"/>
          <w:color w:val="000000" w:themeColor="text1"/>
          <w:sz w:val="22"/>
          <w:szCs w:val="22"/>
        </w:rPr>
        <w:t xml:space="preserve"> wraz </w:t>
      </w:r>
      <w:r w:rsidRPr="009B78DA">
        <w:rPr>
          <w:rFonts w:ascii="Arial" w:hAnsi="Arial" w:cs="Arial"/>
          <w:color w:val="000000" w:themeColor="text1"/>
          <w:sz w:val="22"/>
          <w:szCs w:val="22"/>
        </w:rPr>
        <w:br/>
      </w:r>
      <w:r w:rsidR="007430AA" w:rsidRPr="009B78DA">
        <w:rPr>
          <w:rFonts w:ascii="Arial" w:hAnsi="Arial" w:cs="Arial"/>
          <w:color w:val="000000" w:themeColor="text1"/>
          <w:sz w:val="22"/>
          <w:szCs w:val="22"/>
        </w:rPr>
        <w:t>z niezbędną infrastrukturą techniczną i urządzeniami budowlanymi.</w:t>
      </w:r>
    </w:p>
    <w:p w14:paraId="5D48536E" w14:textId="3C324671" w:rsidR="00D23264" w:rsidRPr="009B78DA" w:rsidRDefault="00D23264" w:rsidP="00C6288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Rozwój dostępności komunikacyjnej kolejowej powinien przebiegać w następujących kierunkach</w:t>
      </w:r>
      <w:r w:rsidR="009E682F" w:rsidRPr="009B78DA">
        <w:rPr>
          <w:rFonts w:ascii="Arial" w:hAnsi="Arial" w:cs="Arial"/>
          <w:color w:val="000000" w:themeColor="text1"/>
          <w:sz w:val="22"/>
          <w:szCs w:val="22"/>
        </w:rPr>
        <w:t xml:space="preserve"> </w:t>
      </w:r>
      <w:bookmarkStart w:id="325" w:name="_Hlk92617213"/>
      <w:r w:rsidR="009E682F" w:rsidRPr="009B78DA">
        <w:rPr>
          <w:rFonts w:ascii="Arial" w:hAnsi="Arial" w:cs="Arial"/>
          <w:color w:val="000000" w:themeColor="text1"/>
          <w:sz w:val="22"/>
          <w:szCs w:val="22"/>
        </w:rPr>
        <w:t>– linie kolejowe nr</w:t>
      </w:r>
      <w:r w:rsidRPr="009B78DA">
        <w:rPr>
          <w:rFonts w:ascii="Arial" w:hAnsi="Arial" w:cs="Arial"/>
          <w:color w:val="000000" w:themeColor="text1"/>
          <w:sz w:val="22"/>
          <w:szCs w:val="22"/>
        </w:rPr>
        <w:t>:</w:t>
      </w:r>
      <w:bookmarkEnd w:id="325"/>
    </w:p>
    <w:p w14:paraId="3AB591B5" w14:textId="77777777" w:rsidR="00222787" w:rsidRPr="009B78DA" w:rsidRDefault="00222787" w:rsidP="00C62881">
      <w:pPr>
        <w:pStyle w:val="Akapitzlist"/>
        <w:numPr>
          <w:ilvl w:val="0"/>
          <w:numId w:val="109"/>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74 – w kierunku Stalowej Woli;</w:t>
      </w:r>
    </w:p>
    <w:p w14:paraId="62A39210" w14:textId="77777777" w:rsidR="00222787" w:rsidRPr="009B78DA" w:rsidRDefault="00222787" w:rsidP="00C62881">
      <w:pPr>
        <w:pStyle w:val="Akapitzlist"/>
        <w:numPr>
          <w:ilvl w:val="0"/>
          <w:numId w:val="109"/>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78 – w kierunku Sandomierza;</w:t>
      </w:r>
    </w:p>
    <w:p w14:paraId="38274A54" w14:textId="77777777" w:rsidR="00222787" w:rsidRPr="009B78DA" w:rsidRDefault="00222787" w:rsidP="00C62881">
      <w:pPr>
        <w:pStyle w:val="Akapitzlist"/>
        <w:numPr>
          <w:ilvl w:val="0"/>
          <w:numId w:val="109"/>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25 – stwarzająca relacje między gminami: Nowa Dęba, Baranów Sandomierski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a rdzeniem obszaru;</w:t>
      </w:r>
    </w:p>
    <w:p w14:paraId="565B3C2D" w14:textId="77777777" w:rsidR="00222787" w:rsidRPr="009B78DA" w:rsidRDefault="00222787" w:rsidP="00C62881">
      <w:pPr>
        <w:pStyle w:val="Akapitzlist"/>
        <w:numPr>
          <w:ilvl w:val="0"/>
          <w:numId w:val="109"/>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70 – w kierunku woj. świętokrzyskiego;</w:t>
      </w:r>
    </w:p>
    <w:p w14:paraId="05206504" w14:textId="77777777" w:rsidR="00222787" w:rsidRPr="009B78DA" w:rsidRDefault="00222787" w:rsidP="00C62881">
      <w:pPr>
        <w:pStyle w:val="Akapitzlist"/>
        <w:numPr>
          <w:ilvl w:val="0"/>
          <w:numId w:val="109"/>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71 – istotna pod kątem relacji wewnątrz strefy zewnętrznej obszaru funkcjonalnego, łącząca gminę Nowa Dęba z rdzeniem;</w:t>
      </w:r>
    </w:p>
    <w:p w14:paraId="46CFF5B0" w14:textId="1B316FF6" w:rsidR="008D15CC" w:rsidRPr="009B78DA" w:rsidRDefault="00222787" w:rsidP="00C62881">
      <w:pPr>
        <w:pStyle w:val="Akapitzlist"/>
        <w:numPr>
          <w:ilvl w:val="0"/>
          <w:numId w:val="109"/>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65 – fragment Linii Hutniczej Szerokotorowej na osi wschód-zachód w gminie Baranów Sandomierski</w:t>
      </w:r>
      <w:r w:rsidR="009E7EED" w:rsidRPr="009B78DA">
        <w:rPr>
          <w:rFonts w:ascii="Arial" w:hAnsi="Arial" w:cs="Arial"/>
          <w:color w:val="000000" w:themeColor="text1"/>
          <w:sz w:val="22"/>
          <w:szCs w:val="22"/>
        </w:rPr>
        <w:t>;</w:t>
      </w:r>
    </w:p>
    <w:p w14:paraId="08CB837A" w14:textId="77777777" w:rsidR="00EB5097" w:rsidRPr="009B78DA" w:rsidRDefault="00411DCD" w:rsidP="00C62881">
      <w:pPr>
        <w:pStyle w:val="Akapitzlist"/>
        <w:numPr>
          <w:ilvl w:val="0"/>
          <w:numId w:val="109"/>
        </w:numPr>
        <w:spacing w:after="0"/>
        <w:ind w:left="709" w:hanging="255"/>
        <w:rPr>
          <w:rStyle w:val="Pogrubienie"/>
          <w:rFonts w:ascii="Arial" w:hAnsi="Arial" w:cs="Arial"/>
          <w:b w:val="0"/>
          <w:bCs w:val="0"/>
          <w:color w:val="000000" w:themeColor="text1"/>
          <w:sz w:val="22"/>
          <w:szCs w:val="22"/>
        </w:rPr>
      </w:pPr>
      <w:bookmarkStart w:id="326" w:name="_Hlk76100822"/>
      <w:r w:rsidRPr="009B78DA">
        <w:rPr>
          <w:rFonts w:ascii="Arial" w:hAnsi="Arial" w:cs="Arial"/>
          <w:color w:val="000000" w:themeColor="text1"/>
          <w:sz w:val="22"/>
          <w:szCs w:val="22"/>
        </w:rPr>
        <w:t>rozwój</w:t>
      </w:r>
      <w:r w:rsidR="008D15CC" w:rsidRPr="009B78DA">
        <w:rPr>
          <w:rFonts w:ascii="Arial" w:hAnsi="Arial" w:cs="Arial"/>
          <w:color w:val="000000" w:themeColor="text1"/>
          <w:sz w:val="22"/>
          <w:szCs w:val="22"/>
        </w:rPr>
        <w:t xml:space="preserve"> kolei w ramach tzw. Czwórmiasta komunikującej północną część województwa </w:t>
      </w:r>
      <w:r w:rsidR="00A72412" w:rsidRPr="009B78DA">
        <w:rPr>
          <w:rFonts w:ascii="Arial" w:hAnsi="Arial" w:cs="Arial"/>
          <w:color w:val="000000" w:themeColor="text1"/>
          <w:sz w:val="22"/>
          <w:szCs w:val="22"/>
        </w:rPr>
        <w:t>w kierunku Kolbuszowej</w:t>
      </w:r>
      <w:r w:rsidR="00B236E4" w:rsidRPr="009B78DA">
        <w:rPr>
          <w:rFonts w:ascii="Arial" w:hAnsi="Arial" w:cs="Arial"/>
          <w:color w:val="000000" w:themeColor="text1"/>
          <w:sz w:val="22"/>
          <w:szCs w:val="22"/>
        </w:rPr>
        <w:t>, ponadto</w:t>
      </w:r>
      <w:r w:rsidR="00B226BF" w:rsidRPr="009B78DA">
        <w:rPr>
          <w:rFonts w:ascii="Arial" w:hAnsi="Arial" w:cs="Arial"/>
          <w:color w:val="000000" w:themeColor="text1"/>
          <w:sz w:val="22"/>
          <w:szCs w:val="22"/>
        </w:rPr>
        <w:t xml:space="preserve"> </w:t>
      </w:r>
      <w:r w:rsidR="008D15CC" w:rsidRPr="009B78DA">
        <w:rPr>
          <w:rFonts w:ascii="Arial" w:hAnsi="Arial" w:cs="Arial"/>
          <w:color w:val="000000" w:themeColor="text1"/>
          <w:sz w:val="22"/>
          <w:szCs w:val="22"/>
        </w:rPr>
        <w:t xml:space="preserve">z </w:t>
      </w:r>
      <w:r w:rsidR="008D15CC" w:rsidRPr="009B78DA">
        <w:rPr>
          <w:rStyle w:val="Pogrubienie"/>
          <w:rFonts w:ascii="Arial" w:eastAsiaTheme="majorEastAsia" w:hAnsi="Arial" w:cs="Arial"/>
          <w:b w:val="0"/>
          <w:bCs w:val="0"/>
          <w:color w:val="000000" w:themeColor="text1"/>
          <w:sz w:val="22"/>
          <w:szCs w:val="22"/>
        </w:rPr>
        <w:t>tzw. szprychą nr 6.</w:t>
      </w:r>
    </w:p>
    <w:p w14:paraId="5578995D" w14:textId="6CD6D58D" w:rsidR="00A12121" w:rsidRPr="009B78DA" w:rsidRDefault="00A12121" w:rsidP="00C62881">
      <w:pPr>
        <w:spacing w:after="0"/>
        <w:ind w:firstLine="709"/>
        <w:rPr>
          <w:rStyle w:val="Pogrubienie"/>
          <w:rFonts w:ascii="Arial" w:hAnsi="Arial" w:cs="Arial"/>
          <w:b w:val="0"/>
          <w:bCs w:val="0"/>
          <w:color w:val="000000" w:themeColor="text1"/>
          <w:sz w:val="22"/>
          <w:szCs w:val="22"/>
        </w:rPr>
      </w:pPr>
      <w:r w:rsidRPr="009B78DA">
        <w:rPr>
          <w:rStyle w:val="Pogrubienie"/>
          <w:rFonts w:ascii="Arial" w:hAnsi="Arial" w:cs="Arial"/>
          <w:b w:val="0"/>
          <w:bCs w:val="0"/>
          <w:color w:val="000000" w:themeColor="text1"/>
          <w:sz w:val="22"/>
          <w:szCs w:val="22"/>
        </w:rPr>
        <w:t>Ważne jest także wspieranie działań w zakresie rozwoju transportu publicznego, m.in. poprzez budowę zintegrowanego węzła przesiadkowego, integrującego różnego gałęzie transportu (kolejowego, drogowego - rozumianego jako komunikacja miejska</w:t>
      </w:r>
      <w:r w:rsidR="00EB5097" w:rsidRPr="009B78DA">
        <w:rPr>
          <w:rStyle w:val="Pogrubienie"/>
          <w:rFonts w:ascii="Arial" w:hAnsi="Arial" w:cs="Arial"/>
          <w:b w:val="0"/>
          <w:bCs w:val="0"/>
          <w:color w:val="000000" w:themeColor="text1"/>
          <w:sz w:val="22"/>
          <w:szCs w:val="22"/>
        </w:rPr>
        <w:t xml:space="preserve"> i podmiejska</w:t>
      </w:r>
      <w:r w:rsidRPr="009B78DA">
        <w:rPr>
          <w:rStyle w:val="Pogrubienie"/>
          <w:rFonts w:ascii="Arial" w:hAnsi="Arial" w:cs="Arial"/>
          <w:b w:val="0"/>
          <w:bCs w:val="0"/>
          <w:color w:val="000000" w:themeColor="text1"/>
          <w:sz w:val="22"/>
          <w:szCs w:val="22"/>
        </w:rPr>
        <w:t xml:space="preserve"> oraz alternatywnego - głównie rowerowego)</w:t>
      </w:r>
      <w:r w:rsidR="00EB5097" w:rsidRPr="009B78DA">
        <w:rPr>
          <w:rStyle w:val="Pogrubienie"/>
          <w:rFonts w:ascii="Arial" w:hAnsi="Arial" w:cs="Arial"/>
          <w:b w:val="0"/>
          <w:bCs w:val="0"/>
          <w:color w:val="000000" w:themeColor="text1"/>
          <w:sz w:val="22"/>
          <w:szCs w:val="22"/>
        </w:rPr>
        <w:t xml:space="preserve"> na terenie MOF Tarnobrzega.</w:t>
      </w:r>
    </w:p>
    <w:bookmarkEnd w:id="326"/>
    <w:p w14:paraId="35EC22C5" w14:textId="6C5A0306" w:rsidR="00222787" w:rsidRPr="009B78DA" w:rsidRDefault="00222787" w:rsidP="00C6288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Rozwój systemów transportowych miasta powinien być rozpatrywany wspólnie </w:t>
      </w:r>
      <w:r w:rsidR="00C62881">
        <w:rPr>
          <w:rFonts w:ascii="Arial" w:hAnsi="Arial" w:cs="Arial"/>
          <w:color w:val="000000" w:themeColor="text1"/>
          <w:sz w:val="22"/>
          <w:szCs w:val="22"/>
        </w:rPr>
        <w:br/>
      </w:r>
      <w:r w:rsidRPr="009B78DA">
        <w:rPr>
          <w:rFonts w:ascii="Arial" w:hAnsi="Arial" w:cs="Arial"/>
          <w:color w:val="000000" w:themeColor="text1"/>
          <w:sz w:val="22"/>
          <w:szCs w:val="22"/>
        </w:rPr>
        <w:t>z MOF Stalowa Wola</w:t>
      </w:r>
      <w:r w:rsidR="003E4832" w:rsidRPr="009B78DA">
        <w:rPr>
          <w:rFonts w:ascii="Arial" w:hAnsi="Arial" w:cs="Arial"/>
          <w:color w:val="000000" w:themeColor="text1"/>
          <w:sz w:val="22"/>
          <w:szCs w:val="22"/>
        </w:rPr>
        <w:t xml:space="preserve"> oraz z miastem Sandomierzem.</w:t>
      </w:r>
    </w:p>
    <w:p w14:paraId="57B7F327" w14:textId="37A27BFC" w:rsidR="006E035D" w:rsidRPr="009B78DA" w:rsidRDefault="006E035D" w:rsidP="00C62881">
      <w:pPr>
        <w:pStyle w:val="Legenda"/>
        <w:keepNext/>
        <w:spacing w:after="120"/>
        <w:rPr>
          <w:rFonts w:ascii="Arial" w:hAnsi="Arial" w:cs="Arial"/>
          <w:i w:val="0"/>
          <w:color w:val="000000" w:themeColor="text1"/>
          <w:sz w:val="22"/>
          <w:szCs w:val="22"/>
        </w:rPr>
      </w:pPr>
      <w:bookmarkStart w:id="327" w:name="_Toc146785697"/>
      <w:bookmarkStart w:id="328" w:name="_Hlk75263514"/>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Proponowane kierunki rozwoju sieci transportowej w obszarze funkcjonalnym Tarnobrzega</w:t>
      </w:r>
      <w:bookmarkEnd w:id="327"/>
    </w:p>
    <w:p w14:paraId="4AF0D56A" w14:textId="7DCD605A" w:rsidR="00222787" w:rsidRPr="009B78DA" w:rsidRDefault="00F95E5B" w:rsidP="008840E5">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7F9C621" wp14:editId="44AE7D82">
            <wp:extent cx="5810850" cy="7176067"/>
            <wp:effectExtent l="0" t="0" r="0" b="6350"/>
            <wp:docPr id="57" name="Obraz 57" descr="Obszar zaznaczony kolorem ciemno szarym rdzeń obszaru funkcjonalnego Tarnobrzeg, Następnie kolorem jasno szarym gminy strefy zewnętrznej obszaru funkcjonalnego. Od góry Gorzyce, Grębów, Baranów Sandomierski, Nowa Dęba. Na czerwono drogi krajowe 9, 77. Na żółto drogi wojewódzkie 854, 723, 758, 871, 985, 872. Przerywaną biało czarna linia linie kolejowe 25, 78, 74, 71 i LHS - Linia Hutnicza Szerokotorowa. Zaznaczono również drogi powiatowe jasno szara linią. Zaznaczono planowaną drogę ekspresową na północy miedzy Gorzycami a Tarnobrzegiem oraz wskazano powiązania komunikacyjne wymagające wzmocnienia Warszawa, Lublin, Stalowa Wola, Rzeszów, Mielec, Dębica, Województwo Świętokrzyskie " title="Rysunek 68 Proponowane kierunki rozwoju sieci transportowej w obszarze funkcjonalnym Tarnobrz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MOF_Tarnobrzeg.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821860" cy="7189664"/>
                    </a:xfrm>
                    <a:prstGeom prst="rect">
                      <a:avLst/>
                    </a:prstGeom>
                  </pic:spPr>
                </pic:pic>
              </a:graphicData>
            </a:graphic>
          </wp:inline>
        </w:drawing>
      </w:r>
    </w:p>
    <w:p w14:paraId="462FA37F" w14:textId="5349841D" w:rsidR="00D23264" w:rsidRPr="00C62881" w:rsidRDefault="005951EF" w:rsidP="00C62881">
      <w:pPr>
        <w:spacing w:after="120" w:line="276" w:lineRule="auto"/>
        <w:rPr>
          <w:rFonts w:ascii="Arial" w:hAnsi="Arial" w:cs="Arial"/>
          <w:color w:val="000000" w:themeColor="text1"/>
          <w:sz w:val="22"/>
          <w:szCs w:val="22"/>
        </w:rPr>
      </w:pPr>
      <w:bookmarkStart w:id="329" w:name="_Hlk76100853"/>
      <w:bookmarkEnd w:id="328"/>
      <w:r w:rsidRPr="009B78DA">
        <w:rPr>
          <w:rFonts w:ascii="Arial" w:hAnsi="Arial" w:cs="Arial"/>
          <w:color w:val="000000" w:themeColor="text1"/>
          <w:sz w:val="22"/>
          <w:szCs w:val="22"/>
        </w:rPr>
        <w:t xml:space="preserve">Źródło: </w:t>
      </w:r>
      <w:r w:rsidR="00911B88" w:rsidRPr="009B78DA">
        <w:rPr>
          <w:rFonts w:ascii="Arial" w:hAnsi="Arial" w:cs="Arial"/>
          <w:color w:val="000000" w:themeColor="text1"/>
          <w:sz w:val="22"/>
          <w:szCs w:val="22"/>
        </w:rPr>
        <w:t>Opracowanie własne.</w:t>
      </w:r>
    </w:p>
    <w:p w14:paraId="2CA02664" w14:textId="77777777" w:rsidR="00222787" w:rsidRPr="009B78DA" w:rsidRDefault="00222787" w:rsidP="00C62881">
      <w:pPr>
        <w:spacing w:after="0" w:line="276"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Ob</w:t>
      </w:r>
      <w:r w:rsidR="003E4832" w:rsidRPr="009B78DA">
        <w:rPr>
          <w:rFonts w:ascii="Arial" w:hAnsi="Arial" w:cs="Arial"/>
          <w:b/>
          <w:i/>
          <w:color w:val="000000" w:themeColor="text1"/>
          <w:sz w:val="22"/>
          <w:szCs w:val="22"/>
          <w:u w:val="single"/>
        </w:rPr>
        <w:t>szar Funkcjonalny Stalowej Woli</w:t>
      </w:r>
    </w:p>
    <w:bookmarkEnd w:id="329"/>
    <w:p w14:paraId="16ED8958" w14:textId="77777777" w:rsidR="00D23264" w:rsidRPr="009B78DA" w:rsidRDefault="00222787" w:rsidP="00C6288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Obszar funkcjonalny Stalowej Woli ze względu na przemysłowy charakter oraz atrakcyjniejszy względem Tarnobrzega rynek pracy generuje relacje komunikacyjne.</w:t>
      </w:r>
    </w:p>
    <w:p w14:paraId="31BAC598" w14:textId="77777777" w:rsidR="00222787" w:rsidRPr="009B78DA" w:rsidRDefault="00D23264" w:rsidP="00C6288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Rozwój dostępności komunikacyjnej powinien przebiegać w następujących kierunkach:</w:t>
      </w:r>
    </w:p>
    <w:p w14:paraId="653B1CC7" w14:textId="77777777" w:rsidR="00222787" w:rsidRPr="009B78DA" w:rsidRDefault="00222787" w:rsidP="00C62881">
      <w:pPr>
        <w:pStyle w:val="Akapitzlist"/>
        <w:numPr>
          <w:ilvl w:val="0"/>
          <w:numId w:val="110"/>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DK19 – relacji Rzeszów – Lublin, ułatwiająca wewnętrzną i zewnętrzną komunikację obszaru;</w:t>
      </w:r>
    </w:p>
    <w:p w14:paraId="27CBDFDA" w14:textId="77777777" w:rsidR="00222787" w:rsidRPr="009B78DA" w:rsidRDefault="00222787" w:rsidP="00C62881">
      <w:pPr>
        <w:pStyle w:val="Akapitzlist"/>
        <w:numPr>
          <w:ilvl w:val="0"/>
          <w:numId w:val="110"/>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DK77 – łącząca Sandomierz z Leżajskiem i Jarosławiem, przechodząca przez gminy strefy zewnętrznej obszaru funkcjonalnego z wyjątkiem gminy Pysznica, bardzo istotna w kontekście połączenia z rdzeniem</w:t>
      </w:r>
      <w:r w:rsidR="003E4832"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oraz drogi wojewódzkie:</w:t>
      </w:r>
    </w:p>
    <w:p w14:paraId="535774B4" w14:textId="77777777" w:rsidR="00222787" w:rsidRPr="009B78DA" w:rsidRDefault="00222787" w:rsidP="00C62881">
      <w:pPr>
        <w:pStyle w:val="Akapitzlist"/>
        <w:numPr>
          <w:ilvl w:val="0"/>
          <w:numId w:val="110"/>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DW871 – ułatwiająca przepływ pasażerów pomiędzy Stalową Wolą a Tarnobrzegiem;</w:t>
      </w:r>
    </w:p>
    <w:p w14:paraId="5D24F44E" w14:textId="77777777" w:rsidR="00222787" w:rsidRPr="009B78DA" w:rsidRDefault="00222787" w:rsidP="00C62881">
      <w:pPr>
        <w:pStyle w:val="Akapitzlist"/>
        <w:numPr>
          <w:ilvl w:val="0"/>
          <w:numId w:val="110"/>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DW872 – w kierunku zachodnim od Niska;</w:t>
      </w:r>
    </w:p>
    <w:p w14:paraId="6DBD4926" w14:textId="77777777" w:rsidR="00222787" w:rsidRPr="009B78DA" w:rsidRDefault="00222787" w:rsidP="00C62881">
      <w:pPr>
        <w:pStyle w:val="Akapitzlist"/>
        <w:numPr>
          <w:ilvl w:val="0"/>
          <w:numId w:val="110"/>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DW858 – w kierunku Biłgoraja;</w:t>
      </w:r>
    </w:p>
    <w:p w14:paraId="11AC1777" w14:textId="77777777" w:rsidR="00222787" w:rsidRPr="009B78DA" w:rsidRDefault="00222787" w:rsidP="00C62881">
      <w:pPr>
        <w:pStyle w:val="Akapitzlist"/>
        <w:numPr>
          <w:ilvl w:val="0"/>
          <w:numId w:val="110"/>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DW855 – w kierunku Lublina.</w:t>
      </w:r>
    </w:p>
    <w:p w14:paraId="14A200FC" w14:textId="73FC2106" w:rsidR="00F95E5B" w:rsidRPr="00C62881" w:rsidRDefault="00222787" w:rsidP="00C62881">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Przez teren MOF Stalowa Wola przebiega droga ekspresowa S19 z węzłami Rudnik</w:t>
      </w:r>
      <w:r w:rsidR="003A2335" w:rsidRPr="009B78DA">
        <w:rPr>
          <w:rFonts w:ascii="Arial" w:hAnsi="Arial" w:cs="Arial"/>
          <w:color w:val="000000" w:themeColor="text1"/>
          <w:sz w:val="22"/>
          <w:szCs w:val="22"/>
        </w:rPr>
        <w:t xml:space="preserve"> </w:t>
      </w:r>
      <w:bookmarkStart w:id="330" w:name="_Hlk75263520"/>
      <w:r w:rsidR="00C62881">
        <w:rPr>
          <w:rFonts w:ascii="Arial" w:hAnsi="Arial" w:cs="Arial"/>
          <w:color w:val="000000" w:themeColor="text1"/>
          <w:sz w:val="22"/>
          <w:szCs w:val="22"/>
        </w:rPr>
        <w:br/>
        <w:t>i Nisko Południe.</w:t>
      </w:r>
    </w:p>
    <w:p w14:paraId="488C023C" w14:textId="07FDBC6B" w:rsidR="006E035D" w:rsidRPr="009B78DA" w:rsidRDefault="006E035D" w:rsidP="00C62881">
      <w:pPr>
        <w:pStyle w:val="Legenda"/>
        <w:keepNext/>
        <w:spacing w:after="120"/>
        <w:rPr>
          <w:rFonts w:ascii="Arial" w:hAnsi="Arial" w:cs="Arial"/>
          <w:i w:val="0"/>
          <w:color w:val="000000" w:themeColor="text1"/>
          <w:sz w:val="22"/>
          <w:szCs w:val="22"/>
        </w:rPr>
      </w:pPr>
      <w:bookmarkStart w:id="331" w:name="_Toc146785698"/>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69</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Proponowane kierunki rozwoju sieci transportowej w obszarze funkcjonalnym Stalowej Woli</w:t>
      </w:r>
      <w:bookmarkEnd w:id="331"/>
    </w:p>
    <w:p w14:paraId="260C8C3B" w14:textId="77777777" w:rsidR="00222787" w:rsidRPr="009B78DA" w:rsidRDefault="00F95E5B" w:rsidP="008840E5">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37CDDA2C" wp14:editId="09862490">
            <wp:extent cx="5731413" cy="6062345"/>
            <wp:effectExtent l="0" t="0" r="3175" b="0"/>
            <wp:docPr id="58" name="Obraz 58" descr="Obszar zaznaczony kolorem ciemno szarym rdzeń obszaru funkcjonalnego Stalowa Wola. Następnie kolorem jasno szarym gminy strefy zewnętrznej obszaru funkcjonalnego. Od góry Zaleszany, Pysznica, Nisko. Ponadto na czerwono została oznaczona droga ekspresowa S19 z węzłami w realizacji. Na czerwono drogi krajowe 77, 19. Na żółto drogi wojewódzkie 871, 855, 872. Przerywaną biało czarna linia linie kolejowe 74, 68, 66 i LHS - Linia Hutnicza Szerokotorowa. Zaznaczono również drogi powiatowe jasno szara linią. Zaznaczono planowaną drogę ekspresową na północy miedzy Zaleszany, Pysznica, Nisko oraz wskazano powiązania komunikacyjne wymagające wzmocnienia Sandomierz, Warszawa, Lublin, Biłgoraj, Jarosław, Przemyśl, Rzeszów, Tarnobrzeg" title="Rysunek 69 Proponowane kierunki rozwoju sieci transportowej w obszarze funkcjonalnym Stalowej W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MOF_Stalowa_Wola.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734358" cy="6065460"/>
                    </a:xfrm>
                    <a:prstGeom prst="rect">
                      <a:avLst/>
                    </a:prstGeom>
                  </pic:spPr>
                </pic:pic>
              </a:graphicData>
            </a:graphic>
          </wp:inline>
        </w:drawing>
      </w:r>
    </w:p>
    <w:bookmarkEnd w:id="330"/>
    <w:p w14:paraId="2FD11AAE" w14:textId="0CC94786" w:rsidR="005951EF" w:rsidRPr="009B78DA" w:rsidRDefault="005951EF" w:rsidP="00E75C38">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911B88" w:rsidRPr="009B78DA">
        <w:rPr>
          <w:rFonts w:ascii="Arial" w:hAnsi="Arial" w:cs="Arial"/>
          <w:color w:val="000000" w:themeColor="text1"/>
          <w:sz w:val="22"/>
          <w:szCs w:val="22"/>
        </w:rPr>
        <w:t>Opracowanie własne.</w:t>
      </w:r>
    </w:p>
    <w:p w14:paraId="6B4DFC53" w14:textId="6AAD95F6" w:rsidR="003343BF" w:rsidRPr="009B78DA" w:rsidRDefault="00107163" w:rsidP="00E75C38">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MOF Stalowa Wola kluczowym wąskim gardłem na sieci drogowej</w:t>
      </w:r>
      <w:r w:rsidR="00594CB9" w:rsidRPr="009B78DA">
        <w:rPr>
          <w:rFonts w:ascii="Arial" w:hAnsi="Arial" w:cs="Arial"/>
          <w:color w:val="000000" w:themeColor="text1"/>
          <w:sz w:val="22"/>
          <w:szCs w:val="22"/>
        </w:rPr>
        <w:t xml:space="preserve"> </w:t>
      </w:r>
      <w:r w:rsidR="003A0D24" w:rsidRPr="009B78DA">
        <w:rPr>
          <w:rFonts w:ascii="Arial" w:hAnsi="Arial" w:cs="Arial"/>
          <w:color w:val="000000" w:themeColor="text1"/>
          <w:sz w:val="22"/>
          <w:szCs w:val="22"/>
        </w:rPr>
        <w:t>był</w:t>
      </w:r>
      <w:r w:rsidRPr="009B78DA">
        <w:rPr>
          <w:rFonts w:ascii="Arial" w:hAnsi="Arial" w:cs="Arial"/>
          <w:color w:val="000000" w:themeColor="text1"/>
          <w:sz w:val="22"/>
          <w:szCs w:val="22"/>
        </w:rPr>
        <w:t xml:space="preserve"> przejazd przez Stalową Wolę i Nisko w ciągu DK77</w:t>
      </w:r>
      <w:r w:rsidR="003343BF" w:rsidRPr="009B78DA">
        <w:rPr>
          <w:rFonts w:ascii="Arial" w:hAnsi="Arial" w:cs="Arial"/>
          <w:color w:val="000000" w:themeColor="text1"/>
          <w:sz w:val="22"/>
          <w:szCs w:val="22"/>
        </w:rPr>
        <w:t xml:space="preserve"> i duży ruch </w:t>
      </w:r>
      <w:r w:rsidR="003A0D24" w:rsidRPr="009B78DA">
        <w:rPr>
          <w:rFonts w:ascii="Arial" w:hAnsi="Arial" w:cs="Arial"/>
          <w:color w:val="000000" w:themeColor="text1"/>
          <w:sz w:val="22"/>
          <w:szCs w:val="22"/>
        </w:rPr>
        <w:t xml:space="preserve">w kierunku </w:t>
      </w:r>
      <w:r w:rsidR="003343BF" w:rsidRPr="009B78DA">
        <w:rPr>
          <w:rFonts w:ascii="Arial" w:hAnsi="Arial" w:cs="Arial"/>
          <w:color w:val="000000" w:themeColor="text1"/>
          <w:sz w:val="22"/>
          <w:szCs w:val="22"/>
        </w:rPr>
        <w:t>Tarnobrzega czy Sandomierza. Inwestycją, która znacznie poprawiła płynność ruchu drogowego na tym kierunku, było</w:t>
      </w:r>
      <w:r w:rsidR="003A0D24" w:rsidRPr="009B78DA">
        <w:rPr>
          <w:rFonts w:ascii="Arial" w:hAnsi="Arial" w:cs="Arial"/>
          <w:color w:val="000000" w:themeColor="text1"/>
          <w:sz w:val="22"/>
          <w:szCs w:val="22"/>
        </w:rPr>
        <w:t xml:space="preserve"> ukończeni</w:t>
      </w:r>
      <w:r w:rsidR="00AA514B" w:rsidRPr="009B78DA">
        <w:rPr>
          <w:rFonts w:ascii="Arial" w:hAnsi="Arial" w:cs="Arial"/>
          <w:color w:val="000000" w:themeColor="text1"/>
          <w:sz w:val="22"/>
          <w:szCs w:val="22"/>
        </w:rPr>
        <w:t>e</w:t>
      </w:r>
      <w:r w:rsidR="003A0D24" w:rsidRPr="009B78DA">
        <w:rPr>
          <w:rFonts w:ascii="Arial" w:hAnsi="Arial" w:cs="Arial"/>
          <w:color w:val="000000" w:themeColor="text1"/>
          <w:sz w:val="22"/>
          <w:szCs w:val="22"/>
        </w:rPr>
        <w:t xml:space="preserve"> obwodnicy Stalowej Woli i Niska w ciągu wskazanej </w:t>
      </w:r>
      <w:r w:rsidR="003343BF" w:rsidRPr="009B78DA">
        <w:rPr>
          <w:rFonts w:ascii="Arial" w:hAnsi="Arial" w:cs="Arial"/>
          <w:color w:val="000000" w:themeColor="text1"/>
          <w:sz w:val="22"/>
          <w:szCs w:val="22"/>
        </w:rPr>
        <w:t xml:space="preserve">DK77. Istotną rolę </w:t>
      </w:r>
      <w:r w:rsidR="00E22AEB" w:rsidRPr="009B78DA">
        <w:rPr>
          <w:rFonts w:ascii="Arial" w:hAnsi="Arial" w:cs="Arial"/>
          <w:color w:val="000000" w:themeColor="text1"/>
          <w:sz w:val="22"/>
          <w:szCs w:val="22"/>
        </w:rPr>
        <w:t xml:space="preserve">w zakresie poprawy drogowej dostępności komunikacyjnej </w:t>
      </w:r>
      <w:r w:rsidR="003343BF" w:rsidRPr="009B78DA">
        <w:rPr>
          <w:rFonts w:ascii="Arial" w:hAnsi="Arial" w:cs="Arial"/>
          <w:color w:val="000000" w:themeColor="text1"/>
          <w:sz w:val="22"/>
          <w:szCs w:val="22"/>
        </w:rPr>
        <w:t xml:space="preserve">będzie mieć także </w:t>
      </w:r>
      <w:r w:rsidRPr="009B78DA">
        <w:rPr>
          <w:rFonts w:ascii="Arial" w:hAnsi="Arial" w:cs="Arial"/>
          <w:color w:val="000000" w:themeColor="text1"/>
          <w:sz w:val="22"/>
          <w:szCs w:val="22"/>
        </w:rPr>
        <w:t>realizacj</w:t>
      </w:r>
      <w:r w:rsidR="003A0D24"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drogi ekspresowej S19 z Rzeszowa do Lublina</w:t>
      </w:r>
      <w:r w:rsidR="00E75C38">
        <w:rPr>
          <w:rFonts w:ascii="Arial" w:hAnsi="Arial" w:cs="Arial"/>
          <w:color w:val="000000" w:themeColor="text1"/>
          <w:sz w:val="22"/>
          <w:szCs w:val="22"/>
        </w:rPr>
        <w:t>.</w:t>
      </w:r>
    </w:p>
    <w:p w14:paraId="528DAFF9" w14:textId="08D4EB27" w:rsidR="00107163" w:rsidRPr="009B78DA" w:rsidRDefault="00107163" w:rsidP="00E75C38">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układzie dróg wojewódzkich nr 855 i 871, dojazd do Stalowej Woli został znacznie poprawiony w wyniku przeprowadzonych inwestycji.</w:t>
      </w:r>
    </w:p>
    <w:p w14:paraId="20A4D1E7" w14:textId="205EE000" w:rsidR="00107163" w:rsidRPr="009B78DA" w:rsidRDefault="00107163" w:rsidP="00E75C38">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Na terenie obszaru funkcjonalnego Stalowa Wola funkcjonuje czterokierunkowy węzeł kolejowy. Na północy krzyżują się linie 74 (istotna dla gminy Zaleszany) oraz 68 (łącząca gminy strefy zewnętrznej obszaru z wyjątkiem gminy Pysznica). Przez gminę Nisko przechodzi także linia kolejowa nr 66 oraz 65 – fragment Linii Hutniczej Szerokotorowej </w:t>
      </w:r>
      <w:r w:rsidR="00E75C38">
        <w:rPr>
          <w:rFonts w:ascii="Arial" w:hAnsi="Arial" w:cs="Arial"/>
          <w:color w:val="000000" w:themeColor="text1"/>
          <w:sz w:val="22"/>
          <w:szCs w:val="22"/>
        </w:rPr>
        <w:br/>
      </w:r>
      <w:r w:rsidRPr="009B78DA">
        <w:rPr>
          <w:rFonts w:ascii="Arial" w:hAnsi="Arial" w:cs="Arial"/>
          <w:color w:val="000000" w:themeColor="text1"/>
          <w:sz w:val="22"/>
          <w:szCs w:val="22"/>
        </w:rPr>
        <w:t>w układzie równoleżnikowym</w:t>
      </w:r>
      <w:r w:rsidR="00FE774E" w:rsidRPr="009B78DA">
        <w:rPr>
          <w:rStyle w:val="Odwoaniedokomentarza"/>
          <w:color w:val="000000" w:themeColor="text1"/>
        </w:rPr>
        <w:t>.</w:t>
      </w:r>
    </w:p>
    <w:p w14:paraId="6AA301BA" w14:textId="72C42D79" w:rsidR="0034087A" w:rsidRPr="009B78DA" w:rsidRDefault="0034087A" w:rsidP="00E75C38">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 uwagi na rozbudowany wewnętrzny układ sieci komunikacyjnej MOF Stalowej Woli, na terenie którego zbiegają się strategiczne szlaki drogowe i kolejowe, stwarza on możliwości rozwoju transportu intermodalnego. Stąd istotne jest wspieranie działań </w:t>
      </w:r>
      <w:r w:rsidR="00E75C38">
        <w:rPr>
          <w:rFonts w:ascii="Arial" w:hAnsi="Arial" w:cs="Arial"/>
          <w:color w:val="000000" w:themeColor="text1"/>
          <w:sz w:val="22"/>
          <w:szCs w:val="22"/>
        </w:rPr>
        <w:br/>
      </w:r>
      <w:r w:rsidRPr="009B78DA">
        <w:rPr>
          <w:rFonts w:ascii="Arial" w:hAnsi="Arial" w:cs="Arial"/>
          <w:color w:val="000000" w:themeColor="text1"/>
          <w:sz w:val="22"/>
          <w:szCs w:val="22"/>
        </w:rPr>
        <w:t>w zakresie budowy terminali przeładunkowych, zintegrowanych z liniami kolejowymi (terminale LHS w Nowosielcu i Hucie Deręgowskiej) oraz budowy dogodnych połączeń drogowych, komunikujących je m.in. z drogą ekspresową S19.</w:t>
      </w:r>
    </w:p>
    <w:p w14:paraId="060D7BA0" w14:textId="17A071CD" w:rsidR="009E682F" w:rsidRPr="00E75C38" w:rsidRDefault="00107163" w:rsidP="00E75C38">
      <w:pPr>
        <w:spacing w:after="120" w:line="288" w:lineRule="auto"/>
        <w:ind w:firstLine="709"/>
        <w:rPr>
          <w:rFonts w:ascii="Arial" w:hAnsi="Arial" w:cs="Arial"/>
          <w:color w:val="000000" w:themeColor="text1"/>
          <w:sz w:val="22"/>
          <w:szCs w:val="22"/>
        </w:rPr>
      </w:pPr>
      <w:bookmarkStart w:id="332" w:name="_Hlk76100885"/>
      <w:r w:rsidRPr="009B78DA">
        <w:rPr>
          <w:rFonts w:ascii="Arial" w:hAnsi="Arial" w:cs="Arial"/>
          <w:color w:val="000000" w:themeColor="text1"/>
          <w:sz w:val="22"/>
          <w:szCs w:val="22"/>
        </w:rPr>
        <w:t>Układ kolejowy na terenie MOF wymaga poprawy w kontekście połączeń w ramach tzw. Czwórmiasta</w:t>
      </w:r>
      <w:r w:rsidR="00EF1817"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komunikujący północną część województwa </w:t>
      </w:r>
      <w:r w:rsidR="00EF1817" w:rsidRPr="009B78DA">
        <w:rPr>
          <w:rFonts w:ascii="Arial" w:hAnsi="Arial" w:cs="Arial"/>
          <w:color w:val="000000" w:themeColor="text1"/>
          <w:sz w:val="22"/>
          <w:szCs w:val="22"/>
        </w:rPr>
        <w:t xml:space="preserve">w </w:t>
      </w:r>
      <w:r w:rsidR="00B236E4" w:rsidRPr="009B78DA">
        <w:rPr>
          <w:rFonts w:ascii="Arial" w:hAnsi="Arial" w:cs="Arial"/>
          <w:color w:val="000000" w:themeColor="text1"/>
          <w:sz w:val="22"/>
          <w:szCs w:val="22"/>
        </w:rPr>
        <w:t xml:space="preserve">kierunku Kolbuszowej, ponadto z </w:t>
      </w:r>
      <w:r w:rsidR="00B236E4" w:rsidRPr="009B78DA">
        <w:rPr>
          <w:rStyle w:val="Pogrubienie"/>
          <w:rFonts w:ascii="Arial" w:eastAsiaTheme="majorEastAsia" w:hAnsi="Arial" w:cs="Arial"/>
          <w:b w:val="0"/>
          <w:bCs w:val="0"/>
          <w:color w:val="000000" w:themeColor="text1"/>
          <w:sz w:val="22"/>
          <w:szCs w:val="22"/>
        </w:rPr>
        <w:t>tzw. szprychą nr 6.</w:t>
      </w:r>
      <w:r w:rsidRPr="009B78DA">
        <w:rPr>
          <w:rFonts w:ascii="Arial" w:hAnsi="Arial" w:cs="Arial"/>
          <w:color w:val="000000" w:themeColor="text1"/>
          <w:sz w:val="22"/>
          <w:szCs w:val="22"/>
        </w:rPr>
        <w:t xml:space="preserve"> Pozwoli to na poprawę dostępności zewnętrznej zarówno Stalowej Woli, jak też całego regionu</w:t>
      </w:r>
      <w:r w:rsidR="009E682F" w:rsidRPr="009B78DA">
        <w:rPr>
          <w:rFonts w:ascii="Arial" w:hAnsi="Arial" w:cs="Arial"/>
          <w:color w:val="000000" w:themeColor="text1"/>
          <w:sz w:val="22"/>
          <w:szCs w:val="22"/>
        </w:rPr>
        <w:t xml:space="preserve">. </w:t>
      </w:r>
      <w:bookmarkStart w:id="333" w:name="_Hlk92617323"/>
      <w:r w:rsidR="009E682F" w:rsidRPr="009B78DA">
        <w:rPr>
          <w:rFonts w:ascii="Arial" w:hAnsi="Arial" w:cs="Arial"/>
          <w:color w:val="000000" w:themeColor="text1"/>
          <w:sz w:val="22"/>
          <w:szCs w:val="22"/>
        </w:rPr>
        <w:t>Czwórmiast</w:t>
      </w:r>
      <w:r w:rsidR="0089702E" w:rsidRPr="009B78DA">
        <w:rPr>
          <w:rFonts w:ascii="Arial" w:hAnsi="Arial" w:cs="Arial"/>
          <w:color w:val="000000" w:themeColor="text1"/>
          <w:sz w:val="22"/>
          <w:szCs w:val="22"/>
        </w:rPr>
        <w:t>o</w:t>
      </w:r>
      <w:r w:rsidR="009E682F" w:rsidRPr="009B78DA">
        <w:rPr>
          <w:rFonts w:ascii="Arial" w:hAnsi="Arial" w:cs="Arial"/>
          <w:color w:val="000000" w:themeColor="text1"/>
          <w:sz w:val="22"/>
          <w:szCs w:val="22"/>
        </w:rPr>
        <w:t xml:space="preserve"> to obszar intensywnego rozwoju gospodarczego, stąd konieczna jest budowa bocznic kolejowych i dróg do stref koncentracji działalności gospodarczej.</w:t>
      </w:r>
      <w:bookmarkEnd w:id="332"/>
      <w:bookmarkEnd w:id="333"/>
    </w:p>
    <w:p w14:paraId="3CCE7DA5" w14:textId="557DAF24" w:rsidR="00222787" w:rsidRPr="009B78DA" w:rsidRDefault="003E4832" w:rsidP="00E75C38">
      <w:pPr>
        <w:spacing w:after="0" w:line="288"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Obszar Funkcjonalny Lubaczowa</w:t>
      </w:r>
    </w:p>
    <w:p w14:paraId="58B6E819" w14:textId="77777777" w:rsidR="00D23264" w:rsidRPr="009B78DA" w:rsidRDefault="00D23264" w:rsidP="00E75C38">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Rozwój dostępności komunikacyjnej powinien przebiegać w następujących kierunkach:</w:t>
      </w:r>
    </w:p>
    <w:p w14:paraId="7BF2FA05" w14:textId="77777777" w:rsidR="00222787" w:rsidRPr="009B78DA" w:rsidRDefault="00222787" w:rsidP="00E75C38">
      <w:pPr>
        <w:pStyle w:val="Akapitzlist"/>
        <w:numPr>
          <w:ilvl w:val="0"/>
          <w:numId w:val="111"/>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DW866 – przebiegająca z północy w kierunku przejścia gran</w:t>
      </w:r>
      <w:r w:rsidR="00CC51BA" w:rsidRPr="009B78DA">
        <w:rPr>
          <w:rFonts w:ascii="Arial" w:hAnsi="Arial" w:cs="Arial"/>
          <w:color w:val="000000" w:themeColor="text1"/>
          <w:sz w:val="22"/>
          <w:szCs w:val="22"/>
        </w:rPr>
        <w:t xml:space="preserve">icznego z Ukrainą </w:t>
      </w:r>
      <w:r w:rsidR="00D9484D" w:rsidRPr="009B78DA">
        <w:rPr>
          <w:rFonts w:ascii="Arial" w:hAnsi="Arial" w:cs="Arial"/>
          <w:color w:val="000000" w:themeColor="text1"/>
          <w:sz w:val="22"/>
          <w:szCs w:val="22"/>
        </w:rPr>
        <w:br/>
      </w:r>
      <w:r w:rsidR="00CC51BA" w:rsidRPr="009B78DA">
        <w:rPr>
          <w:rFonts w:ascii="Arial" w:hAnsi="Arial" w:cs="Arial"/>
          <w:color w:val="000000" w:themeColor="text1"/>
          <w:sz w:val="22"/>
          <w:szCs w:val="22"/>
        </w:rPr>
        <w:t>w Budomierzu;</w:t>
      </w:r>
    </w:p>
    <w:p w14:paraId="336E8415" w14:textId="77777777" w:rsidR="00222787" w:rsidRPr="009B78DA" w:rsidRDefault="00222787" w:rsidP="00E75C38">
      <w:pPr>
        <w:pStyle w:val="Akapitzlist"/>
        <w:numPr>
          <w:ilvl w:val="0"/>
          <w:numId w:val="111"/>
        </w:numPr>
        <w:spacing w:after="0" w:line="288"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DW867 – łącząca gmi</w:t>
      </w:r>
      <w:r w:rsidR="00CC51BA" w:rsidRPr="009B78DA">
        <w:rPr>
          <w:rFonts w:ascii="Arial" w:hAnsi="Arial" w:cs="Arial"/>
          <w:color w:val="000000" w:themeColor="text1"/>
          <w:sz w:val="22"/>
          <w:szCs w:val="22"/>
        </w:rPr>
        <w:t>nę Horyniec Zdrój z Lubaczowem.</w:t>
      </w:r>
    </w:p>
    <w:p w14:paraId="4507D402" w14:textId="370BDE3E" w:rsidR="00C27E1F" w:rsidRPr="009B78DA" w:rsidRDefault="00222787" w:rsidP="00E75C38">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Niska jakość oraz przepustowość </w:t>
      </w:r>
      <w:r w:rsidR="00D07C5E" w:rsidRPr="009B78DA">
        <w:rPr>
          <w:rFonts w:ascii="Arial" w:hAnsi="Arial" w:cs="Arial"/>
          <w:color w:val="000000" w:themeColor="text1"/>
          <w:sz w:val="22"/>
          <w:szCs w:val="22"/>
        </w:rPr>
        <w:t>DW</w:t>
      </w:r>
      <w:r w:rsidRPr="009B78DA">
        <w:rPr>
          <w:rFonts w:ascii="Arial" w:hAnsi="Arial" w:cs="Arial"/>
          <w:color w:val="000000" w:themeColor="text1"/>
          <w:sz w:val="22"/>
          <w:szCs w:val="22"/>
        </w:rPr>
        <w:t>865, powoduj</w:t>
      </w:r>
      <w:r w:rsidR="00D07C5E"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oderwanie komunikacyjne Lubaczowa</w:t>
      </w:r>
      <w:r w:rsidR="00CC51BA" w:rsidRPr="009B78DA">
        <w:rPr>
          <w:rFonts w:ascii="Arial" w:hAnsi="Arial" w:cs="Arial"/>
          <w:color w:val="000000" w:themeColor="text1"/>
          <w:sz w:val="22"/>
          <w:szCs w:val="22"/>
        </w:rPr>
        <w:t xml:space="preserve"> i jego obszaru funkcjonalnego.</w:t>
      </w:r>
      <w:bookmarkStart w:id="334" w:name="_Hlk75263526"/>
    </w:p>
    <w:p w14:paraId="2F8A0B71" w14:textId="7F0CC05B" w:rsidR="009E682F" w:rsidRPr="009B78DA" w:rsidRDefault="009E682F" w:rsidP="00E75C38">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Bardzo ważna jest realizacja zadania inwestycyjnego dla całego obszaru MOF</w:t>
      </w:r>
      <w:r w:rsidR="00D07C5E" w:rsidRPr="009B78DA">
        <w:rPr>
          <w:rFonts w:ascii="Arial" w:hAnsi="Arial" w:cs="Arial"/>
          <w:color w:val="000000" w:themeColor="text1"/>
          <w:sz w:val="22"/>
          <w:szCs w:val="22"/>
        </w:rPr>
        <w:t>, jakim jest</w:t>
      </w:r>
      <w:r w:rsidRPr="009B78DA">
        <w:rPr>
          <w:rFonts w:ascii="Arial" w:hAnsi="Arial" w:cs="Arial"/>
          <w:color w:val="000000" w:themeColor="text1"/>
          <w:sz w:val="22"/>
          <w:szCs w:val="22"/>
        </w:rPr>
        <w:t xml:space="preserve"> </w:t>
      </w:r>
      <w:r w:rsidR="00D07C5E" w:rsidRPr="009B78DA">
        <w:rPr>
          <w:rFonts w:ascii="Arial" w:hAnsi="Arial" w:cs="Arial"/>
          <w:color w:val="000000" w:themeColor="text1"/>
          <w:sz w:val="22"/>
          <w:szCs w:val="22"/>
        </w:rPr>
        <w:t>r</w:t>
      </w:r>
      <w:r w:rsidRPr="009B78DA">
        <w:rPr>
          <w:rFonts w:ascii="Arial" w:hAnsi="Arial" w:cs="Arial"/>
          <w:color w:val="000000" w:themeColor="text1"/>
          <w:sz w:val="22"/>
          <w:szCs w:val="22"/>
        </w:rPr>
        <w:t xml:space="preserve">ozbudowa </w:t>
      </w:r>
      <w:r w:rsidR="00D07C5E" w:rsidRPr="009B78DA">
        <w:rPr>
          <w:rFonts w:ascii="Arial" w:hAnsi="Arial" w:cs="Arial"/>
          <w:color w:val="000000" w:themeColor="text1"/>
          <w:sz w:val="22"/>
          <w:szCs w:val="22"/>
        </w:rPr>
        <w:t>DW</w:t>
      </w:r>
      <w:r w:rsidRPr="009B78DA">
        <w:rPr>
          <w:rFonts w:ascii="Arial" w:hAnsi="Arial" w:cs="Arial"/>
          <w:color w:val="000000" w:themeColor="text1"/>
          <w:sz w:val="22"/>
          <w:szCs w:val="22"/>
        </w:rPr>
        <w:t>867 łączącej obszary województw podkarpackiego i lubelskiego. Rozbudowa ta zapewni dogodne połączenie pomiędzy przejściem granicznym Hrebenne(PL)/Rawa Ruska(UA), a Lubaczowem i autostradą A4 w rejonie Jarosławia. Realizacja inwestycji jest komplementarna z realizowaną obecnie rozbudową DW867 na odcinku Lubaczów-Basznia w ramach PWT PL-BY-UA oraz zrealizowanymi obwodnicami Lubaczowa, Oleszyc i Cieszanowa.</w:t>
      </w:r>
    </w:p>
    <w:p w14:paraId="4E30507A" w14:textId="48AFBC54" w:rsidR="009E682F" w:rsidRPr="009B78DA" w:rsidRDefault="009E682F" w:rsidP="00E75C38">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Przez rdzeń obszaru funkcjonalnego Lubaczów w kierunku północno-wschodnim przebiega linia kolejowa nr 101. Układ sieci kolejowej nie jest rozbudowany, jednak umożliwia </w:t>
      </w:r>
      <w:r w:rsidR="00E75C38">
        <w:rPr>
          <w:rFonts w:ascii="Arial" w:hAnsi="Arial" w:cs="Arial"/>
          <w:color w:val="000000" w:themeColor="text1"/>
          <w:sz w:val="22"/>
          <w:szCs w:val="22"/>
        </w:rPr>
        <w:t>połączenie obu gmin z rdzeniem.</w:t>
      </w:r>
    </w:p>
    <w:p w14:paraId="479F937A" w14:textId="29F44C30" w:rsidR="006E035D" w:rsidRPr="009B78DA" w:rsidRDefault="006E035D" w:rsidP="00E75C38">
      <w:pPr>
        <w:pStyle w:val="Legenda"/>
        <w:keepNext/>
        <w:rPr>
          <w:rFonts w:ascii="Arial" w:hAnsi="Arial" w:cs="Arial"/>
          <w:i w:val="0"/>
          <w:color w:val="000000" w:themeColor="text1"/>
          <w:sz w:val="22"/>
          <w:szCs w:val="22"/>
        </w:rPr>
      </w:pPr>
      <w:bookmarkStart w:id="335" w:name="_Toc146785699"/>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70</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Proponowane kierunki rozwoju sieci transportowej w obszarze funkcjonalnym Lubaczowa</w:t>
      </w:r>
      <w:bookmarkEnd w:id="335"/>
    </w:p>
    <w:p w14:paraId="585D21DF" w14:textId="77777777" w:rsidR="00222787" w:rsidRPr="009B78DA" w:rsidRDefault="00C27E1F" w:rsidP="008840E5">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4B16608" wp14:editId="6A8ABA08">
            <wp:extent cx="5759628" cy="6092189"/>
            <wp:effectExtent l="0" t="0" r="0" b="4445"/>
            <wp:docPr id="59" name="Obraz 59" descr="Obszar zaznaczony kolorem ciemno szarym rdzeń obszaru funkcjonalnego Lubaczów. Następnie kolorem jasno szarym gminy strefy zewnętrznej obszaru funkcjonalnego. Od góry Horyniec-Zdrój, Lubaczów. Na żółto drogi wojewódzkie 867, 866. Przerywaną biało czarna linia linie kolejowe 101. Zaznaczono również drogi powiatowe jasno szara linią. Wskazano powiązania komunikacyjne wymagające wzmocnienia Zamość, Horyniec-Zdrój, Ukraina, Autostrada A4" title="Rysunek 70 Proponowane kierunki rozwoju sieci transportowej w obszarze funkcjonalnym Lubacz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MOF Lubaczów.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759628" cy="6092189"/>
                    </a:xfrm>
                    <a:prstGeom prst="rect">
                      <a:avLst/>
                    </a:prstGeom>
                  </pic:spPr>
                </pic:pic>
              </a:graphicData>
            </a:graphic>
          </wp:inline>
        </w:drawing>
      </w:r>
    </w:p>
    <w:bookmarkEnd w:id="334"/>
    <w:p w14:paraId="5AEB6F39" w14:textId="35C9315F" w:rsidR="009E682F" w:rsidRPr="009B78DA" w:rsidRDefault="005951EF" w:rsidP="00E75C38">
      <w:pPr>
        <w:spacing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911B88" w:rsidRPr="009B78DA">
        <w:rPr>
          <w:rFonts w:ascii="Arial" w:hAnsi="Arial" w:cs="Arial"/>
          <w:color w:val="000000" w:themeColor="text1"/>
          <w:sz w:val="22"/>
          <w:szCs w:val="22"/>
        </w:rPr>
        <w:t>Opracowanie własne.</w:t>
      </w:r>
    </w:p>
    <w:p w14:paraId="7242CF45" w14:textId="2C447FE6" w:rsidR="00222787" w:rsidRPr="009B78DA" w:rsidRDefault="003E4832" w:rsidP="00E75C38">
      <w:pPr>
        <w:spacing w:after="0" w:line="276"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Obszar Funkcjonalny Mielca</w:t>
      </w:r>
    </w:p>
    <w:p w14:paraId="08168819" w14:textId="77777777" w:rsidR="00D23264" w:rsidRPr="009B78DA" w:rsidRDefault="00D23264" w:rsidP="00E75C38">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Rozwój dostępności komunikacyjnej powinien przebiegać w następujących kierunkach:</w:t>
      </w:r>
    </w:p>
    <w:p w14:paraId="636FEEA3" w14:textId="77777777" w:rsidR="00222787" w:rsidRPr="009B78DA" w:rsidRDefault="00222787" w:rsidP="00E75C38">
      <w:pPr>
        <w:pStyle w:val="Akapitzlist"/>
        <w:numPr>
          <w:ilvl w:val="0"/>
          <w:numId w:val="112"/>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DW985 - przebiegająca przez cały obszar w układzie południkowym. Droga ta umożliwia również połączenie z autostradą A4 w Dębicy na południu oraz z drogą DK9 na północy,</w:t>
      </w:r>
    </w:p>
    <w:p w14:paraId="5822CEF6" w14:textId="77777777" w:rsidR="00222787" w:rsidRPr="009B78DA" w:rsidRDefault="00222787" w:rsidP="00E75C38">
      <w:pPr>
        <w:pStyle w:val="Akapitzlist"/>
        <w:numPr>
          <w:ilvl w:val="0"/>
          <w:numId w:val="112"/>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DW875 – na osi wschód zachód w stronę Leżajska;</w:t>
      </w:r>
    </w:p>
    <w:p w14:paraId="4A6A94D9" w14:textId="77777777" w:rsidR="00222787" w:rsidRPr="009B78DA" w:rsidRDefault="00222787" w:rsidP="00E75C38">
      <w:pPr>
        <w:pStyle w:val="Akapitzlist"/>
        <w:numPr>
          <w:ilvl w:val="0"/>
          <w:numId w:val="112"/>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DW984 – w kierunku Tarnowa;</w:t>
      </w:r>
    </w:p>
    <w:p w14:paraId="75DD2EBB" w14:textId="77777777" w:rsidR="00222787" w:rsidRPr="009B78DA" w:rsidRDefault="00222787" w:rsidP="00E75C38">
      <w:pPr>
        <w:pStyle w:val="Akapitzlist"/>
        <w:numPr>
          <w:ilvl w:val="0"/>
          <w:numId w:val="112"/>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DW983 – w kierunku północno-wschodnim;</w:t>
      </w:r>
    </w:p>
    <w:p w14:paraId="4156BD56" w14:textId="77777777" w:rsidR="00222787" w:rsidRPr="009B78DA" w:rsidRDefault="00222787" w:rsidP="00E75C38">
      <w:pPr>
        <w:pStyle w:val="Akapitzlist"/>
        <w:numPr>
          <w:ilvl w:val="0"/>
          <w:numId w:val="112"/>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DW986 – na południu strefy zewnętrznej;</w:t>
      </w:r>
    </w:p>
    <w:p w14:paraId="173B7EFD" w14:textId="17C9D13C" w:rsidR="00E560CA" w:rsidRPr="009B78DA" w:rsidRDefault="00222787" w:rsidP="00E75C38">
      <w:pPr>
        <w:pStyle w:val="Akapitzlist"/>
        <w:numPr>
          <w:ilvl w:val="0"/>
          <w:numId w:val="112"/>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DW764 – na północy obszaru.</w:t>
      </w:r>
    </w:p>
    <w:p w14:paraId="53BF42B8" w14:textId="34534F85" w:rsidR="006E035D" w:rsidRPr="009B78DA" w:rsidRDefault="006E035D" w:rsidP="00E75C38">
      <w:pPr>
        <w:pStyle w:val="Legenda"/>
        <w:keepNext/>
        <w:rPr>
          <w:rFonts w:ascii="Arial" w:hAnsi="Arial" w:cs="Arial"/>
          <w:i w:val="0"/>
          <w:color w:val="000000" w:themeColor="text1"/>
          <w:sz w:val="22"/>
          <w:szCs w:val="22"/>
        </w:rPr>
      </w:pPr>
      <w:bookmarkStart w:id="336" w:name="_Toc146785700"/>
      <w:bookmarkStart w:id="337" w:name="_Hlk75263533"/>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71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Proponowane kierunki rozwoju sieci transportowej w obszarze funkcjonalnym Mielca</w:t>
      </w:r>
      <w:bookmarkEnd w:id="336"/>
    </w:p>
    <w:p w14:paraId="52ABF833" w14:textId="77777777" w:rsidR="00222787" w:rsidRPr="009B78DA" w:rsidRDefault="00C27E1F" w:rsidP="008840E5">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062468C1" wp14:editId="259EF962">
            <wp:extent cx="5759628" cy="6092189"/>
            <wp:effectExtent l="0" t="0" r="0" b="4445"/>
            <wp:docPr id="60" name="Obraz 60" descr="Obszar zaznaczony kolorem ciemno szarym rdzeń obszaru funkcjonalnego Mielec. Następnie kolorem jasno szarym gminy strefy zewnętrznej obszaru funkcjonalnego. Od góry Tuszów Narodowy, Mielec, Przecław. Na ciemno szary widać rdzeń obszaru funkcjonalnego, obszar Mielec. Na czerwono drogi krajowe. Na żółto drogi wojewódzkie 962, 764, 985, 983, 984. Przerywaną biało czarna linia linie kolejowe 25. Zaznaczono również drogi powiatowe jasno szara linią. Zaznaczono również drogi powiatowe jasno szara linią. Wskazano powiązania komunikacyjne wymagające wzmocnienia Warszawa, Tarnobrzeg, Lublin, Stalowa Wola, Kolbuszowa, Leżajsk, Dębica, Jasło, Tarnów, Kielce" title="Rysunek 71 Proponowane kierunki rozwoju sieci transportowej w obszarze funkcjonalnym Miel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MOF Mielec.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59628" cy="6092189"/>
                    </a:xfrm>
                    <a:prstGeom prst="rect">
                      <a:avLst/>
                    </a:prstGeom>
                  </pic:spPr>
                </pic:pic>
              </a:graphicData>
            </a:graphic>
          </wp:inline>
        </w:drawing>
      </w:r>
    </w:p>
    <w:bookmarkEnd w:id="337"/>
    <w:p w14:paraId="362A1D16" w14:textId="52812AED" w:rsidR="005951EF" w:rsidRPr="009B78DA" w:rsidRDefault="005951EF" w:rsidP="009C7C82">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911B88" w:rsidRPr="009B78DA">
        <w:rPr>
          <w:rFonts w:ascii="Arial" w:hAnsi="Arial" w:cs="Arial"/>
          <w:color w:val="000000" w:themeColor="text1"/>
          <w:sz w:val="22"/>
          <w:szCs w:val="22"/>
        </w:rPr>
        <w:t>Opracowanie własne.</w:t>
      </w:r>
    </w:p>
    <w:p w14:paraId="6DBCBFD5" w14:textId="634E1779" w:rsidR="00107163" w:rsidRPr="009B78DA" w:rsidRDefault="00107163" w:rsidP="009C7C82">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MOF Mielec jest jednym z najprężniejszych centrów gospodarczych województwa</w:t>
      </w:r>
      <w:r w:rsidR="00EE3FEC" w:rsidRPr="009B78DA">
        <w:rPr>
          <w:rFonts w:ascii="Arial" w:hAnsi="Arial" w:cs="Arial"/>
          <w:color w:val="000000" w:themeColor="text1"/>
          <w:sz w:val="22"/>
          <w:szCs w:val="22"/>
        </w:rPr>
        <w:t>, dysponującym dużymi zasobami dalszych terenów i</w:t>
      </w:r>
      <w:r w:rsidR="009C7C82">
        <w:rPr>
          <w:rFonts w:ascii="Arial" w:hAnsi="Arial" w:cs="Arial"/>
          <w:color w:val="000000" w:themeColor="text1"/>
          <w:sz w:val="22"/>
          <w:szCs w:val="22"/>
        </w:rPr>
        <w:t xml:space="preserve">nwestycyjnych Euro-Park Mielec. </w:t>
      </w:r>
      <w:r w:rsidRPr="009B78DA">
        <w:rPr>
          <w:rFonts w:ascii="Arial" w:hAnsi="Arial" w:cs="Arial"/>
          <w:color w:val="000000" w:themeColor="text1"/>
          <w:sz w:val="22"/>
          <w:szCs w:val="22"/>
        </w:rPr>
        <w:t xml:space="preserve">Pomimo </w:t>
      </w:r>
      <w:r w:rsidR="00332545" w:rsidRPr="009B78DA">
        <w:rPr>
          <w:rFonts w:ascii="Arial" w:hAnsi="Arial" w:cs="Arial"/>
          <w:color w:val="000000" w:themeColor="text1"/>
          <w:sz w:val="22"/>
          <w:szCs w:val="22"/>
        </w:rPr>
        <w:t xml:space="preserve">wyraźnego </w:t>
      </w:r>
      <w:r w:rsidRPr="009B78DA">
        <w:rPr>
          <w:rFonts w:ascii="Arial" w:hAnsi="Arial" w:cs="Arial"/>
          <w:color w:val="000000" w:themeColor="text1"/>
          <w:sz w:val="22"/>
          <w:szCs w:val="22"/>
        </w:rPr>
        <w:t>znaczenia dla gospodarki regionu, jest on położony poza układem dróg krajowych</w:t>
      </w:r>
      <w:r w:rsidR="009E682F" w:rsidRPr="009B78DA">
        <w:rPr>
          <w:rFonts w:ascii="Arial" w:hAnsi="Arial" w:cs="Arial"/>
          <w:color w:val="000000" w:themeColor="text1"/>
          <w:sz w:val="22"/>
          <w:szCs w:val="22"/>
        </w:rPr>
        <w:t>.</w:t>
      </w:r>
    </w:p>
    <w:p w14:paraId="7D184BBB" w14:textId="08B6E2BF" w:rsidR="00107163" w:rsidRPr="009B78DA" w:rsidRDefault="00107163" w:rsidP="009C7C82">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Dotychczas rozbudowano i zmodernizowano sieć, bardzo obciążonych ruchem ciężkim, dróg wojewódzkich w ramach obszaru funkcjonalnego. Kluczowa była przede wszystkim modernizacja ciągu od mostu w Połańcu, przez DW764 do Tuszyna Narodowego (gdzie w kierunku północnym prowadzi do Baranowa Sandomierskiego i Tarnobrzega zmodernizowana DW985) oraz budowa nowej wschodniej obwodnicy Mielca w ciągu DW985 wraz z modernizacją DW985 w kierunku autostrady A4 i Dębicy oraz DW875 w kierunku Kolbuszowej. Aktualnie twa budowa kolejnego etapu północnej obwodnicy Mielca</w:t>
      </w:r>
      <w:r w:rsidR="00332545"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zlokalizowan</w:t>
      </w:r>
      <w:r w:rsidR="00332545" w:rsidRPr="009B78DA">
        <w:rPr>
          <w:rFonts w:ascii="Arial" w:hAnsi="Arial" w:cs="Arial"/>
          <w:color w:val="000000" w:themeColor="text1"/>
          <w:sz w:val="22"/>
          <w:szCs w:val="22"/>
        </w:rPr>
        <w:t>ej</w:t>
      </w:r>
      <w:r w:rsidRPr="009B78DA">
        <w:rPr>
          <w:rFonts w:ascii="Arial" w:hAnsi="Arial" w:cs="Arial"/>
          <w:color w:val="000000" w:themeColor="text1"/>
          <w:sz w:val="22"/>
          <w:szCs w:val="22"/>
        </w:rPr>
        <w:t xml:space="preserve"> na DW 984 </w:t>
      </w:r>
      <w:r w:rsidR="008739B7" w:rsidRPr="009B78DA">
        <w:rPr>
          <w:rFonts w:ascii="Arial" w:hAnsi="Arial" w:cs="Arial"/>
          <w:color w:val="000000" w:themeColor="text1"/>
          <w:sz w:val="22"/>
          <w:szCs w:val="22"/>
        </w:rPr>
        <w:t>(</w:t>
      </w:r>
      <w:r w:rsidRPr="009B78DA">
        <w:rPr>
          <w:rFonts w:ascii="Arial" w:hAnsi="Arial" w:cs="Arial"/>
          <w:color w:val="000000" w:themeColor="text1"/>
          <w:sz w:val="22"/>
          <w:szCs w:val="22"/>
        </w:rPr>
        <w:t>pomiędzy Rzędzianowicami a Piątkowcem).</w:t>
      </w:r>
    </w:p>
    <w:p w14:paraId="281E40CB" w14:textId="77777777" w:rsidR="00107163" w:rsidRPr="009B78DA" w:rsidRDefault="00107163" w:rsidP="009C7C82">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Nadal w rdzeniu MOF występują wąskie gardła, a ruch z terenów przemysłowych nie jest w całości wyprowadzony od razu na trasy obwodowe. Wśród wymaganych inwestycji jest modernizacja DW984 do Tarnowa, most na Wisłoce i budowa trasy dojazdowej do SSE Mielec.</w:t>
      </w:r>
    </w:p>
    <w:p w14:paraId="139D2B6B" w14:textId="5CBE1F42" w:rsidR="00107163" w:rsidRPr="009C7C82" w:rsidRDefault="00107163" w:rsidP="009C7C82">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Przez obszar funkcjonalny Mielec przechodzi linia kolejowa nr 25 o układzie południkowym. Obecnie </w:t>
      </w:r>
      <w:r w:rsidR="00180B02" w:rsidRPr="009B78DA">
        <w:rPr>
          <w:rFonts w:ascii="Arial" w:hAnsi="Arial" w:cs="Arial"/>
          <w:color w:val="000000" w:themeColor="text1"/>
          <w:sz w:val="22"/>
          <w:szCs w:val="22"/>
        </w:rPr>
        <w:t>odtworzono</w:t>
      </w:r>
      <w:r w:rsidRPr="009B78DA">
        <w:rPr>
          <w:rFonts w:ascii="Arial" w:hAnsi="Arial" w:cs="Arial"/>
          <w:color w:val="000000" w:themeColor="text1"/>
          <w:sz w:val="22"/>
          <w:szCs w:val="22"/>
        </w:rPr>
        <w:t xml:space="preserve"> pasażersk</w:t>
      </w:r>
      <w:r w:rsidR="00180B02" w:rsidRPr="009B78DA">
        <w:rPr>
          <w:rFonts w:ascii="Arial" w:hAnsi="Arial" w:cs="Arial"/>
          <w:color w:val="000000" w:themeColor="text1"/>
          <w:sz w:val="22"/>
          <w:szCs w:val="22"/>
        </w:rPr>
        <w:t>ą</w:t>
      </w:r>
      <w:r w:rsidRPr="009B78DA">
        <w:rPr>
          <w:rFonts w:ascii="Arial" w:hAnsi="Arial" w:cs="Arial"/>
          <w:color w:val="000000" w:themeColor="text1"/>
          <w:sz w:val="22"/>
          <w:szCs w:val="22"/>
        </w:rPr>
        <w:t xml:space="preserve"> komunikacj</w:t>
      </w:r>
      <w:r w:rsidR="00180B02" w:rsidRPr="009B78DA">
        <w:rPr>
          <w:rFonts w:ascii="Arial" w:hAnsi="Arial" w:cs="Arial"/>
          <w:color w:val="000000" w:themeColor="text1"/>
          <w:sz w:val="22"/>
          <w:szCs w:val="22"/>
        </w:rPr>
        <w:t>ę</w:t>
      </w:r>
      <w:r w:rsidRPr="009B78DA">
        <w:rPr>
          <w:rFonts w:ascii="Arial" w:hAnsi="Arial" w:cs="Arial"/>
          <w:color w:val="000000" w:themeColor="text1"/>
          <w:sz w:val="22"/>
          <w:szCs w:val="22"/>
        </w:rPr>
        <w:t xml:space="preserve"> kolejow</w:t>
      </w:r>
      <w:r w:rsidR="00180B02" w:rsidRPr="009B78DA">
        <w:rPr>
          <w:rFonts w:ascii="Arial" w:hAnsi="Arial" w:cs="Arial"/>
          <w:color w:val="000000" w:themeColor="text1"/>
          <w:sz w:val="22"/>
          <w:szCs w:val="22"/>
        </w:rPr>
        <w:t>ą</w:t>
      </w:r>
      <w:r w:rsidRPr="009B78DA">
        <w:rPr>
          <w:rFonts w:ascii="Arial" w:hAnsi="Arial" w:cs="Arial"/>
          <w:color w:val="000000" w:themeColor="text1"/>
          <w:sz w:val="22"/>
          <w:szCs w:val="22"/>
        </w:rPr>
        <w:t xml:space="preserve"> oraz </w:t>
      </w:r>
      <w:r w:rsidR="00180B02" w:rsidRPr="009B78DA">
        <w:rPr>
          <w:rFonts w:ascii="Arial" w:hAnsi="Arial" w:cs="Arial"/>
          <w:color w:val="000000" w:themeColor="text1"/>
          <w:sz w:val="22"/>
          <w:szCs w:val="22"/>
        </w:rPr>
        <w:t xml:space="preserve">będą trwały prace </w:t>
      </w:r>
      <w:r w:rsidRPr="009B78DA">
        <w:rPr>
          <w:rFonts w:ascii="Arial" w:hAnsi="Arial" w:cs="Arial"/>
          <w:color w:val="000000" w:themeColor="text1"/>
          <w:sz w:val="22"/>
          <w:szCs w:val="22"/>
        </w:rPr>
        <w:t>wzm</w:t>
      </w:r>
      <w:r w:rsidR="00180B02" w:rsidRPr="009B78DA">
        <w:rPr>
          <w:rFonts w:ascii="Arial" w:hAnsi="Arial" w:cs="Arial"/>
          <w:color w:val="000000" w:themeColor="text1"/>
          <w:sz w:val="22"/>
          <w:szCs w:val="22"/>
        </w:rPr>
        <w:t>acniające</w:t>
      </w:r>
      <w:r w:rsidRPr="009B78DA">
        <w:rPr>
          <w:rFonts w:ascii="Arial" w:hAnsi="Arial" w:cs="Arial"/>
          <w:color w:val="000000" w:themeColor="text1"/>
          <w:sz w:val="22"/>
          <w:szCs w:val="22"/>
        </w:rPr>
        <w:t xml:space="preserve"> rol</w:t>
      </w:r>
      <w:r w:rsidR="00180B02" w:rsidRPr="009B78DA">
        <w:rPr>
          <w:rFonts w:ascii="Arial" w:hAnsi="Arial" w:cs="Arial"/>
          <w:color w:val="000000" w:themeColor="text1"/>
          <w:sz w:val="22"/>
          <w:szCs w:val="22"/>
        </w:rPr>
        <w:t>ę</w:t>
      </w:r>
      <w:r w:rsidRPr="009B78DA">
        <w:rPr>
          <w:rFonts w:ascii="Arial" w:hAnsi="Arial" w:cs="Arial"/>
          <w:color w:val="000000" w:themeColor="text1"/>
          <w:sz w:val="22"/>
          <w:szCs w:val="22"/>
        </w:rPr>
        <w:t xml:space="preserve"> kolei w obsłudze zakładów przemysłowych Mielca. Transport publiczny w MOF zapewnia</w:t>
      </w:r>
      <w:r w:rsidR="00180B02" w:rsidRPr="009B78DA">
        <w:rPr>
          <w:rFonts w:ascii="Arial" w:hAnsi="Arial" w:cs="Arial"/>
          <w:color w:val="000000" w:themeColor="text1"/>
          <w:sz w:val="22"/>
          <w:szCs w:val="22"/>
        </w:rPr>
        <w:t xml:space="preserve"> również</w:t>
      </w:r>
      <w:r w:rsidR="009C7C82">
        <w:rPr>
          <w:rFonts w:ascii="Arial" w:hAnsi="Arial" w:cs="Arial"/>
          <w:color w:val="000000" w:themeColor="text1"/>
          <w:sz w:val="22"/>
          <w:szCs w:val="22"/>
        </w:rPr>
        <w:t xml:space="preserve"> komunikacja autobusowa.</w:t>
      </w:r>
    </w:p>
    <w:p w14:paraId="6607A72B" w14:textId="76CF8E90" w:rsidR="00222787" w:rsidRPr="009B78DA" w:rsidRDefault="00222787" w:rsidP="009C7C82">
      <w:pPr>
        <w:spacing w:after="0" w:line="276"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Duopol Dębica – Ro</w:t>
      </w:r>
      <w:r w:rsidR="002F4BDA" w:rsidRPr="009B78DA">
        <w:rPr>
          <w:rFonts w:ascii="Arial" w:hAnsi="Arial" w:cs="Arial"/>
          <w:b/>
          <w:i/>
          <w:color w:val="000000" w:themeColor="text1"/>
          <w:sz w:val="22"/>
          <w:szCs w:val="22"/>
          <w:u w:val="single"/>
        </w:rPr>
        <w:t>pczyce z obszarem funkcjonalnym</w:t>
      </w:r>
    </w:p>
    <w:p w14:paraId="4EA50AC4" w14:textId="3417711C" w:rsidR="00D23264" w:rsidRPr="009B78DA" w:rsidRDefault="00222787" w:rsidP="009C7C82">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Istotnym pod kątem wewnętrznej dostępności oraz oddziaływania na otoczenie terenem w województwie podkarpackim jest obszar funkcjonalny Dębica – Ropczyce. </w:t>
      </w:r>
      <w:r w:rsidR="0097276E" w:rsidRPr="009B78DA">
        <w:rPr>
          <w:rFonts w:ascii="Arial" w:hAnsi="Arial" w:cs="Arial"/>
          <w:color w:val="000000" w:themeColor="text1"/>
          <w:sz w:val="22"/>
          <w:szCs w:val="22"/>
        </w:rPr>
        <w:t>P</w:t>
      </w:r>
      <w:r w:rsidRPr="009B78DA">
        <w:rPr>
          <w:rFonts w:ascii="Arial" w:hAnsi="Arial" w:cs="Arial"/>
          <w:color w:val="000000" w:themeColor="text1"/>
          <w:sz w:val="22"/>
          <w:szCs w:val="22"/>
        </w:rPr>
        <w:t>rzecina</w:t>
      </w:r>
      <w:r w:rsidR="0097276E" w:rsidRPr="009B78DA">
        <w:rPr>
          <w:rFonts w:ascii="Arial" w:hAnsi="Arial" w:cs="Arial"/>
          <w:color w:val="000000" w:themeColor="text1"/>
          <w:sz w:val="22"/>
          <w:szCs w:val="22"/>
        </w:rPr>
        <w:t xml:space="preserve"> on</w:t>
      </w:r>
      <w:r w:rsidRPr="009B78DA">
        <w:rPr>
          <w:rFonts w:ascii="Arial" w:hAnsi="Arial" w:cs="Arial"/>
          <w:color w:val="000000" w:themeColor="text1"/>
          <w:sz w:val="22"/>
          <w:szCs w:val="22"/>
        </w:rPr>
        <w:t xml:space="preserve"> autostrad</w:t>
      </w:r>
      <w:r w:rsidR="0097276E" w:rsidRPr="009B78DA">
        <w:rPr>
          <w:rFonts w:ascii="Arial" w:hAnsi="Arial" w:cs="Arial"/>
          <w:color w:val="000000" w:themeColor="text1"/>
          <w:sz w:val="22"/>
          <w:szCs w:val="22"/>
        </w:rPr>
        <w:t>ę</w:t>
      </w:r>
      <w:r w:rsidRPr="009B78DA">
        <w:rPr>
          <w:rFonts w:ascii="Arial" w:hAnsi="Arial" w:cs="Arial"/>
          <w:color w:val="000000" w:themeColor="text1"/>
          <w:sz w:val="22"/>
          <w:szCs w:val="22"/>
        </w:rPr>
        <w:t xml:space="preserve"> A4 z węzłami zlokalizowanymi w Dębicy. Ważną rolę odgrywa droga krajowa DK94, umożliwiająca wygodne połączeni</w:t>
      </w:r>
      <w:r w:rsidR="00D9484D" w:rsidRPr="009B78DA">
        <w:rPr>
          <w:rFonts w:ascii="Arial" w:hAnsi="Arial" w:cs="Arial"/>
          <w:color w:val="000000" w:themeColor="text1"/>
          <w:sz w:val="22"/>
          <w:szCs w:val="22"/>
        </w:rPr>
        <w:t>e pomiędzy Dębicą a Ropczycami.</w:t>
      </w:r>
    </w:p>
    <w:p w14:paraId="2C9ADB7E" w14:textId="77777777" w:rsidR="00222787" w:rsidRPr="009B78DA" w:rsidRDefault="00D23264" w:rsidP="009C7C82">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Rozwój dostępności komunikacyjnej powinien przebiegać w następujących kierunkach:</w:t>
      </w:r>
    </w:p>
    <w:p w14:paraId="4BE345E4" w14:textId="77777777" w:rsidR="00222787" w:rsidRPr="009B78DA" w:rsidRDefault="00222787" w:rsidP="009C7C82">
      <w:pPr>
        <w:pStyle w:val="Akapitzlist"/>
        <w:numPr>
          <w:ilvl w:val="0"/>
          <w:numId w:val="113"/>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DW985 – w układzie północ-południe łącząca Dębicę z Mielcem;</w:t>
      </w:r>
    </w:p>
    <w:p w14:paraId="68FD22DA" w14:textId="5ED580C4" w:rsidR="00222787" w:rsidRPr="009B78DA" w:rsidRDefault="00222787" w:rsidP="009C7C82">
      <w:pPr>
        <w:pStyle w:val="Akapitzlist"/>
        <w:numPr>
          <w:ilvl w:val="0"/>
          <w:numId w:val="113"/>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DW986 – łącząca Ropczyce z </w:t>
      </w:r>
      <w:r w:rsidR="0097276E" w:rsidRPr="009B78DA">
        <w:rPr>
          <w:rFonts w:ascii="Arial" w:hAnsi="Arial" w:cs="Arial"/>
          <w:color w:val="000000" w:themeColor="text1"/>
          <w:sz w:val="22"/>
          <w:szCs w:val="22"/>
        </w:rPr>
        <w:t>DW</w:t>
      </w:r>
      <w:r w:rsidRPr="009B78DA">
        <w:rPr>
          <w:rFonts w:ascii="Arial" w:hAnsi="Arial" w:cs="Arial"/>
          <w:color w:val="000000" w:themeColor="text1"/>
          <w:sz w:val="22"/>
          <w:szCs w:val="22"/>
        </w:rPr>
        <w:t>985 oraz z częścią południowo-wschodnią obszaru.</w:t>
      </w:r>
    </w:p>
    <w:p w14:paraId="522EFC08" w14:textId="5D8AF7BF" w:rsidR="00222787" w:rsidRPr="009B78DA" w:rsidRDefault="00222787" w:rsidP="009C7C82">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MOF Dębica-Ropczyce jest dużym rynkiem pracy. Jego poziom dostępności uległ znacznej poprawie, zwłaszcza w układzie równoleżnikowym, dzięki budowie autostrady A4 oraz modernizacji linii kolejowej E-30. Dokonano również modernizacji większości dróg wojewódzkich doprowadzających ruch do obu ośrodków rdzeniowych MOF. W perspektywie, można oczekiwać stopniowej integracji MOF Dębica-Ropczyce z Rzeszowskim Obszarem Funkcjonalnym, a także z MOF Mielec i MOF Jasło.</w:t>
      </w:r>
      <w:r w:rsidR="004C35EE" w:rsidRPr="009B78DA">
        <w:rPr>
          <w:rFonts w:ascii="Arial" w:hAnsi="Arial" w:cs="Arial"/>
          <w:color w:val="000000" w:themeColor="text1"/>
          <w:sz w:val="22"/>
          <w:szCs w:val="22"/>
        </w:rPr>
        <w:t xml:space="preserve"> </w:t>
      </w:r>
      <w:bookmarkStart w:id="338" w:name="_Hlk100573674"/>
      <w:r w:rsidR="00E94B42" w:rsidRPr="009B78DA">
        <w:rPr>
          <w:rFonts w:ascii="Arial" w:hAnsi="Arial" w:cs="Arial"/>
          <w:color w:val="000000" w:themeColor="text1"/>
          <w:sz w:val="22"/>
          <w:szCs w:val="22"/>
        </w:rPr>
        <w:t>Uzupełnieniem</w:t>
      </w:r>
      <w:r w:rsidR="004C35EE" w:rsidRPr="009B78DA">
        <w:rPr>
          <w:rFonts w:ascii="Arial" w:hAnsi="Arial" w:cs="Arial"/>
          <w:color w:val="000000" w:themeColor="text1"/>
          <w:sz w:val="22"/>
          <w:szCs w:val="22"/>
        </w:rPr>
        <w:t xml:space="preserve"> </w:t>
      </w:r>
      <w:r w:rsidR="008739B7" w:rsidRPr="009B78DA">
        <w:rPr>
          <w:rFonts w:ascii="Arial" w:hAnsi="Arial" w:cs="Arial"/>
          <w:color w:val="000000" w:themeColor="text1"/>
          <w:sz w:val="22"/>
          <w:szCs w:val="22"/>
        </w:rPr>
        <w:t>może być</w:t>
      </w:r>
      <w:r w:rsidR="004C35EE" w:rsidRPr="009B78DA">
        <w:rPr>
          <w:rFonts w:ascii="Arial" w:hAnsi="Arial" w:cs="Arial"/>
          <w:color w:val="000000" w:themeColor="text1"/>
          <w:sz w:val="22"/>
          <w:szCs w:val="22"/>
        </w:rPr>
        <w:t xml:space="preserve"> także wspieranie działań w zakresie poprawy układu komunikacyjnego w kierunku Kolbuszowej</w:t>
      </w:r>
      <w:bookmarkEnd w:id="338"/>
      <w:r w:rsidR="00E94B42" w:rsidRPr="009B78DA">
        <w:rPr>
          <w:rFonts w:ascii="Arial" w:hAnsi="Arial" w:cs="Arial"/>
          <w:color w:val="000000" w:themeColor="text1"/>
          <w:sz w:val="22"/>
          <w:szCs w:val="22"/>
        </w:rPr>
        <w:t>.</w:t>
      </w:r>
    </w:p>
    <w:p w14:paraId="407463A1" w14:textId="33AEA530" w:rsidR="00C27E1F" w:rsidRPr="009B78DA" w:rsidRDefault="00222787" w:rsidP="009C7C82">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Biorąc pod uwagę połączenia kolejowe, kluczowy przebieg ma linia nr 91 (E30) relacji Kraków – Rzeszów – Medyka, która znacznie ułatwia podróże pomiędzy rdzeniem obszaru funkcjonalnego a sąsiednimi obszarami. Ma ona znaczenie dla poprawy połączeń w obrębie obszaru funkcjonalnego, a jednocześnie stanowi ważny element infrastrukturalny, który </w:t>
      </w:r>
      <w:r w:rsidR="00D23264" w:rsidRPr="009B78DA">
        <w:rPr>
          <w:rFonts w:ascii="Arial" w:hAnsi="Arial" w:cs="Arial"/>
          <w:color w:val="000000" w:themeColor="text1"/>
          <w:sz w:val="22"/>
          <w:szCs w:val="22"/>
        </w:rPr>
        <w:t>jest</w:t>
      </w:r>
      <w:r w:rsidRPr="009B78DA">
        <w:rPr>
          <w:rFonts w:ascii="Arial" w:hAnsi="Arial" w:cs="Arial"/>
          <w:color w:val="000000" w:themeColor="text1"/>
          <w:sz w:val="22"/>
          <w:szCs w:val="22"/>
        </w:rPr>
        <w:t xml:space="preserve"> wykorzystywany przez Podmiejską Kolei Aglomeracyjną. MOF Dębica-Ropczyce tworzy zachodni kraniec systemu</w:t>
      </w:r>
      <w:r w:rsidR="00D23264"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Z węzła w Dębicy wychodzi także linia kolejowa nr 25 w kierunku Mielca. Celowe jest dalsze udrożnienie układu północ-południe, poprawa komunikacji drogowej i kolejo</w:t>
      </w:r>
      <w:r w:rsidR="002F4BDA" w:rsidRPr="009B78DA">
        <w:rPr>
          <w:rFonts w:ascii="Arial" w:hAnsi="Arial" w:cs="Arial"/>
          <w:color w:val="000000" w:themeColor="text1"/>
          <w:sz w:val="22"/>
          <w:szCs w:val="22"/>
        </w:rPr>
        <w:t>wej na linii w kierunku Mielca.</w:t>
      </w:r>
      <w:bookmarkStart w:id="339" w:name="_Hlk75263540"/>
      <w:r w:rsidR="004458D1" w:rsidRPr="009B78DA">
        <w:rPr>
          <w:rFonts w:ascii="Arial" w:hAnsi="Arial" w:cs="Arial"/>
          <w:color w:val="000000" w:themeColor="text1"/>
          <w:sz w:val="22"/>
          <w:szCs w:val="22"/>
        </w:rPr>
        <w:t xml:space="preserve"> W tym kontekście niezwykle ważne jest </w:t>
      </w:r>
      <w:r w:rsidR="00814874" w:rsidRPr="009B78DA">
        <w:rPr>
          <w:rFonts w:ascii="Arial" w:hAnsi="Arial" w:cs="Arial"/>
          <w:color w:val="000000" w:themeColor="text1"/>
          <w:sz w:val="22"/>
          <w:szCs w:val="22"/>
        </w:rPr>
        <w:t>utworzenie Zintegrowanego Centrum Przesiadkowego w Dębicy, które stanowiłoby węzeł multimodalny</w:t>
      </w:r>
      <w:r w:rsidR="009C7C82">
        <w:rPr>
          <w:rFonts w:ascii="Arial" w:hAnsi="Arial" w:cs="Arial"/>
          <w:color w:val="000000" w:themeColor="text1"/>
          <w:sz w:val="22"/>
          <w:szCs w:val="22"/>
        </w:rPr>
        <w:t xml:space="preserve"> dla ww. gałęzi transportowych.</w:t>
      </w:r>
    </w:p>
    <w:p w14:paraId="0DFD0668" w14:textId="1834D784" w:rsidR="006E035D" w:rsidRPr="009B78DA" w:rsidRDefault="006E035D" w:rsidP="009C7C82">
      <w:pPr>
        <w:pStyle w:val="Legenda"/>
        <w:keepNext/>
        <w:spacing w:after="120"/>
        <w:rPr>
          <w:rFonts w:ascii="Arial" w:hAnsi="Arial" w:cs="Arial"/>
          <w:i w:val="0"/>
          <w:color w:val="000000" w:themeColor="text1"/>
          <w:sz w:val="22"/>
          <w:szCs w:val="22"/>
        </w:rPr>
      </w:pPr>
      <w:bookmarkStart w:id="340" w:name="_Toc146785701"/>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72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Proponowane kierunki rozwoju sieci transportowej w obszarze funkcjonalnym Dębica – Ropczyce</w:t>
      </w:r>
      <w:bookmarkEnd w:id="340"/>
    </w:p>
    <w:p w14:paraId="4C1EDD3F" w14:textId="77777777" w:rsidR="00222787" w:rsidRPr="009B78DA" w:rsidRDefault="00C27E1F" w:rsidP="008840E5">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70963068" wp14:editId="0E7092D3">
            <wp:extent cx="5758511" cy="6091009"/>
            <wp:effectExtent l="0" t="0" r="0" b="5080"/>
            <wp:docPr id="61" name="Obraz 61" descr="Obszar zaznaczony kolorem ciemno szarym rdzeń obszaru funkcjonalnego Dębica. Następnie kolorem jasno szarym gminy strefy zewnętrznej obszaru funkcjonalnego. Od góry Żyraków, Ropczyce, Dębica. Na ciemno szary widać rdzeń obszaru funkcjonalnego, obszar Dębica. Ponadto na czerwono została oznaczona Autostrada A4 z węzłem Dębica Zachód i Dębica Wschód. Na czerwono drogi krajowe 94. Na żółto drogi wojewódzkie 986 i 985. Przerywaną biało czarna linia kolej aglomeracyjna E30 i linie 25. Zaznaczono również drogi powiatowe jasno szara linią. Wskazano powiązania komunikacyjne wymagające wzmocnienia Mielec, Jasło" title="Rysunek 72 Proponowane kierunki rozwoju sieci transportowej w obszarze funkcjonalnym Dębica – Ropczy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OF Dębica - Ropczyce.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58511" cy="6091009"/>
                    </a:xfrm>
                    <a:prstGeom prst="rect">
                      <a:avLst/>
                    </a:prstGeom>
                  </pic:spPr>
                </pic:pic>
              </a:graphicData>
            </a:graphic>
          </wp:inline>
        </w:drawing>
      </w:r>
    </w:p>
    <w:bookmarkEnd w:id="339"/>
    <w:p w14:paraId="59FD84D2" w14:textId="701770E5" w:rsidR="005951EF" w:rsidRPr="009B78DA" w:rsidRDefault="005951EF" w:rsidP="009C7C82">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911B88" w:rsidRPr="009B78DA">
        <w:rPr>
          <w:rFonts w:ascii="Arial" w:hAnsi="Arial" w:cs="Arial"/>
          <w:color w:val="000000" w:themeColor="text1"/>
          <w:sz w:val="22"/>
          <w:szCs w:val="22"/>
        </w:rPr>
        <w:t>Opracowanie własne.</w:t>
      </w:r>
    </w:p>
    <w:p w14:paraId="32403121" w14:textId="77777777" w:rsidR="00222787" w:rsidRPr="009B78DA" w:rsidRDefault="00222787" w:rsidP="009C7C82">
      <w:pPr>
        <w:spacing w:after="0" w:line="276"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Duopol Jarosław – Prz</w:t>
      </w:r>
      <w:r w:rsidR="002F4BDA" w:rsidRPr="009B78DA">
        <w:rPr>
          <w:rFonts w:ascii="Arial" w:hAnsi="Arial" w:cs="Arial"/>
          <w:b/>
          <w:i/>
          <w:color w:val="000000" w:themeColor="text1"/>
          <w:sz w:val="22"/>
          <w:szCs w:val="22"/>
          <w:u w:val="single"/>
        </w:rPr>
        <w:t>eworsk z obszarem funkcjonalnym</w:t>
      </w:r>
    </w:p>
    <w:p w14:paraId="63A99BE6" w14:textId="77777777" w:rsidR="00D23264" w:rsidRPr="009B78DA" w:rsidRDefault="00D23264" w:rsidP="009C7C82">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Rozwój dostępności komunikacyjnej powinien przebiegać w następujących kierunkach:</w:t>
      </w:r>
    </w:p>
    <w:p w14:paraId="7CCEA962" w14:textId="24BAD399" w:rsidR="00222787" w:rsidRPr="009B78DA" w:rsidRDefault="00222787" w:rsidP="009C7C82">
      <w:pPr>
        <w:pStyle w:val="Akapitzlist"/>
        <w:numPr>
          <w:ilvl w:val="0"/>
          <w:numId w:val="114"/>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DK94 – pozytywny wpływ na dostępność wewnętrzną, o rel</w:t>
      </w:r>
      <w:r w:rsidR="009C7C82">
        <w:rPr>
          <w:rFonts w:ascii="Arial" w:hAnsi="Arial" w:cs="Arial"/>
          <w:color w:val="000000" w:themeColor="text1"/>
          <w:sz w:val="22"/>
          <w:szCs w:val="22"/>
        </w:rPr>
        <w:t>acji równoległej do autostrady;</w:t>
      </w:r>
    </w:p>
    <w:p w14:paraId="1F4504D9" w14:textId="77777777" w:rsidR="00222787" w:rsidRPr="009B78DA" w:rsidRDefault="00222787" w:rsidP="009C7C82">
      <w:pPr>
        <w:pStyle w:val="Akapitzlist"/>
        <w:numPr>
          <w:ilvl w:val="0"/>
          <w:numId w:val="114"/>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DK77 – z Jarosławia w stronę Stalowe</w:t>
      </w:r>
      <w:r w:rsidR="00D9484D" w:rsidRPr="009B78DA">
        <w:rPr>
          <w:rFonts w:ascii="Arial" w:hAnsi="Arial" w:cs="Arial"/>
          <w:color w:val="000000" w:themeColor="text1"/>
          <w:sz w:val="22"/>
          <w:szCs w:val="22"/>
        </w:rPr>
        <w:t>j Woli; oraz drogi wojewódzkie:</w:t>
      </w:r>
    </w:p>
    <w:p w14:paraId="35D7B034" w14:textId="1947444D" w:rsidR="00222787" w:rsidRPr="009B78DA" w:rsidRDefault="00222787" w:rsidP="009C7C82">
      <w:pPr>
        <w:pStyle w:val="Akapitzlist"/>
        <w:numPr>
          <w:ilvl w:val="0"/>
          <w:numId w:val="114"/>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DW835</w:t>
      </w:r>
      <w:r w:rsidR="009C7C82">
        <w:rPr>
          <w:rFonts w:ascii="Arial" w:hAnsi="Arial" w:cs="Arial"/>
          <w:color w:val="000000" w:themeColor="text1"/>
          <w:sz w:val="22"/>
          <w:szCs w:val="22"/>
        </w:rPr>
        <w:t xml:space="preserve"> – o przebiegu północ-południe;</w:t>
      </w:r>
    </w:p>
    <w:p w14:paraId="2E8F9DA6" w14:textId="3D87616F" w:rsidR="00222787" w:rsidRPr="009B78DA" w:rsidRDefault="00222787" w:rsidP="009C7C82">
      <w:pPr>
        <w:pStyle w:val="Akapitzlist"/>
        <w:numPr>
          <w:ilvl w:val="0"/>
          <w:numId w:val="114"/>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w:t>
      </w:r>
      <w:r w:rsidR="009C7C82">
        <w:rPr>
          <w:rFonts w:ascii="Arial" w:hAnsi="Arial" w:cs="Arial"/>
          <w:color w:val="000000" w:themeColor="text1"/>
          <w:sz w:val="22"/>
          <w:szCs w:val="22"/>
        </w:rPr>
        <w:t>870 – z Jarosławia do Sieniawy;</w:t>
      </w:r>
    </w:p>
    <w:p w14:paraId="569FAC37" w14:textId="74E2DFE5" w:rsidR="00222787" w:rsidRPr="009B78DA" w:rsidRDefault="00222787" w:rsidP="009C7C82">
      <w:pPr>
        <w:pStyle w:val="Akapitzlist"/>
        <w:numPr>
          <w:ilvl w:val="0"/>
          <w:numId w:val="114"/>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DW865 – z J</w:t>
      </w:r>
      <w:r w:rsidR="009C7C82">
        <w:rPr>
          <w:rFonts w:ascii="Arial" w:hAnsi="Arial" w:cs="Arial"/>
          <w:color w:val="000000" w:themeColor="text1"/>
          <w:sz w:val="22"/>
          <w:szCs w:val="22"/>
        </w:rPr>
        <w:t>arosławia w kierunku Lubaczowa;</w:t>
      </w:r>
    </w:p>
    <w:p w14:paraId="469E9BB0" w14:textId="77777777" w:rsidR="00222787" w:rsidRPr="009B78DA" w:rsidRDefault="00222787" w:rsidP="009C7C82">
      <w:pPr>
        <w:pStyle w:val="Akapitzlist"/>
        <w:numPr>
          <w:ilvl w:val="0"/>
          <w:numId w:val="114"/>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DW880 – we wschodniej czę</w:t>
      </w:r>
      <w:r w:rsidR="002F4BDA" w:rsidRPr="009B78DA">
        <w:rPr>
          <w:rFonts w:ascii="Arial" w:hAnsi="Arial" w:cs="Arial"/>
          <w:color w:val="000000" w:themeColor="text1"/>
          <w:sz w:val="22"/>
          <w:szCs w:val="22"/>
        </w:rPr>
        <w:t>ści obszaru w stronę Pruchnika.</w:t>
      </w:r>
    </w:p>
    <w:p w14:paraId="62A4719C" w14:textId="6C93D7F7" w:rsidR="006E035D" w:rsidRPr="009B78DA" w:rsidRDefault="006E035D" w:rsidP="009C7C82">
      <w:pPr>
        <w:pStyle w:val="Legenda"/>
        <w:keepNext/>
        <w:spacing w:after="120" w:line="276" w:lineRule="auto"/>
        <w:rPr>
          <w:rFonts w:ascii="Arial" w:hAnsi="Arial" w:cs="Arial"/>
          <w:i w:val="0"/>
          <w:color w:val="000000" w:themeColor="text1"/>
          <w:sz w:val="22"/>
          <w:szCs w:val="22"/>
        </w:rPr>
      </w:pPr>
      <w:bookmarkStart w:id="341" w:name="_Toc146785702"/>
      <w:bookmarkStart w:id="342" w:name="_Hlk75263548"/>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73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Proponowane kierunki rozwoju sieci transportowej w obszarze funkcjonalnym Jarosław – Przeworsk</w:t>
      </w:r>
      <w:bookmarkEnd w:id="341"/>
    </w:p>
    <w:p w14:paraId="7A081546" w14:textId="77777777" w:rsidR="00222787" w:rsidRPr="009B78DA" w:rsidRDefault="00C27E1F" w:rsidP="008840E5">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82B7C05" wp14:editId="6BCE9123">
            <wp:extent cx="5759152" cy="5455284"/>
            <wp:effectExtent l="0" t="0" r="0" b="0"/>
            <wp:docPr id="62" name="Obraz 62" descr="Obszar zaznaczony kolorem ciemno szarym rdzeń obszaru funkcjonalnego Przeworsk, Jarosław. Następnie kolorem jasno szarym gminy strefy zewnętrznej obszaru funkcjonalnego. Od góry Przeworsk, Pawłosiów. Ponadto na czerwono została oznaczona Autostrada A4 z węzłami Przeworsk, Jarosław Zachód, Jarosław Wschód. Na czerwono drogi krajowe 4, 94 i 77. Na żółto drogi wojewódzkie 835, 865, 880. Przerywaną biało czarna linia kolej aglomeracyjna E30 i linia 68 i 101. Zaznaczono również drogi powiatowe jasno szara linią. Wskazano powiązania komunikacyjne wymagające wzmocnienia Warszawa, Stalowa Wola, Lublin, Lubaczów, Sanok" title="Rysunek 73 Proponowane kierunki rozwoju sieci transportowej w obszarze funkcjonalnym Jarosław – Przewor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MOF Jarosław - Przeworsk.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759152" cy="5455284"/>
                    </a:xfrm>
                    <a:prstGeom prst="rect">
                      <a:avLst/>
                    </a:prstGeom>
                  </pic:spPr>
                </pic:pic>
              </a:graphicData>
            </a:graphic>
          </wp:inline>
        </w:drawing>
      </w:r>
    </w:p>
    <w:bookmarkEnd w:id="342"/>
    <w:p w14:paraId="32DF0A35" w14:textId="6E181DEB" w:rsidR="005951EF" w:rsidRPr="009B78DA" w:rsidRDefault="005951EF" w:rsidP="009C7C82">
      <w:pPr>
        <w:spacing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911B88" w:rsidRPr="009B78DA">
        <w:rPr>
          <w:rFonts w:ascii="Arial" w:hAnsi="Arial" w:cs="Arial"/>
          <w:color w:val="000000" w:themeColor="text1"/>
          <w:sz w:val="22"/>
          <w:szCs w:val="22"/>
        </w:rPr>
        <w:t>Opracowanie własne.</w:t>
      </w:r>
    </w:p>
    <w:p w14:paraId="607CD0F6" w14:textId="4E464ABC" w:rsidR="00CD429F" w:rsidRPr="009B78DA" w:rsidRDefault="00CD429F" w:rsidP="009C7C82">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Najważniejszą inwestycją dla MOF Jarosław-Przeworsk jest autostrada A4. Po oddaniu całej autostrady A4 do użytkowania znacząco poprawiła się dostępność MOF </w:t>
      </w:r>
      <w:r w:rsidR="009C7C82">
        <w:rPr>
          <w:rFonts w:ascii="Arial" w:hAnsi="Arial" w:cs="Arial"/>
          <w:color w:val="000000" w:themeColor="text1"/>
          <w:sz w:val="22"/>
          <w:szCs w:val="22"/>
        </w:rPr>
        <w:br/>
      </w:r>
      <w:r w:rsidRPr="009B78DA">
        <w:rPr>
          <w:rFonts w:ascii="Arial" w:hAnsi="Arial" w:cs="Arial"/>
          <w:color w:val="000000" w:themeColor="text1"/>
          <w:sz w:val="22"/>
          <w:szCs w:val="22"/>
        </w:rPr>
        <w:t xml:space="preserve">w układzie równoleżnikowym. Ponadto oddano w ciągu DK4 (aktualnie DK94) obwodnicę Jarosławia, co znacznie usprawniło przejazd przez to miasto. W kolejnym okresie dokonano kilku istotnych inwestycji drogowych w ciągu DK94 i na trasach wojewódzkich, głównie </w:t>
      </w:r>
      <w:r w:rsidR="009C7C82">
        <w:rPr>
          <w:rFonts w:ascii="Arial" w:hAnsi="Arial" w:cs="Arial"/>
          <w:color w:val="000000" w:themeColor="text1"/>
          <w:sz w:val="22"/>
          <w:szCs w:val="22"/>
        </w:rPr>
        <w:br/>
      </w:r>
      <w:r w:rsidRPr="009B78DA">
        <w:rPr>
          <w:rFonts w:ascii="Arial" w:hAnsi="Arial" w:cs="Arial"/>
          <w:color w:val="000000" w:themeColor="text1"/>
          <w:sz w:val="22"/>
          <w:szCs w:val="22"/>
        </w:rPr>
        <w:t>w układach równoleżnikowych. Konieczna jest natomiast modernizacja DW835 w układzie południkowym, która pozwoli poprawić połączenie komunikacyjne z Dynowem i Brzozowem, a w układzie docelowym z Sanokiem.</w:t>
      </w:r>
    </w:p>
    <w:p w14:paraId="2F695778" w14:textId="6D9F47E4" w:rsidR="00CD429F" w:rsidRPr="009B78DA" w:rsidRDefault="00CD429F" w:rsidP="009C7C82">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Połączenia kolejowe realizowane są na linii nr 91 (E30) relacji Kraków – Rzeszów – Medyka. Są one ważnym elementem </w:t>
      </w:r>
      <w:r w:rsidR="0097276E" w:rsidRPr="009B78DA">
        <w:rPr>
          <w:rFonts w:ascii="Arial" w:hAnsi="Arial" w:cs="Arial"/>
          <w:color w:val="000000" w:themeColor="text1"/>
          <w:sz w:val="22"/>
          <w:szCs w:val="22"/>
        </w:rPr>
        <w:t xml:space="preserve">działalności </w:t>
      </w:r>
      <w:r w:rsidRPr="009B78DA">
        <w:rPr>
          <w:rFonts w:ascii="Arial" w:hAnsi="Arial" w:cs="Arial"/>
          <w:color w:val="000000" w:themeColor="text1"/>
          <w:sz w:val="22"/>
          <w:szCs w:val="22"/>
        </w:rPr>
        <w:t>obszaru funkcjonalnego. Ponadto do węzła kolejowego w Przeworsku od strony północnej dochodzi linia nr 68 w kierunku północnym.</w:t>
      </w:r>
    </w:p>
    <w:p w14:paraId="3C6A3913" w14:textId="00B08E86" w:rsidR="00107163" w:rsidRPr="009C7C82" w:rsidRDefault="00CD429F" w:rsidP="009C7C82">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zakresie funkcjonowania mieści się także wykorzystanie infrastruktury przez realizowaną Podmiejską Kolei Aglomeracyjną. Ważna jest również modernizacja linii kolejowej nr 68 do Stalowej Woli. Jej realizacja jest wymagana ze względu na istotną rolę linii w obsłudze ruchu towarowego i jej przynależności do sieci kompleksowej TEN-T. Na obszarze MOF znajduje się także linia kolei wąskotorowej, która wymaga rewitalizacji i może zostać wykorzystana w celach turystycznych, przez co przyczyni się do zwiększenia atrakcyjności gospodarczej</w:t>
      </w:r>
      <w:r w:rsidR="0097276E" w:rsidRPr="009B78DA">
        <w:rPr>
          <w:rFonts w:ascii="Arial" w:hAnsi="Arial" w:cs="Arial"/>
          <w:color w:val="000000" w:themeColor="text1"/>
          <w:sz w:val="22"/>
          <w:szCs w:val="22"/>
        </w:rPr>
        <w:t xml:space="preserve"> i</w:t>
      </w:r>
      <w:r w:rsidR="009C7C82">
        <w:rPr>
          <w:rFonts w:ascii="Arial" w:hAnsi="Arial" w:cs="Arial"/>
          <w:color w:val="000000" w:themeColor="text1"/>
          <w:sz w:val="22"/>
          <w:szCs w:val="22"/>
        </w:rPr>
        <w:t xml:space="preserve"> turystycznej regionu.</w:t>
      </w:r>
    </w:p>
    <w:p w14:paraId="6C4A58C2" w14:textId="0F975A27" w:rsidR="00222787" w:rsidRPr="009B78DA" w:rsidRDefault="00222787" w:rsidP="009C7C82">
      <w:pPr>
        <w:spacing w:after="0" w:line="276" w:lineRule="auto"/>
        <w:rPr>
          <w:rFonts w:ascii="Arial" w:hAnsi="Arial" w:cs="Arial"/>
          <w:b/>
          <w:i/>
          <w:color w:val="000000" w:themeColor="text1"/>
          <w:sz w:val="22"/>
          <w:szCs w:val="22"/>
          <w:u w:val="single"/>
        </w:rPr>
      </w:pPr>
      <w:r w:rsidRPr="009B78DA">
        <w:rPr>
          <w:rFonts w:ascii="Arial" w:hAnsi="Arial" w:cs="Arial"/>
          <w:b/>
          <w:i/>
          <w:color w:val="000000" w:themeColor="text1"/>
          <w:sz w:val="22"/>
          <w:szCs w:val="22"/>
          <w:u w:val="single"/>
        </w:rPr>
        <w:t xml:space="preserve">Duopol Sanok – Lesko </w:t>
      </w:r>
      <w:r w:rsidR="002F4BDA" w:rsidRPr="009B78DA">
        <w:rPr>
          <w:rFonts w:ascii="Arial" w:hAnsi="Arial" w:cs="Arial"/>
          <w:b/>
          <w:i/>
          <w:color w:val="000000" w:themeColor="text1"/>
          <w:sz w:val="22"/>
          <w:szCs w:val="22"/>
          <w:u w:val="single"/>
        </w:rPr>
        <w:t>z obszarem funkcjonalnym</w:t>
      </w:r>
    </w:p>
    <w:p w14:paraId="7B3C03C8" w14:textId="77777777" w:rsidR="00CD429F" w:rsidRPr="009B78DA" w:rsidRDefault="00CD429F" w:rsidP="009C7C82">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Rozwój dostępności komunikacyjnej powinien przebiegać w następujących kierunkach:</w:t>
      </w:r>
    </w:p>
    <w:p w14:paraId="486A12DB" w14:textId="20926E2C" w:rsidR="00222787" w:rsidRPr="009B78DA" w:rsidRDefault="00222787" w:rsidP="009C7C82">
      <w:pPr>
        <w:pStyle w:val="Akapitzlist"/>
        <w:numPr>
          <w:ilvl w:val="0"/>
          <w:numId w:val="11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DK28 – łącząca obszar z Krosnem i Przemyślem, istotna pod kątem powiązań </w:t>
      </w:r>
      <w:r w:rsidR="008840E5" w:rsidRPr="009B78DA">
        <w:rPr>
          <w:rFonts w:ascii="Arial" w:hAnsi="Arial" w:cs="Arial"/>
          <w:color w:val="000000" w:themeColor="text1"/>
          <w:sz w:val="22"/>
          <w:szCs w:val="22"/>
        </w:rPr>
        <w:br/>
      </w:r>
      <w:r w:rsidR="009C7C82">
        <w:rPr>
          <w:rFonts w:ascii="Arial" w:hAnsi="Arial" w:cs="Arial"/>
          <w:color w:val="000000" w:themeColor="text1"/>
          <w:sz w:val="22"/>
          <w:szCs w:val="22"/>
        </w:rPr>
        <w:t>w układzie wschód – zachód;</w:t>
      </w:r>
    </w:p>
    <w:p w14:paraId="2862377F" w14:textId="6AEC4BB5" w:rsidR="00222787" w:rsidRPr="009B78DA" w:rsidRDefault="00222787" w:rsidP="009C7C82">
      <w:pPr>
        <w:pStyle w:val="Akapitzlist"/>
        <w:numPr>
          <w:ilvl w:val="0"/>
          <w:numId w:val="11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DK84 – będąca połączeniem rdzenia z gminami południowo-wschodnimi obszaru funkcjonalnego (Lesko, Zagórz), a także z Ustrzykami Dolnymi i terenami przygranicznymi z Ukrainą</w:t>
      </w:r>
      <w:r w:rsidR="009E7EED" w:rsidRPr="009B78DA">
        <w:rPr>
          <w:rFonts w:ascii="Arial" w:hAnsi="Arial" w:cs="Arial"/>
          <w:color w:val="000000" w:themeColor="text1"/>
          <w:sz w:val="22"/>
          <w:szCs w:val="22"/>
        </w:rPr>
        <w:t>;</w:t>
      </w:r>
    </w:p>
    <w:p w14:paraId="5AF7D81B" w14:textId="77777777" w:rsidR="00222787" w:rsidRPr="009B78DA" w:rsidRDefault="00222787" w:rsidP="009C7C82">
      <w:pPr>
        <w:pStyle w:val="Akapitzlist"/>
        <w:numPr>
          <w:ilvl w:val="0"/>
          <w:numId w:val="11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DW886 – łącząca obszar funkc</w:t>
      </w:r>
      <w:r w:rsidR="002F4BDA" w:rsidRPr="009B78DA">
        <w:rPr>
          <w:rFonts w:ascii="Arial" w:hAnsi="Arial" w:cs="Arial"/>
          <w:color w:val="000000" w:themeColor="text1"/>
          <w:sz w:val="22"/>
          <w:szCs w:val="22"/>
        </w:rPr>
        <w:t>jonalny ze stolicą województwa;</w:t>
      </w:r>
    </w:p>
    <w:p w14:paraId="712A5CE5" w14:textId="1156BC2D" w:rsidR="00222787" w:rsidRPr="009B78DA" w:rsidRDefault="00222787" w:rsidP="009C7C82">
      <w:pPr>
        <w:pStyle w:val="Akapitzlist"/>
        <w:numPr>
          <w:ilvl w:val="0"/>
          <w:numId w:val="11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DW892 – </w:t>
      </w:r>
      <w:r w:rsidR="009C7C82">
        <w:rPr>
          <w:rFonts w:ascii="Arial" w:hAnsi="Arial" w:cs="Arial"/>
          <w:color w:val="000000" w:themeColor="text1"/>
          <w:sz w:val="22"/>
          <w:szCs w:val="22"/>
        </w:rPr>
        <w:t>w kierunku granicy ze Słowacją;</w:t>
      </w:r>
    </w:p>
    <w:p w14:paraId="013ABC46" w14:textId="7980FC4A" w:rsidR="00222787" w:rsidRPr="009B78DA" w:rsidRDefault="00222787" w:rsidP="009C7C82">
      <w:pPr>
        <w:pStyle w:val="Akapitzlist"/>
        <w:numPr>
          <w:ilvl w:val="0"/>
          <w:numId w:val="115"/>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DW893 – łączą</w:t>
      </w:r>
      <w:r w:rsidR="009C7C82">
        <w:rPr>
          <w:rFonts w:ascii="Arial" w:hAnsi="Arial" w:cs="Arial"/>
          <w:color w:val="000000" w:themeColor="text1"/>
          <w:sz w:val="22"/>
          <w:szCs w:val="22"/>
        </w:rPr>
        <w:t>ca obszar Bieszczadów;</w:t>
      </w:r>
    </w:p>
    <w:p w14:paraId="45557F4E" w14:textId="2A24D965" w:rsidR="00222787" w:rsidRPr="009B78DA" w:rsidRDefault="009C7C82" w:rsidP="009C7C82">
      <w:pPr>
        <w:pStyle w:val="Akapitzlist"/>
        <w:numPr>
          <w:ilvl w:val="0"/>
          <w:numId w:val="115"/>
        </w:numPr>
        <w:spacing w:after="0" w:line="276" w:lineRule="auto"/>
        <w:ind w:left="714" w:hanging="357"/>
        <w:rPr>
          <w:rFonts w:ascii="Arial" w:hAnsi="Arial" w:cs="Arial"/>
          <w:color w:val="000000" w:themeColor="text1"/>
          <w:sz w:val="22"/>
          <w:szCs w:val="22"/>
        </w:rPr>
      </w:pPr>
      <w:r>
        <w:rPr>
          <w:rFonts w:ascii="Arial" w:hAnsi="Arial" w:cs="Arial"/>
          <w:color w:val="000000" w:themeColor="text1"/>
          <w:sz w:val="22"/>
          <w:szCs w:val="22"/>
        </w:rPr>
        <w:t>DW894 – w kierunku Polańczyka.</w:t>
      </w:r>
    </w:p>
    <w:p w14:paraId="65102EFE" w14:textId="293112BE" w:rsidR="006362E7" w:rsidRPr="009B78DA" w:rsidRDefault="00222787" w:rsidP="009C7C82">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MOF Sanok-Lesko jest obszarem funkcjonalnym </w:t>
      </w:r>
      <w:r w:rsidR="0097276E" w:rsidRPr="009B78DA">
        <w:rPr>
          <w:rFonts w:ascii="Arial" w:hAnsi="Arial" w:cs="Arial"/>
          <w:color w:val="000000" w:themeColor="text1"/>
          <w:sz w:val="22"/>
          <w:szCs w:val="22"/>
        </w:rPr>
        <w:t>znacznie</w:t>
      </w:r>
      <w:r w:rsidRPr="009B78DA">
        <w:rPr>
          <w:rFonts w:ascii="Arial" w:hAnsi="Arial" w:cs="Arial"/>
          <w:color w:val="000000" w:themeColor="text1"/>
          <w:sz w:val="22"/>
          <w:szCs w:val="22"/>
        </w:rPr>
        <w:t xml:space="preserve"> oderwanym od systemu transportowego województwa. Charakteryzuje się on silnymi powiązaniami funkcjonalnymi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z Rzeszowem, co powoduje duże obciążenie ruchem</w:t>
      </w:r>
      <w:bookmarkStart w:id="343" w:name="_Hlk75263556"/>
      <w:r w:rsidR="009C7C82">
        <w:rPr>
          <w:rFonts w:ascii="Arial" w:hAnsi="Arial" w:cs="Arial"/>
          <w:color w:val="000000" w:themeColor="text1"/>
          <w:sz w:val="22"/>
          <w:szCs w:val="22"/>
        </w:rPr>
        <w:t xml:space="preserve"> szlaków łączących oba ośrodki.</w:t>
      </w:r>
    </w:p>
    <w:p w14:paraId="70F1FD91" w14:textId="477DC850" w:rsidR="009E682F" w:rsidRPr="009B78DA" w:rsidRDefault="009E682F"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Ludność w MOF Sanok-Lesko jest bardzo skoncentrowana wzdłuż dróg krajowych </w:t>
      </w:r>
      <w:r w:rsidR="009C7C82">
        <w:rPr>
          <w:rFonts w:ascii="Arial" w:hAnsi="Arial" w:cs="Arial"/>
          <w:color w:val="000000" w:themeColor="text1"/>
          <w:sz w:val="22"/>
          <w:szCs w:val="22"/>
        </w:rPr>
        <w:br/>
      </w:r>
      <w:r w:rsidRPr="009B78DA">
        <w:rPr>
          <w:rFonts w:ascii="Arial" w:hAnsi="Arial" w:cs="Arial"/>
          <w:color w:val="000000" w:themeColor="text1"/>
          <w:sz w:val="22"/>
          <w:szCs w:val="22"/>
        </w:rPr>
        <w:t xml:space="preserve">nr 28 i 84. Dużą część obszaru w północnej i południowej części MOF stanowią lasy. Zasięg oddziaływania MOF jest ograniczony </w:t>
      </w:r>
      <w:r w:rsidR="0097276E" w:rsidRPr="009B78DA">
        <w:rPr>
          <w:rFonts w:ascii="Arial" w:hAnsi="Arial" w:cs="Arial"/>
          <w:color w:val="000000" w:themeColor="text1"/>
          <w:sz w:val="22"/>
          <w:szCs w:val="22"/>
        </w:rPr>
        <w:t xml:space="preserve">niedostateczną </w:t>
      </w:r>
      <w:r w:rsidRPr="009B78DA">
        <w:rPr>
          <w:rFonts w:ascii="Arial" w:hAnsi="Arial" w:cs="Arial"/>
          <w:color w:val="000000" w:themeColor="text1"/>
          <w:sz w:val="22"/>
          <w:szCs w:val="22"/>
        </w:rPr>
        <w:t>dostępnością transportową. W MOF obserwowana jest kongestia potęgowana sezonowo ruchem turystycznym w kierunku Bieszczad. Dla rozwoju MOF szczególnie ważne są inwestycje drogowe wyprowadzające ruch na południe ze stolicy województwa. Przejście przez Sanok jest jednym z najbardziej obciążonych ruchem odcinków sieci drogowej w województwie podkarpackim. Wysokie natężenie ruchu charakteryzuje cały układ miast Sanok-Zagórz-Lesko, a istniejąca sieć drogowa pozostaje niewydolna. Oddanie do użytku obwodnicy Sanoka w ciągu DK28 (I etap) na początku roku 2020, znacząco usprawniło połączenie pomiędzy rdz</w:t>
      </w:r>
      <w:r w:rsidR="009C7C82">
        <w:rPr>
          <w:rFonts w:ascii="Arial" w:hAnsi="Arial" w:cs="Arial"/>
          <w:color w:val="000000" w:themeColor="text1"/>
          <w:sz w:val="22"/>
          <w:szCs w:val="22"/>
        </w:rPr>
        <w:t xml:space="preserve">eniami obszaru funkcjonalnego. </w:t>
      </w:r>
      <w:r w:rsidRPr="009B78DA">
        <w:rPr>
          <w:rFonts w:ascii="Arial" w:hAnsi="Arial" w:cs="Arial"/>
          <w:color w:val="000000" w:themeColor="text1"/>
          <w:sz w:val="22"/>
          <w:szCs w:val="22"/>
        </w:rPr>
        <w:t>W aktualnym okresie planowana jest budowa obwodnicy Sanoka w ciągu DK28 (II etap). Inwestycja będzie służyła wyprowadzeniu ruchu tranzytoweg</w:t>
      </w:r>
      <w:r w:rsidR="009C7C82">
        <w:rPr>
          <w:rFonts w:ascii="Arial" w:hAnsi="Arial" w:cs="Arial"/>
          <w:color w:val="000000" w:themeColor="text1"/>
          <w:sz w:val="22"/>
          <w:szCs w:val="22"/>
        </w:rPr>
        <w:t xml:space="preserve">o w ciągu dróg krajowych nr 28 </w:t>
      </w:r>
      <w:r w:rsidRPr="009B78DA">
        <w:rPr>
          <w:rFonts w:ascii="Arial" w:hAnsi="Arial" w:cs="Arial"/>
          <w:color w:val="000000" w:themeColor="text1"/>
          <w:sz w:val="22"/>
          <w:szCs w:val="22"/>
        </w:rPr>
        <w:t>i 84 z centrum Sanoka.</w:t>
      </w:r>
    </w:p>
    <w:p w14:paraId="0E99A06F" w14:textId="5AA8D585" w:rsidR="009E682F" w:rsidRPr="009B78DA" w:rsidRDefault="009E682F"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Podejmowane inwestycje na drogach wojewódzkich (w tym na drodze DW835 </w:t>
      </w:r>
      <w:r w:rsidR="003D73FA"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i </w:t>
      </w:r>
      <w:r w:rsidR="00EF0038" w:rsidRPr="009B78DA">
        <w:rPr>
          <w:rFonts w:ascii="Arial" w:hAnsi="Arial" w:cs="Arial"/>
          <w:color w:val="000000" w:themeColor="text1"/>
          <w:sz w:val="22"/>
          <w:szCs w:val="22"/>
        </w:rPr>
        <w:t>DW</w:t>
      </w:r>
      <w:r w:rsidRPr="009B78DA">
        <w:rPr>
          <w:rFonts w:ascii="Arial" w:hAnsi="Arial" w:cs="Arial"/>
          <w:color w:val="000000" w:themeColor="text1"/>
          <w:sz w:val="22"/>
          <w:szCs w:val="22"/>
        </w:rPr>
        <w:t xml:space="preserve">886) mają znaczenie istotne z punktu widzenia obsługi ruchu turystycznego. Nie powodują one jednak lepszej integracji MOF z innymi ośrodkami regionu, w tym </w:t>
      </w:r>
      <w:r w:rsidR="009C7C82">
        <w:rPr>
          <w:rFonts w:ascii="Arial" w:hAnsi="Arial" w:cs="Arial"/>
          <w:color w:val="000000" w:themeColor="text1"/>
          <w:sz w:val="22"/>
          <w:szCs w:val="22"/>
        </w:rPr>
        <w:br/>
      </w:r>
      <w:r w:rsidRPr="009B78DA">
        <w:rPr>
          <w:rFonts w:ascii="Arial" w:hAnsi="Arial" w:cs="Arial"/>
          <w:color w:val="000000" w:themeColor="text1"/>
          <w:sz w:val="22"/>
          <w:szCs w:val="22"/>
        </w:rPr>
        <w:t xml:space="preserve">z Rzeszowem. W celu domknięcia układu komunikacyjnego, </w:t>
      </w:r>
      <w:r w:rsidR="00EF0038" w:rsidRPr="009B78DA">
        <w:rPr>
          <w:rFonts w:ascii="Arial" w:hAnsi="Arial" w:cs="Arial"/>
          <w:color w:val="000000" w:themeColor="text1"/>
          <w:sz w:val="22"/>
          <w:szCs w:val="22"/>
        </w:rPr>
        <w:t>szczególna</w:t>
      </w:r>
      <w:r w:rsidRPr="009B78DA">
        <w:rPr>
          <w:rFonts w:ascii="Arial" w:hAnsi="Arial" w:cs="Arial"/>
          <w:color w:val="000000" w:themeColor="text1"/>
          <w:sz w:val="22"/>
          <w:szCs w:val="22"/>
        </w:rPr>
        <w:t xml:space="preserve"> będzie budowa drogi wojewódzkiej nr 886 na odcinku pomiędzy planowaną obwodnicą miasta Sanoka a drogą krajową nr 28.</w:t>
      </w:r>
    </w:p>
    <w:p w14:paraId="36AC866F" w14:textId="77777777" w:rsidR="009E682F" w:rsidRPr="009B78DA" w:rsidRDefault="009E682F"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Transport kolejowy w obrębie obszaru funkcjonalnego Sanok – Lesko funkcjonuje przy pomocy dwóch jednotorowych linii:</w:t>
      </w:r>
    </w:p>
    <w:p w14:paraId="13AE2E70" w14:textId="5BE2AC38" w:rsidR="009E682F" w:rsidRPr="009B78DA" w:rsidRDefault="009E682F" w:rsidP="009C7C82">
      <w:pPr>
        <w:pStyle w:val="Akapitzlist"/>
        <w:numPr>
          <w:ilvl w:val="0"/>
          <w:numId w:val="116"/>
        </w:numPr>
        <w:spacing w:after="0" w:line="264"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108 – połączenie rdzenia w Sanoku z Krosnem w kierunku zachodnim oraz przejściem granicznym w Krościenku w stronę wschodnią. </w:t>
      </w:r>
      <w:r w:rsidR="00EF0038" w:rsidRPr="009B78DA">
        <w:rPr>
          <w:rFonts w:ascii="Arial" w:hAnsi="Arial" w:cs="Arial"/>
          <w:color w:val="000000" w:themeColor="text1"/>
          <w:sz w:val="22"/>
          <w:szCs w:val="22"/>
        </w:rPr>
        <w:t>Niekorzystnym jest fakt, iż l</w:t>
      </w:r>
      <w:r w:rsidRPr="009B78DA">
        <w:rPr>
          <w:rFonts w:ascii="Arial" w:hAnsi="Arial" w:cs="Arial"/>
          <w:color w:val="000000" w:themeColor="text1"/>
          <w:sz w:val="22"/>
          <w:szCs w:val="22"/>
        </w:rPr>
        <w:t>inia ta omija Lesko</w:t>
      </w:r>
      <w:r w:rsidR="009E7EED" w:rsidRPr="009B78DA">
        <w:rPr>
          <w:rFonts w:ascii="Arial" w:hAnsi="Arial" w:cs="Arial"/>
          <w:color w:val="000000" w:themeColor="text1"/>
          <w:sz w:val="22"/>
          <w:szCs w:val="22"/>
        </w:rPr>
        <w:t>;</w:t>
      </w:r>
    </w:p>
    <w:p w14:paraId="45CB6B76" w14:textId="6B187714" w:rsidR="009E682F" w:rsidRPr="009C7C82" w:rsidRDefault="009E682F" w:rsidP="009C7C82">
      <w:pPr>
        <w:pStyle w:val="Akapitzlist"/>
        <w:numPr>
          <w:ilvl w:val="0"/>
          <w:numId w:val="116"/>
        </w:numPr>
        <w:spacing w:after="0" w:line="264"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107 – w kierunku przejścia granicznego ze Słowacją w Łupkowie, łącząca gminę Zagórz z obszarem rdzeniowym w Sanoku - eksploatowana epizodycznie.</w:t>
      </w:r>
    </w:p>
    <w:p w14:paraId="5FBCD222" w14:textId="6127BC46" w:rsidR="00A67314" w:rsidRPr="009B78DA" w:rsidRDefault="00662136" w:rsidP="009C7C82">
      <w:pPr>
        <w:pStyle w:val="Legenda"/>
        <w:keepNext/>
        <w:rPr>
          <w:rFonts w:ascii="Arial" w:hAnsi="Arial" w:cs="Arial"/>
          <w:i w:val="0"/>
          <w:color w:val="000000" w:themeColor="text1"/>
          <w:sz w:val="22"/>
          <w:szCs w:val="22"/>
        </w:rPr>
      </w:pPr>
      <w:bookmarkStart w:id="344" w:name="_Toc146785703"/>
      <w:r w:rsidRPr="009B78DA">
        <w:rPr>
          <w:rFonts w:ascii="Arial" w:hAnsi="Arial" w:cs="Arial"/>
          <w:b/>
          <w:i w:val="0"/>
          <w:color w:val="000000" w:themeColor="text1"/>
          <w:sz w:val="22"/>
          <w:szCs w:val="22"/>
        </w:rPr>
        <w:t xml:space="preserve">Rysunek </w:t>
      </w:r>
      <w:r w:rsidR="00A67314" w:rsidRPr="009B78DA">
        <w:rPr>
          <w:rFonts w:ascii="Arial" w:hAnsi="Arial" w:cs="Arial"/>
          <w:b/>
          <w:i w:val="0"/>
          <w:color w:val="000000" w:themeColor="text1"/>
          <w:sz w:val="22"/>
          <w:szCs w:val="22"/>
        </w:rPr>
        <w:fldChar w:fldCharType="begin"/>
      </w:r>
      <w:r w:rsidR="00A67314" w:rsidRPr="009B78DA">
        <w:rPr>
          <w:rFonts w:ascii="Arial" w:hAnsi="Arial" w:cs="Arial"/>
          <w:b/>
          <w:i w:val="0"/>
          <w:color w:val="000000" w:themeColor="text1"/>
          <w:sz w:val="22"/>
          <w:szCs w:val="22"/>
        </w:rPr>
        <w:instrText xml:space="preserve"> SEQ Rysunek_ \* ARABIC </w:instrText>
      </w:r>
      <w:r w:rsidR="00A67314"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74</w:t>
      </w:r>
      <w:r w:rsidR="00A67314"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r w:rsidR="00A67314" w:rsidRPr="009B78DA">
        <w:rPr>
          <w:rFonts w:ascii="Arial" w:hAnsi="Arial" w:cs="Arial"/>
          <w:i w:val="0"/>
          <w:color w:val="000000" w:themeColor="text1"/>
          <w:sz w:val="22"/>
          <w:szCs w:val="22"/>
        </w:rPr>
        <w:t>Proponowane kierunki rozwoju sieci transportowej w obszarze funkcjonalnym Sanok – Lesko</w:t>
      </w:r>
      <w:bookmarkEnd w:id="344"/>
    </w:p>
    <w:p w14:paraId="38E7BEFC" w14:textId="0B0787F7" w:rsidR="00222787" w:rsidRPr="009B78DA" w:rsidRDefault="006362E7" w:rsidP="008840E5">
      <w:pPr>
        <w:spacing w:after="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3DBC0159" wp14:editId="1267961D">
            <wp:extent cx="4569482" cy="5906892"/>
            <wp:effectExtent l="0" t="0" r="2540" b="0"/>
            <wp:docPr id="63" name="Obraz 63" descr="Obszar zaznaczony kolorem ciemno szarym rdzeń obszaru funkcjonalnego Sanok. Następnie kolorem jasno szarym gminy strefy zewnętrznej obszaru funkcjonalnego. Od góry Sanok, Lesko, Zagórz. Na czerwono drogi krajowe 28, 84. Na żółto drogi wojewódzkie 886, 892, 893, 894. Przerywaną biało czarna linia linie kolejowe 107, 108. Zaznaczono również drogi powiatowe jasno szara linią. Wskazano powiązania komunikacyjne wymagające wzmocnienia Krosno, Rzeszów, Przemyśl, Ustrzyki Dolne, Ukraina, Bieszczady, Słowacja " title="Rysunek 74 Proponowane kierunki rozwoju sieci transportowej w obszarze funkcjonalnym Sanok – Le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MOF Sanok- Lesko.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569482" cy="5906892"/>
                    </a:xfrm>
                    <a:prstGeom prst="rect">
                      <a:avLst/>
                    </a:prstGeom>
                  </pic:spPr>
                </pic:pic>
              </a:graphicData>
            </a:graphic>
          </wp:inline>
        </w:drawing>
      </w:r>
    </w:p>
    <w:bookmarkEnd w:id="343"/>
    <w:p w14:paraId="00138F1C" w14:textId="24DD2B61" w:rsidR="00196FBC" w:rsidRPr="009C7C82" w:rsidRDefault="005951EF" w:rsidP="009C7C82">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r w:rsidR="00911B88" w:rsidRPr="009B78DA">
        <w:rPr>
          <w:rFonts w:ascii="Arial" w:hAnsi="Arial" w:cs="Arial"/>
          <w:color w:val="000000" w:themeColor="text1"/>
          <w:sz w:val="22"/>
          <w:szCs w:val="22"/>
        </w:rPr>
        <w:t>Opracowanie własne.</w:t>
      </w:r>
    </w:p>
    <w:p w14:paraId="44A84735" w14:textId="53D5DDD0" w:rsidR="00157216" w:rsidRPr="009C7C82" w:rsidRDefault="00222787" w:rsidP="009C7C82">
      <w:pPr>
        <w:spacing w:after="240" w:line="264" w:lineRule="auto"/>
        <w:rPr>
          <w:rFonts w:ascii="Arial" w:hAnsi="Arial" w:cs="Arial"/>
          <w:b/>
          <w:color w:val="000000" w:themeColor="text1"/>
        </w:rPr>
      </w:pPr>
      <w:r w:rsidRPr="009B78DA">
        <w:rPr>
          <w:rFonts w:ascii="Arial" w:hAnsi="Arial" w:cs="Arial"/>
          <w:b/>
          <w:color w:val="000000" w:themeColor="text1"/>
        </w:rPr>
        <w:t>Ce</w:t>
      </w:r>
      <w:r w:rsidR="002F4BDA" w:rsidRPr="009B78DA">
        <w:rPr>
          <w:rFonts w:ascii="Arial" w:hAnsi="Arial" w:cs="Arial"/>
          <w:b/>
          <w:color w:val="000000" w:themeColor="text1"/>
        </w:rPr>
        <w:t>le horyzontalne</w:t>
      </w:r>
    </w:p>
    <w:p w14:paraId="2B0D482C" w14:textId="0E923172" w:rsidR="005071BD" w:rsidRPr="009C7C82" w:rsidRDefault="009C7C82" w:rsidP="009C7C82">
      <w:pPr>
        <w:spacing w:after="0" w:line="271" w:lineRule="auto"/>
        <w:rPr>
          <w:rFonts w:ascii="Arial" w:hAnsi="Arial" w:cs="Arial"/>
          <w:b/>
          <w:bCs/>
          <w:color w:val="000000" w:themeColor="text1"/>
          <w:sz w:val="22"/>
          <w:szCs w:val="22"/>
        </w:rPr>
      </w:pPr>
      <w:r>
        <w:rPr>
          <w:rFonts w:ascii="Arial" w:hAnsi="Arial" w:cs="Arial"/>
          <w:b/>
          <w:bCs/>
          <w:color w:val="000000" w:themeColor="text1"/>
          <w:sz w:val="22"/>
          <w:szCs w:val="22"/>
        </w:rPr>
        <w:t xml:space="preserve">Cel horyzontalny 1. </w:t>
      </w:r>
      <w:r>
        <w:rPr>
          <w:rFonts w:ascii="Arial" w:hAnsi="Arial" w:cs="Arial"/>
          <w:b/>
          <w:bCs/>
          <w:color w:val="000000" w:themeColor="text1"/>
          <w:sz w:val="22"/>
          <w:szCs w:val="22"/>
        </w:rPr>
        <w:br/>
      </w:r>
      <w:r w:rsidR="005071BD" w:rsidRPr="009B78DA">
        <w:rPr>
          <w:rFonts w:ascii="Arial" w:hAnsi="Arial" w:cs="Arial"/>
          <w:b/>
          <w:color w:val="000000" w:themeColor="text1"/>
          <w:sz w:val="22"/>
          <w:szCs w:val="22"/>
        </w:rPr>
        <w:t>Ograniczenie negatywnego oddziaływania sektora transportu na klimat oraz na regionalne środowisko naturalne</w:t>
      </w:r>
    </w:p>
    <w:p w14:paraId="3B416380" w14:textId="414385ED" w:rsidR="00A45A11" w:rsidRPr="009B78DA" w:rsidRDefault="00222787"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Zrównoważenie opcji transportowych w mieście powinno odbywać się poprzez tworzenie nieprzerwanych możliwości przemieszczania się środkami transportu o jak najmniejszej presji na środowisko. Łańcuchy ekomobilności w postaci ciągów pieszych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i rowerowych powinny stworzyć spójną siatkę połączeń na terenach miejskich i podmiejskich, tworząc alternatywę dla transportu samochodowego, będącą uzupełnieniem oferty transportu publicznego. W części obszarów miejskich ruch samochodów i pojazdów ciężarowych powinien być ograniczany m.in. poprzez budowę obwodnic</w:t>
      </w:r>
      <w:r w:rsidR="00EF0038" w:rsidRPr="009B78DA">
        <w:rPr>
          <w:rFonts w:ascii="Arial" w:hAnsi="Arial" w:cs="Arial"/>
          <w:color w:val="000000" w:themeColor="text1"/>
          <w:sz w:val="22"/>
          <w:szCs w:val="22"/>
        </w:rPr>
        <w:t xml:space="preserve">, a także </w:t>
      </w:r>
      <w:r w:rsidR="008358B7" w:rsidRPr="009B78DA">
        <w:rPr>
          <w:rFonts w:ascii="Arial" w:hAnsi="Arial" w:cs="Arial"/>
          <w:color w:val="000000" w:themeColor="text1"/>
          <w:sz w:val="22"/>
          <w:szCs w:val="22"/>
        </w:rPr>
        <w:t>poprzez rozwijanie niskoemisyjnego transportu miejskiego wraz z niezbędną infrastrukturą.</w:t>
      </w:r>
      <w:r w:rsidRPr="009B78DA">
        <w:rPr>
          <w:rFonts w:ascii="Arial" w:hAnsi="Arial" w:cs="Arial"/>
          <w:color w:val="000000" w:themeColor="text1"/>
          <w:sz w:val="22"/>
          <w:szCs w:val="22"/>
        </w:rPr>
        <w:t xml:space="preserve"> Rozwijana będzie również infrastruktura paliw alternatywnych, by zapewnić możliwość wykorzystania </w:t>
      </w:r>
      <w:r w:rsidR="00D9484D" w:rsidRPr="009B78DA">
        <w:rPr>
          <w:rFonts w:ascii="Arial" w:hAnsi="Arial" w:cs="Arial"/>
          <w:color w:val="000000" w:themeColor="text1"/>
          <w:sz w:val="22"/>
          <w:szCs w:val="22"/>
        </w:rPr>
        <w:br/>
      </w:r>
      <w:r w:rsidRPr="009B78DA">
        <w:rPr>
          <w:rFonts w:ascii="Arial" w:hAnsi="Arial" w:cs="Arial"/>
          <w:color w:val="000000" w:themeColor="text1"/>
          <w:sz w:val="22"/>
          <w:szCs w:val="22"/>
        </w:rPr>
        <w:t>w szerszym zakresie pojazdów napędzanych takim paliwem w ruchu miejskim.</w:t>
      </w:r>
      <w:r w:rsidR="00F434A9" w:rsidRPr="009B78DA">
        <w:rPr>
          <w:rFonts w:ascii="Arial" w:hAnsi="Arial" w:cs="Arial"/>
          <w:color w:val="000000" w:themeColor="text1"/>
          <w:sz w:val="22"/>
          <w:szCs w:val="22"/>
        </w:rPr>
        <w:t xml:space="preserve"> </w:t>
      </w:r>
      <w:r w:rsidR="00E16B88" w:rsidRPr="009B78DA">
        <w:rPr>
          <w:rFonts w:ascii="Arial" w:hAnsi="Arial" w:cs="Arial"/>
          <w:color w:val="000000" w:themeColor="text1"/>
          <w:sz w:val="22"/>
          <w:szCs w:val="22"/>
        </w:rPr>
        <w:t>O</w:t>
      </w:r>
      <w:r w:rsidR="00556517" w:rsidRPr="009B78DA">
        <w:rPr>
          <w:rFonts w:ascii="Arial" w:hAnsi="Arial" w:cs="Arial"/>
          <w:color w:val="000000" w:themeColor="text1"/>
          <w:sz w:val="22"/>
          <w:szCs w:val="22"/>
        </w:rPr>
        <w:t xml:space="preserve">bowiązujące regulacje prawne </w:t>
      </w:r>
      <w:r w:rsidR="00735253" w:rsidRPr="009B78DA">
        <w:rPr>
          <w:rFonts w:ascii="Arial" w:hAnsi="Arial" w:cs="Arial"/>
          <w:color w:val="000000" w:themeColor="text1"/>
          <w:sz w:val="22"/>
          <w:szCs w:val="22"/>
        </w:rPr>
        <w:t xml:space="preserve">obligują </w:t>
      </w:r>
      <w:r w:rsidR="00556517" w:rsidRPr="009B78DA">
        <w:rPr>
          <w:rFonts w:ascii="Arial" w:hAnsi="Arial" w:cs="Arial"/>
          <w:color w:val="000000" w:themeColor="text1"/>
          <w:sz w:val="22"/>
          <w:szCs w:val="22"/>
        </w:rPr>
        <w:t xml:space="preserve">gminy </w:t>
      </w:r>
      <w:r w:rsidR="00E16B88" w:rsidRPr="009B78DA">
        <w:rPr>
          <w:rFonts w:ascii="Arial" w:hAnsi="Arial" w:cs="Arial"/>
          <w:color w:val="000000" w:themeColor="text1"/>
          <w:sz w:val="22"/>
          <w:szCs w:val="22"/>
        </w:rPr>
        <w:t>do stosownych działań</w:t>
      </w:r>
      <w:r w:rsidR="00556517" w:rsidRPr="009B78DA">
        <w:rPr>
          <w:rFonts w:ascii="Arial" w:hAnsi="Arial" w:cs="Arial"/>
          <w:color w:val="000000" w:themeColor="text1"/>
          <w:sz w:val="22"/>
          <w:szCs w:val="22"/>
        </w:rPr>
        <w:t xml:space="preserve"> w tym zakresie. </w:t>
      </w:r>
      <w:r w:rsidR="00633268" w:rsidRPr="009B78DA">
        <w:rPr>
          <w:rFonts w:ascii="Arial" w:hAnsi="Arial" w:cs="Arial"/>
          <w:color w:val="000000" w:themeColor="text1"/>
          <w:sz w:val="22"/>
          <w:szCs w:val="22"/>
        </w:rPr>
        <w:t xml:space="preserve">Wspomniane </w:t>
      </w:r>
      <w:r w:rsidR="00556517" w:rsidRPr="009B78DA">
        <w:rPr>
          <w:rFonts w:ascii="Arial" w:hAnsi="Arial" w:cs="Arial"/>
          <w:color w:val="000000" w:themeColor="text1"/>
          <w:sz w:val="22"/>
          <w:szCs w:val="22"/>
        </w:rPr>
        <w:t xml:space="preserve">JST tworzą strategie i </w:t>
      </w:r>
      <w:r w:rsidR="00E16B88" w:rsidRPr="009B78DA">
        <w:rPr>
          <w:rFonts w:ascii="Arial" w:hAnsi="Arial" w:cs="Arial"/>
          <w:color w:val="000000" w:themeColor="text1"/>
          <w:sz w:val="22"/>
          <w:szCs w:val="22"/>
        </w:rPr>
        <w:t>realizują zadania</w:t>
      </w:r>
      <w:r w:rsidR="00556517" w:rsidRPr="009B78DA">
        <w:rPr>
          <w:rFonts w:ascii="Arial" w:hAnsi="Arial" w:cs="Arial"/>
          <w:color w:val="000000" w:themeColor="text1"/>
          <w:sz w:val="22"/>
          <w:szCs w:val="22"/>
        </w:rPr>
        <w:t xml:space="preserve"> służące wsparciu ładowania</w:t>
      </w:r>
      <w:r w:rsidR="00633268" w:rsidRPr="009B78DA">
        <w:rPr>
          <w:rFonts w:ascii="Arial" w:hAnsi="Arial" w:cs="Arial"/>
          <w:color w:val="000000" w:themeColor="text1"/>
          <w:sz w:val="22"/>
          <w:szCs w:val="22"/>
        </w:rPr>
        <w:t xml:space="preserve"> pojazdów m.in. </w:t>
      </w:r>
      <w:r w:rsidR="00556517" w:rsidRPr="009B78DA">
        <w:rPr>
          <w:rFonts w:ascii="Arial" w:hAnsi="Arial" w:cs="Arial"/>
          <w:color w:val="000000" w:themeColor="text1"/>
          <w:sz w:val="22"/>
          <w:szCs w:val="22"/>
        </w:rPr>
        <w:t>prądem</w:t>
      </w:r>
      <w:r w:rsidR="00556517" w:rsidRPr="009B78DA">
        <w:rPr>
          <w:rStyle w:val="Odwoanieprzypisudolnego"/>
          <w:rFonts w:ascii="Arial" w:hAnsi="Arial" w:cs="Arial"/>
          <w:color w:val="000000" w:themeColor="text1"/>
          <w:sz w:val="22"/>
          <w:szCs w:val="22"/>
        </w:rPr>
        <w:footnoteReference w:id="27"/>
      </w:r>
      <w:r w:rsidR="00556517" w:rsidRPr="009B78DA">
        <w:rPr>
          <w:rFonts w:ascii="Arial" w:hAnsi="Arial" w:cs="Arial"/>
          <w:color w:val="000000" w:themeColor="text1"/>
          <w:sz w:val="22"/>
          <w:szCs w:val="22"/>
        </w:rPr>
        <w:t>.</w:t>
      </w:r>
      <w:r w:rsidR="009C7C82">
        <w:rPr>
          <w:rFonts w:ascii="Arial" w:hAnsi="Arial" w:cs="Arial"/>
          <w:color w:val="000000" w:themeColor="text1"/>
          <w:sz w:val="22"/>
          <w:szCs w:val="22"/>
        </w:rPr>
        <w:t xml:space="preserve"> </w:t>
      </w:r>
      <w:r w:rsidR="00B20A73" w:rsidRPr="009B78DA">
        <w:rPr>
          <w:rFonts w:ascii="Arial" w:hAnsi="Arial" w:cs="Arial"/>
          <w:color w:val="000000" w:themeColor="text1"/>
          <w:sz w:val="22"/>
          <w:szCs w:val="22"/>
        </w:rPr>
        <w:t xml:space="preserve">W </w:t>
      </w:r>
      <w:r w:rsidR="00E16B88" w:rsidRPr="009B78DA">
        <w:rPr>
          <w:rFonts w:ascii="Arial" w:hAnsi="Arial" w:cs="Arial"/>
          <w:color w:val="000000" w:themeColor="text1"/>
          <w:sz w:val="22"/>
          <w:szCs w:val="22"/>
        </w:rPr>
        <w:t>przypadku</w:t>
      </w:r>
      <w:r w:rsidR="00B20A73" w:rsidRPr="009B78DA">
        <w:rPr>
          <w:rFonts w:ascii="Arial" w:hAnsi="Arial" w:cs="Arial"/>
          <w:color w:val="000000" w:themeColor="text1"/>
          <w:sz w:val="22"/>
          <w:szCs w:val="22"/>
        </w:rPr>
        <w:t xml:space="preserve"> stacji zasilania wodorem podejmowane są działania, w które angażuj</w:t>
      </w:r>
      <w:r w:rsidR="00A62691" w:rsidRPr="009B78DA">
        <w:rPr>
          <w:rFonts w:ascii="Arial" w:hAnsi="Arial" w:cs="Arial"/>
          <w:color w:val="000000" w:themeColor="text1"/>
          <w:sz w:val="22"/>
          <w:szCs w:val="22"/>
        </w:rPr>
        <w:t xml:space="preserve">ą się </w:t>
      </w:r>
      <w:r w:rsidR="00480AC7" w:rsidRPr="009B78DA">
        <w:rPr>
          <w:rFonts w:ascii="Arial" w:hAnsi="Arial" w:cs="Arial"/>
          <w:color w:val="000000" w:themeColor="text1"/>
          <w:sz w:val="22"/>
          <w:szCs w:val="22"/>
        </w:rPr>
        <w:t xml:space="preserve">także </w:t>
      </w:r>
      <w:r w:rsidR="00A62691" w:rsidRPr="009B78DA">
        <w:rPr>
          <w:rFonts w:ascii="Arial" w:hAnsi="Arial" w:cs="Arial"/>
          <w:color w:val="000000" w:themeColor="text1"/>
          <w:sz w:val="22"/>
          <w:szCs w:val="22"/>
        </w:rPr>
        <w:t>publiczne instytucje finansowe</w:t>
      </w:r>
      <w:r w:rsidR="00E16B88" w:rsidRPr="009B78DA">
        <w:rPr>
          <w:rFonts w:ascii="Arial" w:hAnsi="Arial" w:cs="Arial"/>
          <w:color w:val="000000" w:themeColor="text1"/>
          <w:sz w:val="22"/>
          <w:szCs w:val="22"/>
        </w:rPr>
        <w:t>, takie</w:t>
      </w:r>
      <w:r w:rsidR="00A62691" w:rsidRPr="009B78DA">
        <w:rPr>
          <w:rFonts w:ascii="Arial" w:hAnsi="Arial" w:cs="Arial"/>
          <w:color w:val="000000" w:themeColor="text1"/>
          <w:sz w:val="22"/>
          <w:szCs w:val="22"/>
        </w:rPr>
        <w:t xml:space="preserve"> jak Narodowy Fundusz Ochrony Środowiska</w:t>
      </w:r>
      <w:r w:rsidR="009C7C82">
        <w:rPr>
          <w:rFonts w:ascii="Arial" w:hAnsi="Arial" w:cs="Arial"/>
          <w:color w:val="000000" w:themeColor="text1"/>
          <w:sz w:val="22"/>
          <w:szCs w:val="22"/>
        </w:rPr>
        <w:t xml:space="preserve"> </w:t>
      </w:r>
      <w:r w:rsidR="00A62691" w:rsidRPr="009B78DA">
        <w:rPr>
          <w:rFonts w:ascii="Arial" w:hAnsi="Arial" w:cs="Arial"/>
          <w:color w:val="000000" w:themeColor="text1"/>
          <w:sz w:val="22"/>
          <w:szCs w:val="22"/>
        </w:rPr>
        <w:t>i Gospodarki Wodnej</w:t>
      </w:r>
      <w:r w:rsidR="00A62691" w:rsidRPr="009B78DA">
        <w:rPr>
          <w:rStyle w:val="Odwoanieprzypisudolnego"/>
          <w:rFonts w:ascii="Arial" w:hAnsi="Arial" w:cs="Arial"/>
          <w:color w:val="000000" w:themeColor="text1"/>
          <w:sz w:val="22"/>
          <w:szCs w:val="22"/>
        </w:rPr>
        <w:footnoteReference w:id="28"/>
      </w:r>
      <w:r w:rsidR="00A62691" w:rsidRPr="009B78DA">
        <w:rPr>
          <w:rFonts w:ascii="Arial" w:hAnsi="Arial" w:cs="Arial"/>
          <w:color w:val="000000" w:themeColor="text1"/>
          <w:sz w:val="22"/>
          <w:szCs w:val="22"/>
        </w:rPr>
        <w:t>.</w:t>
      </w:r>
      <w:r w:rsidR="00A45A11" w:rsidRPr="009B78DA">
        <w:rPr>
          <w:rFonts w:ascii="Arial" w:hAnsi="Arial" w:cs="Arial"/>
          <w:color w:val="000000" w:themeColor="text1"/>
          <w:sz w:val="22"/>
          <w:szCs w:val="22"/>
        </w:rPr>
        <w:t xml:space="preserve"> </w:t>
      </w:r>
    </w:p>
    <w:p w14:paraId="737AC9EA" w14:textId="0338AEEA" w:rsidR="00222787" w:rsidRPr="009B78DA" w:rsidRDefault="00A45A11" w:rsidP="009C7C82">
      <w:pPr>
        <w:spacing w:after="0" w:line="264" w:lineRule="auto"/>
        <w:ind w:firstLine="709"/>
        <w:rPr>
          <w:rFonts w:ascii="Arial" w:hAnsi="Arial" w:cs="Arial"/>
          <w:b/>
          <w:color w:val="000000" w:themeColor="text1"/>
          <w:sz w:val="22"/>
          <w:szCs w:val="22"/>
        </w:rPr>
      </w:pPr>
      <w:r w:rsidRPr="009B78DA">
        <w:rPr>
          <w:rFonts w:ascii="Arial" w:hAnsi="Arial" w:cs="Arial"/>
          <w:color w:val="000000" w:themeColor="text1"/>
          <w:sz w:val="22"/>
          <w:szCs w:val="22"/>
        </w:rPr>
        <w:t>Województwo podkarpackie posiada dokument wytyczający politykę klimatyczną dla Samorządu Województwa Podkarpackiego, a jego problematyka poświęcona jest również transportowi. Przyjęty 21 kwietnia 2023 r. przez Sejmik Województwa Podkarpackiego</w:t>
      </w:r>
      <w:r w:rsidRPr="009B78DA">
        <w:rPr>
          <w:rFonts w:ascii="Arial" w:hAnsi="Arial" w:cs="Arial"/>
          <w:i/>
          <w:color w:val="000000" w:themeColor="text1"/>
          <w:sz w:val="22"/>
          <w:szCs w:val="22"/>
        </w:rPr>
        <w:t xml:space="preserve"> Wojewódzki program przeciwdziałania zmianom klimatu i skutkom tych zmian </w:t>
      </w:r>
      <w:r w:rsidR="009D049C" w:rsidRPr="009B78DA">
        <w:rPr>
          <w:rFonts w:ascii="Arial" w:hAnsi="Arial" w:cs="Arial"/>
          <w:i/>
          <w:color w:val="000000" w:themeColor="text1"/>
          <w:sz w:val="22"/>
          <w:szCs w:val="22"/>
        </w:rPr>
        <w:br/>
      </w:r>
      <w:r w:rsidRPr="009B78DA">
        <w:rPr>
          <w:rFonts w:ascii="Arial" w:hAnsi="Arial" w:cs="Arial"/>
          <w:i/>
          <w:color w:val="000000" w:themeColor="text1"/>
          <w:sz w:val="22"/>
          <w:szCs w:val="22"/>
        </w:rPr>
        <w:t>z uwzględnieniem odnawialnych źródeł energii i gospodarki w obiegu zamkniętym</w:t>
      </w:r>
      <w:r w:rsidRPr="009B78DA">
        <w:rPr>
          <w:rFonts w:ascii="Arial" w:hAnsi="Arial" w:cs="Arial"/>
          <w:i/>
          <w:color w:val="000000" w:themeColor="text1"/>
          <w:sz w:val="22"/>
          <w:szCs w:val="22"/>
          <w:vertAlign w:val="superscript"/>
        </w:rPr>
        <w:footnoteReference w:id="29"/>
      </w:r>
      <w:r w:rsidRPr="009B78DA">
        <w:rPr>
          <w:rFonts w:ascii="Arial" w:hAnsi="Arial" w:cs="Arial"/>
          <w:color w:val="000000" w:themeColor="text1"/>
          <w:sz w:val="22"/>
          <w:szCs w:val="22"/>
        </w:rPr>
        <w:t xml:space="preserve"> wskazuje kierunki przyszłych działań i cele stosowanych rozwiązań.</w:t>
      </w:r>
    </w:p>
    <w:p w14:paraId="5F8283FE" w14:textId="7DE72649" w:rsidR="00157216" w:rsidRPr="009C7C82" w:rsidRDefault="00222787" w:rsidP="009C7C82">
      <w:pPr>
        <w:spacing w:after="12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Należy poddać badaniom możliwość włączania do systemu transportu miejskiego rozwiązań wykorzystujących bezzałogowe statki powietrzne (BSP, drony), w szczególności do transportu drobnych przesyłek. Wdrożenie takich rozwiązań mogłoby przyczynić się do ograniczenia ruchu naziemnego i jego optymalizacji oraz po</w:t>
      </w:r>
      <w:r w:rsidR="009C7C82">
        <w:rPr>
          <w:rFonts w:ascii="Arial" w:hAnsi="Arial" w:cs="Arial"/>
          <w:color w:val="000000" w:themeColor="text1"/>
          <w:sz w:val="22"/>
          <w:szCs w:val="22"/>
        </w:rPr>
        <w:t>zytywnie wpłynąć na środowisko.</w:t>
      </w:r>
    </w:p>
    <w:p w14:paraId="7AF8DEDE" w14:textId="05F9C25A" w:rsidR="005071BD" w:rsidRPr="009C7C82" w:rsidRDefault="00157216" w:rsidP="009C7C82">
      <w:pPr>
        <w:spacing w:after="0" w:line="271"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Cel horyzontalny 2. </w:t>
      </w:r>
      <w:r w:rsidR="009C7C82">
        <w:rPr>
          <w:rFonts w:ascii="Arial" w:hAnsi="Arial" w:cs="Arial"/>
          <w:b/>
          <w:bCs/>
          <w:color w:val="000000" w:themeColor="text1"/>
          <w:sz w:val="22"/>
          <w:szCs w:val="22"/>
        </w:rPr>
        <w:br/>
      </w:r>
      <w:r w:rsidR="005071BD" w:rsidRPr="009B78DA">
        <w:rPr>
          <w:rFonts w:ascii="Arial" w:hAnsi="Arial" w:cs="Arial"/>
          <w:b/>
          <w:color w:val="000000" w:themeColor="text1"/>
          <w:sz w:val="22"/>
          <w:szCs w:val="22"/>
        </w:rPr>
        <w:t>Wzmoc</w:t>
      </w:r>
      <w:r w:rsidR="009C7C82">
        <w:rPr>
          <w:rFonts w:ascii="Arial" w:hAnsi="Arial" w:cs="Arial"/>
          <w:b/>
          <w:color w:val="000000" w:themeColor="text1"/>
          <w:sz w:val="22"/>
          <w:szCs w:val="22"/>
        </w:rPr>
        <w:t>nienie rozwiązań multimodalnych</w:t>
      </w:r>
    </w:p>
    <w:p w14:paraId="4EA6939B" w14:textId="266D0AC7" w:rsidR="00222787" w:rsidRPr="009B78DA" w:rsidRDefault="00222787" w:rsidP="009C7C82">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Plany modernizacji dworców autobusowych, stacji węzłowych oraz przesiadkowych </w:t>
      </w:r>
      <w:r w:rsidR="00EF0038" w:rsidRPr="009B78DA">
        <w:rPr>
          <w:rFonts w:ascii="Arial" w:hAnsi="Arial" w:cs="Arial"/>
          <w:color w:val="000000" w:themeColor="text1"/>
          <w:sz w:val="22"/>
          <w:szCs w:val="22"/>
        </w:rPr>
        <w:t xml:space="preserve">sprzyjające okażą się przy </w:t>
      </w:r>
      <w:r w:rsidRPr="009B78DA">
        <w:rPr>
          <w:rFonts w:ascii="Arial" w:hAnsi="Arial" w:cs="Arial"/>
          <w:color w:val="000000" w:themeColor="text1"/>
          <w:sz w:val="22"/>
          <w:szCs w:val="22"/>
        </w:rPr>
        <w:t>wprowadzeniu intermodalnego biletu elektronicznego</w:t>
      </w:r>
      <w:r w:rsidR="00EF0038"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r w:rsidR="00EF0038" w:rsidRPr="009B78DA">
        <w:rPr>
          <w:rFonts w:ascii="Arial" w:hAnsi="Arial" w:cs="Arial"/>
          <w:color w:val="000000" w:themeColor="text1"/>
          <w:sz w:val="22"/>
          <w:szCs w:val="22"/>
        </w:rPr>
        <w:t>B</w:t>
      </w:r>
      <w:r w:rsidRPr="009B78DA">
        <w:rPr>
          <w:rFonts w:ascii="Arial" w:hAnsi="Arial" w:cs="Arial"/>
          <w:color w:val="000000" w:themeColor="text1"/>
          <w:sz w:val="22"/>
          <w:szCs w:val="22"/>
        </w:rPr>
        <w:t xml:space="preserve">ędzie </w:t>
      </w:r>
      <w:r w:rsidR="00EF0038" w:rsidRPr="009B78DA">
        <w:rPr>
          <w:rFonts w:ascii="Arial" w:hAnsi="Arial" w:cs="Arial"/>
          <w:color w:val="000000" w:themeColor="text1"/>
          <w:sz w:val="22"/>
          <w:szCs w:val="22"/>
        </w:rPr>
        <w:t xml:space="preserve">on </w:t>
      </w:r>
      <w:r w:rsidRPr="009B78DA">
        <w:rPr>
          <w:rFonts w:ascii="Arial" w:hAnsi="Arial" w:cs="Arial"/>
          <w:color w:val="000000" w:themeColor="text1"/>
          <w:sz w:val="22"/>
          <w:szCs w:val="22"/>
        </w:rPr>
        <w:t xml:space="preserve">funkcjonował w obszarach transportu publicznego i </w:t>
      </w:r>
      <w:r w:rsidR="00EF0038" w:rsidRPr="009B78DA">
        <w:rPr>
          <w:rFonts w:ascii="Arial" w:hAnsi="Arial" w:cs="Arial"/>
          <w:color w:val="000000" w:themeColor="text1"/>
          <w:sz w:val="22"/>
          <w:szCs w:val="22"/>
        </w:rPr>
        <w:t>pozwoli na</w:t>
      </w:r>
      <w:r w:rsidRPr="009B78DA">
        <w:rPr>
          <w:rFonts w:ascii="Arial" w:hAnsi="Arial" w:cs="Arial"/>
          <w:color w:val="000000" w:themeColor="text1"/>
          <w:sz w:val="22"/>
          <w:szCs w:val="22"/>
        </w:rPr>
        <w:t xml:space="preserve"> przemieszcza</w:t>
      </w:r>
      <w:r w:rsidR="00EF0038" w:rsidRPr="009B78DA">
        <w:rPr>
          <w:rFonts w:ascii="Arial" w:hAnsi="Arial" w:cs="Arial"/>
          <w:color w:val="000000" w:themeColor="text1"/>
          <w:sz w:val="22"/>
          <w:szCs w:val="22"/>
        </w:rPr>
        <w:t>nie</w:t>
      </w:r>
      <w:r w:rsidRPr="009B78DA">
        <w:rPr>
          <w:rFonts w:ascii="Arial" w:hAnsi="Arial" w:cs="Arial"/>
          <w:color w:val="000000" w:themeColor="text1"/>
          <w:sz w:val="22"/>
          <w:szCs w:val="22"/>
        </w:rPr>
        <w:t xml:space="preserve"> się po całym województwie przy pomocy jednego biletu. Intermodalny bilet ułatwi dostęp do różnego rodzaju usług np. planowania podróży i rezerwacji miejsc, zasobów kultury, usług turystycznych. Funkcjonalności te będą zintegrowane informacją przestrzenną GIS. Aby osiągnąć optymalny poziom wykorzystania transportu publicznego niezbędnym jest wprowadzenie </w:t>
      </w:r>
      <w:r w:rsidR="00391DB3" w:rsidRPr="009B78DA">
        <w:rPr>
          <w:rFonts w:ascii="Arial" w:hAnsi="Arial" w:cs="Arial"/>
          <w:color w:val="000000" w:themeColor="text1"/>
          <w:sz w:val="22"/>
          <w:szCs w:val="22"/>
        </w:rPr>
        <w:t>standardów</w:t>
      </w:r>
      <w:r w:rsidRPr="009B78DA">
        <w:rPr>
          <w:rFonts w:ascii="Arial" w:hAnsi="Arial" w:cs="Arial"/>
          <w:color w:val="000000" w:themeColor="text1"/>
          <w:sz w:val="22"/>
          <w:szCs w:val="22"/>
        </w:rPr>
        <w:t xml:space="preserve"> UE sprzyjających integracji usług w tym obszarze</w:t>
      </w:r>
      <w:r w:rsidR="002F5ED6" w:rsidRPr="009B78DA">
        <w:rPr>
          <w:rFonts w:ascii="Arial" w:hAnsi="Arial" w:cs="Arial"/>
          <w:color w:val="000000" w:themeColor="text1"/>
          <w:sz w:val="22"/>
          <w:szCs w:val="22"/>
        </w:rPr>
        <w:t>.</w:t>
      </w:r>
    </w:p>
    <w:p w14:paraId="67798D6E" w14:textId="1702F9A6" w:rsidR="00222787" w:rsidRPr="009B78DA" w:rsidRDefault="00222787"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Ruch tranzytowy oraz przebieg przez obszar regionu tras transportowych o znaczeniu europejskim, stwarza przesłanki do rozwoju transportu intermodalnego. Na terenie województwa podkarpackiego istnieją możliwości tworzenia intermodalnych węzłów transportowych na bazie dostępnej infrastruktury transportu kolejowego. Oprócz linii kolejowej nr E30 z terminalem przeładunkowym w Medyce-Żurawicy (o znaczeniu europejskim – sieć kompleksowa TEN-T) do wykorzystania w transporcie intermodalnym kwalifikuje się terminal przeładunkowy na linii LHS znajdujący się w Woli Baranowskie</w:t>
      </w:r>
      <w:r w:rsidR="002847B8" w:rsidRPr="009B78DA">
        <w:rPr>
          <w:rFonts w:ascii="Arial" w:hAnsi="Arial" w:cs="Arial"/>
          <w:color w:val="000000" w:themeColor="text1"/>
          <w:sz w:val="22"/>
          <w:szCs w:val="22"/>
        </w:rPr>
        <w:t>j</w:t>
      </w:r>
      <w:r w:rsidR="00F70CDF" w:rsidRPr="009B78DA">
        <w:rPr>
          <w:rFonts w:ascii="Arial" w:hAnsi="Arial" w:cs="Arial"/>
          <w:color w:val="000000" w:themeColor="text1"/>
          <w:sz w:val="22"/>
          <w:szCs w:val="22"/>
        </w:rPr>
        <w:t xml:space="preserve"> </w:t>
      </w:r>
      <w:bookmarkStart w:id="345" w:name="_Hlk77837692"/>
      <w:r w:rsidR="00F70CDF" w:rsidRPr="009B78DA">
        <w:rPr>
          <w:rFonts w:ascii="Arial" w:hAnsi="Arial" w:cs="Arial"/>
          <w:color w:val="000000" w:themeColor="text1"/>
          <w:sz w:val="22"/>
          <w:szCs w:val="22"/>
        </w:rPr>
        <w:t>oraz terminal przeładunkowy w Werchracie</w:t>
      </w:r>
      <w:r w:rsidRPr="009B78DA">
        <w:rPr>
          <w:rFonts w:ascii="Arial" w:hAnsi="Arial" w:cs="Arial"/>
          <w:color w:val="000000" w:themeColor="text1"/>
          <w:sz w:val="22"/>
          <w:szCs w:val="22"/>
        </w:rPr>
        <w:t>.</w:t>
      </w:r>
      <w:bookmarkEnd w:id="345"/>
    </w:p>
    <w:p w14:paraId="3D3392EC" w14:textId="3B737091" w:rsidR="00222787" w:rsidRPr="009B78DA" w:rsidRDefault="00222787"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 perspektywy krajowej i międzynarodowej w wymianie towarowej z Ukrainą należy wykorzystać rosnące znaczenie ruchu tranzytowego przez teren województwa (głównie autostrada oraz układ skośny z województwa świętokrzyskiego). W wymianie towarowej </w:t>
      </w:r>
      <w:r w:rsidR="006014D4" w:rsidRPr="009B78DA">
        <w:rPr>
          <w:rFonts w:ascii="Arial" w:hAnsi="Arial" w:cs="Arial"/>
          <w:color w:val="000000" w:themeColor="text1"/>
          <w:sz w:val="22"/>
          <w:szCs w:val="22"/>
        </w:rPr>
        <w:br/>
      </w:r>
      <w:r w:rsidRPr="009B78DA">
        <w:rPr>
          <w:rFonts w:ascii="Arial" w:hAnsi="Arial" w:cs="Arial"/>
          <w:color w:val="000000" w:themeColor="text1"/>
          <w:sz w:val="22"/>
          <w:szCs w:val="22"/>
        </w:rPr>
        <w:t>z pozostałymi krajami wschodnimi spoza UE, ze względu na wzrost znaczenia tych rynków dla eksportu z województwa</w:t>
      </w:r>
      <w:r w:rsidR="00EF0038"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nacisk powinien zostać położony na odpowiednie powiązanie województwa w kierunku północnym</w:t>
      </w:r>
      <w:r w:rsidR="00EF0038" w:rsidRPr="009B78DA">
        <w:rPr>
          <w:rFonts w:ascii="Arial" w:hAnsi="Arial" w:cs="Arial"/>
          <w:color w:val="000000" w:themeColor="text1"/>
          <w:sz w:val="22"/>
          <w:szCs w:val="22"/>
        </w:rPr>
        <w:t>, by</w:t>
      </w:r>
      <w:r w:rsidRPr="009B78DA">
        <w:rPr>
          <w:rFonts w:ascii="Arial" w:hAnsi="Arial" w:cs="Arial"/>
          <w:color w:val="000000" w:themeColor="text1"/>
          <w:sz w:val="22"/>
          <w:szCs w:val="22"/>
        </w:rPr>
        <w:t xml:space="preserve"> zapew</w:t>
      </w:r>
      <w:r w:rsidR="00EF0038" w:rsidRPr="009B78DA">
        <w:rPr>
          <w:rFonts w:ascii="Arial" w:hAnsi="Arial" w:cs="Arial"/>
          <w:color w:val="000000" w:themeColor="text1"/>
          <w:sz w:val="22"/>
          <w:szCs w:val="22"/>
        </w:rPr>
        <w:t>n</w:t>
      </w:r>
      <w:r w:rsidRPr="009B78DA">
        <w:rPr>
          <w:rFonts w:ascii="Arial" w:hAnsi="Arial" w:cs="Arial"/>
          <w:color w:val="000000" w:themeColor="text1"/>
          <w:sz w:val="22"/>
          <w:szCs w:val="22"/>
        </w:rPr>
        <w:t>i</w:t>
      </w:r>
      <w:r w:rsidR="00EF0038" w:rsidRPr="009B78DA">
        <w:rPr>
          <w:rFonts w:ascii="Arial" w:hAnsi="Arial" w:cs="Arial"/>
          <w:color w:val="000000" w:themeColor="text1"/>
          <w:sz w:val="22"/>
          <w:szCs w:val="22"/>
        </w:rPr>
        <w:t>ć</w:t>
      </w:r>
      <w:r w:rsidRPr="009B78DA">
        <w:rPr>
          <w:rFonts w:ascii="Arial" w:hAnsi="Arial" w:cs="Arial"/>
          <w:color w:val="000000" w:themeColor="text1"/>
          <w:sz w:val="22"/>
          <w:szCs w:val="22"/>
        </w:rPr>
        <w:t xml:space="preserve"> sprawn</w:t>
      </w:r>
      <w:r w:rsidR="00EF0038" w:rsidRPr="009B78DA">
        <w:rPr>
          <w:rFonts w:ascii="Arial" w:hAnsi="Arial" w:cs="Arial"/>
          <w:color w:val="000000" w:themeColor="text1"/>
          <w:sz w:val="22"/>
          <w:szCs w:val="22"/>
        </w:rPr>
        <w:t>y</w:t>
      </w:r>
      <w:r w:rsidRPr="009B78DA">
        <w:rPr>
          <w:rFonts w:ascii="Arial" w:hAnsi="Arial" w:cs="Arial"/>
          <w:color w:val="000000" w:themeColor="text1"/>
          <w:sz w:val="22"/>
          <w:szCs w:val="22"/>
        </w:rPr>
        <w:t xml:space="preserve"> ruch do granicy.</w:t>
      </w:r>
    </w:p>
    <w:p w14:paraId="5060BF1A" w14:textId="5E40DAA7" w:rsidR="00157216" w:rsidRPr="009C7C82" w:rsidRDefault="00222787" w:rsidP="009C7C82">
      <w:pPr>
        <w:spacing w:after="12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wymianie towarowej ze Słowacją – ze względu na relatywnie silniejsze powiązania powiatu krośnieńskiego oraz niektórych stolic województw Polski Wschodniej – wzmocnienie układu transportowego do granicy ze Słowacją oraz z perspektywy roli wymiany handlowej ze Stanami Zjednoczonymi – zapewnienie odpowiednich połączeń lotniczych i ciągów drogowyc</w:t>
      </w:r>
      <w:r w:rsidR="0007019C" w:rsidRPr="009B78DA">
        <w:rPr>
          <w:rFonts w:ascii="Arial" w:hAnsi="Arial" w:cs="Arial"/>
          <w:color w:val="000000" w:themeColor="text1"/>
          <w:sz w:val="22"/>
          <w:szCs w:val="22"/>
        </w:rPr>
        <w:t xml:space="preserve">h do lotniska w </w:t>
      </w:r>
      <w:bookmarkStart w:id="346" w:name="_Hlk92617683"/>
      <w:r w:rsidR="0007019C" w:rsidRPr="009B78DA">
        <w:rPr>
          <w:rFonts w:ascii="Arial" w:hAnsi="Arial" w:cs="Arial"/>
          <w:color w:val="000000" w:themeColor="text1"/>
          <w:sz w:val="22"/>
          <w:szCs w:val="22"/>
        </w:rPr>
        <w:t>Rzeszowie</w:t>
      </w:r>
      <w:r w:rsidR="002F5ED6" w:rsidRPr="009B78DA">
        <w:rPr>
          <w:rFonts w:ascii="Arial" w:hAnsi="Arial" w:cs="Arial"/>
          <w:color w:val="000000" w:themeColor="text1"/>
          <w:sz w:val="22"/>
          <w:szCs w:val="22"/>
        </w:rPr>
        <w:t xml:space="preserve"> – S19</w:t>
      </w:r>
      <w:r w:rsidR="0007019C" w:rsidRPr="009B78DA">
        <w:rPr>
          <w:rFonts w:ascii="Arial" w:hAnsi="Arial" w:cs="Arial"/>
          <w:color w:val="000000" w:themeColor="text1"/>
          <w:sz w:val="22"/>
          <w:szCs w:val="22"/>
        </w:rPr>
        <w:t>.</w:t>
      </w:r>
      <w:bookmarkEnd w:id="346"/>
    </w:p>
    <w:p w14:paraId="30D0C4D2" w14:textId="2B6A9107" w:rsidR="00222787" w:rsidRPr="009C7C82" w:rsidRDefault="00157216" w:rsidP="009C7C82">
      <w:pPr>
        <w:spacing w:after="0" w:line="271"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Cel horyzontalny 3. </w:t>
      </w:r>
      <w:r w:rsidR="009C7C82">
        <w:rPr>
          <w:rFonts w:ascii="Arial" w:hAnsi="Arial" w:cs="Arial"/>
          <w:b/>
          <w:bCs/>
          <w:color w:val="000000" w:themeColor="text1"/>
          <w:sz w:val="22"/>
          <w:szCs w:val="22"/>
        </w:rPr>
        <w:br/>
      </w:r>
      <w:r w:rsidRPr="009B78DA">
        <w:rPr>
          <w:rFonts w:ascii="Arial" w:hAnsi="Arial" w:cs="Arial"/>
          <w:b/>
          <w:color w:val="000000" w:themeColor="text1"/>
          <w:sz w:val="22"/>
          <w:szCs w:val="22"/>
        </w:rPr>
        <w:t>Rozwój t</w:t>
      </w:r>
      <w:r w:rsidR="00222787" w:rsidRPr="009B78DA">
        <w:rPr>
          <w:rFonts w:ascii="Arial" w:hAnsi="Arial" w:cs="Arial"/>
          <w:b/>
          <w:color w:val="000000" w:themeColor="text1"/>
          <w:sz w:val="22"/>
          <w:szCs w:val="22"/>
        </w:rPr>
        <w:t>ransport</w:t>
      </w:r>
      <w:r w:rsidRPr="009B78DA">
        <w:rPr>
          <w:rFonts w:ascii="Arial" w:hAnsi="Arial" w:cs="Arial"/>
          <w:b/>
          <w:color w:val="000000" w:themeColor="text1"/>
          <w:sz w:val="22"/>
          <w:szCs w:val="22"/>
        </w:rPr>
        <w:t>u</w:t>
      </w:r>
      <w:r w:rsidR="00222787" w:rsidRPr="009B78DA">
        <w:rPr>
          <w:rFonts w:ascii="Arial" w:hAnsi="Arial" w:cs="Arial"/>
          <w:b/>
          <w:color w:val="000000" w:themeColor="text1"/>
          <w:sz w:val="22"/>
          <w:szCs w:val="22"/>
        </w:rPr>
        <w:t xml:space="preserve"> publiczn</w:t>
      </w:r>
      <w:r w:rsidRPr="009B78DA">
        <w:rPr>
          <w:rFonts w:ascii="Arial" w:hAnsi="Arial" w:cs="Arial"/>
          <w:b/>
          <w:color w:val="000000" w:themeColor="text1"/>
          <w:sz w:val="22"/>
          <w:szCs w:val="22"/>
        </w:rPr>
        <w:t>ego</w:t>
      </w:r>
    </w:p>
    <w:p w14:paraId="541B68C1" w14:textId="7124B25C" w:rsidR="00222787" w:rsidRPr="009B78DA" w:rsidRDefault="00222787"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Natężenie ruchu pojazdów osobowych w województwie podkarpackim koncentruje się głównie na drogach dojazdowych do głównych miast, w tym przede wszystkim do Rzeszowa i na przejściach przez miasta w </w:t>
      </w:r>
      <w:r w:rsidR="0007019C" w:rsidRPr="009B78DA">
        <w:rPr>
          <w:rFonts w:ascii="Arial" w:hAnsi="Arial" w:cs="Arial"/>
          <w:color w:val="000000" w:themeColor="text1"/>
          <w:sz w:val="22"/>
          <w:szCs w:val="22"/>
        </w:rPr>
        <w:t>ciągach</w:t>
      </w:r>
      <w:r w:rsidRPr="009B78DA">
        <w:rPr>
          <w:rFonts w:ascii="Arial" w:hAnsi="Arial" w:cs="Arial"/>
          <w:color w:val="000000" w:themeColor="text1"/>
          <w:sz w:val="22"/>
          <w:szCs w:val="22"/>
        </w:rPr>
        <w:t xml:space="preserve"> dróg krajowych. Specyficzny dla </w:t>
      </w:r>
      <w:r w:rsidR="0007019C" w:rsidRPr="009B78DA">
        <w:rPr>
          <w:rFonts w:ascii="Arial" w:hAnsi="Arial" w:cs="Arial"/>
          <w:color w:val="000000" w:themeColor="text1"/>
          <w:sz w:val="22"/>
          <w:szCs w:val="22"/>
        </w:rPr>
        <w:t>województwa</w:t>
      </w:r>
      <w:r w:rsidRPr="009B78DA">
        <w:rPr>
          <w:rFonts w:ascii="Arial" w:hAnsi="Arial" w:cs="Arial"/>
          <w:color w:val="000000" w:themeColor="text1"/>
          <w:sz w:val="22"/>
          <w:szCs w:val="22"/>
        </w:rPr>
        <w:t xml:space="preserve"> podkarpackiego jest model rynku pracy oparty na codziennych dojazdach, który powoduje zatłoczenie dróg, zjawisko kongestii w miastach oraz podnosi wskaźnik wypadkowości. Te niekorzystne zjawiska należy minimalizować poprzez rozwój transportu publicznego w przewozach między ośrodkami subregionalnymi.</w:t>
      </w:r>
    </w:p>
    <w:p w14:paraId="3A8EA45B" w14:textId="77777777" w:rsidR="00222787" w:rsidRPr="009B78DA" w:rsidRDefault="00222787"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Wzrost liczby pasażerów będzie zależeć od wielu czynników, takich jak m. in. czas, koszt oraz jakość usług. Można założyć, że wzorem państw zachodnich w dłuższym okresie, wraz z poprawą jakości usług, będzie następować powrót do transportu publicznego </w:t>
      </w:r>
      <w:r w:rsidR="006014D4" w:rsidRPr="009B78DA">
        <w:rPr>
          <w:rFonts w:ascii="Arial" w:hAnsi="Arial" w:cs="Arial"/>
          <w:color w:val="000000" w:themeColor="text1"/>
          <w:sz w:val="22"/>
          <w:szCs w:val="22"/>
        </w:rPr>
        <w:br/>
      </w:r>
      <w:r w:rsidRPr="009B78DA">
        <w:rPr>
          <w:rFonts w:ascii="Arial" w:hAnsi="Arial" w:cs="Arial"/>
          <w:color w:val="000000" w:themeColor="text1"/>
          <w:sz w:val="22"/>
          <w:szCs w:val="22"/>
        </w:rPr>
        <w:t>i rezygnacja z motoryzacji indywidualnej, szczególnie w młodym pokoleniu użytkowników.</w:t>
      </w:r>
    </w:p>
    <w:p w14:paraId="0D4414A6" w14:textId="6E5F2919" w:rsidR="00222787" w:rsidRPr="009B78DA" w:rsidRDefault="00222787"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Najważniejszym zadaniem dla rozwoju transportu w województwie podkarpackim jest budowa zintegrowanych węzłów przesiadkowych (pasażerskich) pomiędzy transportem lotniczym, kolejowym i drogowym (autobusowym, komunikacją miejską oraz transportem indywidualnym). W pierwszej kolejności, zintegrowane intermodalne węzły przesiadkowe winny obejmować węzły ponadregionalne i regionalne ze szczególnym uwzględnieniem miasta Rzeszowa. Zgodnie z dyrektywami UE w obszarze całego województwa należy szczególnie zwrócić uwagę na rozwój i wykor</w:t>
      </w:r>
      <w:r w:rsidR="0007019C" w:rsidRPr="009B78DA">
        <w:rPr>
          <w:rFonts w:ascii="Arial" w:hAnsi="Arial" w:cs="Arial"/>
          <w:color w:val="000000" w:themeColor="text1"/>
          <w:sz w:val="22"/>
          <w:szCs w:val="22"/>
        </w:rPr>
        <w:t>zystanie transportu kolejowego.</w:t>
      </w:r>
    </w:p>
    <w:p w14:paraId="340229C1" w14:textId="254C3CC6" w:rsidR="004E67D8" w:rsidRPr="009B78DA" w:rsidRDefault="004E67D8"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Już zakupiony i planowany do zakupu przez Województwo Podkarpackie tabor kolejowy wyposażony jest w urządzenia umożliwiające podróż w komfortowych warunkach (klimatyzacja, sieć WIFI). Zostały podjęte działania zmierzające do połączenia różnych</w:t>
      </w:r>
      <w:r w:rsidR="009C7C82">
        <w:rPr>
          <w:rFonts w:ascii="Arial" w:hAnsi="Arial" w:cs="Arial"/>
          <w:color w:val="000000" w:themeColor="text1"/>
          <w:sz w:val="22"/>
          <w:szCs w:val="22"/>
        </w:rPr>
        <w:t xml:space="preserve"> rodzajów transportu takie jak:</w:t>
      </w:r>
    </w:p>
    <w:p w14:paraId="420C4CEF" w14:textId="77777777" w:rsidR="00F62EEB" w:rsidRPr="009B78DA" w:rsidRDefault="00F62EEB"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 </w:t>
      </w:r>
      <w:r w:rsidR="004E67D8" w:rsidRPr="009B78DA">
        <w:rPr>
          <w:rFonts w:ascii="Arial" w:hAnsi="Arial" w:cs="Arial"/>
          <w:color w:val="000000" w:themeColor="text1"/>
          <w:sz w:val="22"/>
          <w:szCs w:val="22"/>
        </w:rPr>
        <w:t xml:space="preserve">Województwo Podkarpackie zawarło porozumienie z ZTM Rzeszów w celu wdrożenia wspólnego biletu obejmującego transport kolejowy w zasięgu PKA oraz transport autobusowy na terenie miasta Rzeszów i zakłada się kontynuację podjętej współpracy oraz rozpoczęto rozmowy z PKS </w:t>
      </w:r>
      <w:r w:rsidR="002E71EA" w:rsidRPr="009B78DA">
        <w:rPr>
          <w:rFonts w:ascii="Arial" w:hAnsi="Arial" w:cs="Arial"/>
          <w:color w:val="000000" w:themeColor="text1"/>
          <w:sz w:val="22"/>
          <w:szCs w:val="22"/>
        </w:rPr>
        <w:t>w celu</w:t>
      </w:r>
      <w:r w:rsidR="004E67D8" w:rsidRPr="009B78DA">
        <w:rPr>
          <w:rFonts w:ascii="Arial" w:hAnsi="Arial" w:cs="Arial"/>
          <w:color w:val="000000" w:themeColor="text1"/>
          <w:sz w:val="22"/>
          <w:szCs w:val="22"/>
        </w:rPr>
        <w:t xml:space="preserve"> współprac</w:t>
      </w:r>
      <w:r w:rsidRPr="009B78DA">
        <w:rPr>
          <w:rFonts w:ascii="Arial" w:hAnsi="Arial" w:cs="Arial"/>
          <w:color w:val="000000" w:themeColor="text1"/>
          <w:sz w:val="22"/>
          <w:szCs w:val="22"/>
        </w:rPr>
        <w:t>y dotyczącej</w:t>
      </w:r>
      <w:r w:rsidR="004E67D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wspólnego biletu</w:t>
      </w:r>
      <w:r w:rsidR="004E67D8" w:rsidRPr="009B78DA">
        <w:rPr>
          <w:rFonts w:ascii="Arial" w:hAnsi="Arial" w:cs="Arial"/>
          <w:color w:val="000000" w:themeColor="text1"/>
          <w:sz w:val="22"/>
          <w:szCs w:val="22"/>
        </w:rPr>
        <w:t>.</w:t>
      </w:r>
    </w:p>
    <w:p w14:paraId="3C3402E6" w14:textId="60BCCD9F" w:rsidR="00EF0038" w:rsidRPr="009B78DA" w:rsidRDefault="00F62EEB" w:rsidP="009C7C82">
      <w:pPr>
        <w:spacing w:after="12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 </w:t>
      </w:r>
      <w:r w:rsidR="004E67D8" w:rsidRPr="009B78DA">
        <w:rPr>
          <w:rFonts w:ascii="Arial" w:hAnsi="Arial" w:cs="Arial"/>
          <w:color w:val="000000" w:themeColor="text1"/>
          <w:sz w:val="22"/>
          <w:szCs w:val="22"/>
        </w:rPr>
        <w:t>Województwo Podkarpackie zawarło porozumienie z gminą Trzebownisko i Głogów Małopolski w zakresie opracowania dokument</w:t>
      </w:r>
      <w:r w:rsidR="009C7C82">
        <w:rPr>
          <w:rFonts w:ascii="Arial" w:hAnsi="Arial" w:cs="Arial"/>
          <w:color w:val="000000" w:themeColor="text1"/>
          <w:sz w:val="22"/>
          <w:szCs w:val="22"/>
        </w:rPr>
        <w:t xml:space="preserve">acji na realizację zadania pn.: </w:t>
      </w:r>
      <w:r w:rsidR="004E67D8" w:rsidRPr="009B78DA">
        <w:rPr>
          <w:rFonts w:ascii="Arial" w:hAnsi="Arial" w:cs="Arial"/>
          <w:color w:val="000000" w:themeColor="text1"/>
          <w:sz w:val="22"/>
          <w:szCs w:val="22"/>
        </w:rPr>
        <w:t xml:space="preserve">„Przebudowa/rozbudowa drogi wewnętrznej o długości ok. 2,3 km prowadzącej do Parku Naukowo-Technologicznego na terenie dwóch gmin: Głogów Małopolski oraz Trzebownisko”. Realizacja inwestycji przyczyni się do poprawy stanu technicznego i paramentów istniejącej drogi, pozwoli na rozwój terenów inwestycyjnych w rejonie Parku Naukowo-Technologicznego. Dzięki wykonanym pracom powstaną również 84 miejsca parkingowe </w:t>
      </w:r>
      <w:r w:rsidR="009C7C82">
        <w:rPr>
          <w:rFonts w:ascii="Arial" w:hAnsi="Arial" w:cs="Arial"/>
          <w:color w:val="000000" w:themeColor="text1"/>
          <w:sz w:val="22"/>
          <w:szCs w:val="22"/>
        </w:rPr>
        <w:br/>
      </w:r>
      <w:r w:rsidR="004E67D8" w:rsidRPr="009B78DA">
        <w:rPr>
          <w:rFonts w:ascii="Arial" w:hAnsi="Arial" w:cs="Arial"/>
          <w:color w:val="000000" w:themeColor="text1"/>
          <w:sz w:val="22"/>
          <w:szCs w:val="22"/>
        </w:rPr>
        <w:t>(w tym 4 dla osób niepełnosprawnych) przy przystanku kolejowym PKA, od którego poprowadzony będzie także ciąg pieszo – row</w:t>
      </w:r>
      <w:r w:rsidR="009C7C82">
        <w:rPr>
          <w:rFonts w:ascii="Arial" w:hAnsi="Arial" w:cs="Arial"/>
          <w:color w:val="000000" w:themeColor="text1"/>
          <w:sz w:val="22"/>
          <w:szCs w:val="22"/>
        </w:rPr>
        <w:t>erowy do licznych miejsc pracy.</w:t>
      </w:r>
    </w:p>
    <w:p w14:paraId="01D0A4E0" w14:textId="3980345B" w:rsidR="005071BD" w:rsidRPr="009C7C82" w:rsidRDefault="009C7C82" w:rsidP="009C7C82">
      <w:pPr>
        <w:spacing w:after="0" w:line="271" w:lineRule="auto"/>
        <w:rPr>
          <w:rFonts w:ascii="Arial" w:hAnsi="Arial" w:cs="Arial"/>
          <w:b/>
          <w:bCs/>
          <w:color w:val="000000" w:themeColor="text1"/>
          <w:sz w:val="22"/>
          <w:szCs w:val="22"/>
        </w:rPr>
      </w:pPr>
      <w:r>
        <w:rPr>
          <w:rFonts w:ascii="Arial" w:hAnsi="Arial" w:cs="Arial"/>
          <w:b/>
          <w:bCs/>
          <w:color w:val="000000" w:themeColor="text1"/>
          <w:sz w:val="22"/>
          <w:szCs w:val="22"/>
        </w:rPr>
        <w:t xml:space="preserve">Cel horyzontalny 4. </w:t>
      </w:r>
      <w:r>
        <w:rPr>
          <w:rFonts w:ascii="Arial" w:hAnsi="Arial" w:cs="Arial"/>
          <w:b/>
          <w:bCs/>
          <w:color w:val="000000" w:themeColor="text1"/>
          <w:sz w:val="22"/>
          <w:szCs w:val="22"/>
        </w:rPr>
        <w:br/>
      </w:r>
      <w:r w:rsidR="005071BD" w:rsidRPr="009B78DA">
        <w:rPr>
          <w:rFonts w:ascii="Arial" w:hAnsi="Arial" w:cs="Arial"/>
          <w:b/>
          <w:color w:val="000000" w:themeColor="text1"/>
          <w:sz w:val="22"/>
          <w:szCs w:val="22"/>
        </w:rPr>
        <w:t xml:space="preserve">Poprawa bezpieczeństwa w transporcie </w:t>
      </w:r>
    </w:p>
    <w:p w14:paraId="241A4DFF" w14:textId="06655F2E" w:rsidR="00222787" w:rsidRPr="009B78DA" w:rsidRDefault="00222787" w:rsidP="009C7C82">
      <w:pPr>
        <w:spacing w:after="0" w:line="264"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Wdrożone w ostatnich latach środki poprawy bezpieczeństwa przyniosły zauważalne efekty w postaci obniżenia wskaźników liczby wypadków oraz ofiar. Na spadek liczby wypadków w transporcie i ich ofiar wpływ ma również rozwój infrastruktury </w:t>
      </w:r>
      <w:r w:rsidR="009C7C82">
        <w:rPr>
          <w:rFonts w:ascii="Arial" w:hAnsi="Arial" w:cs="Arial"/>
          <w:color w:val="000000" w:themeColor="text1"/>
          <w:sz w:val="22"/>
          <w:szCs w:val="22"/>
        </w:rPr>
        <w:br/>
      </w:r>
      <w:r w:rsidRPr="009B78DA">
        <w:rPr>
          <w:rFonts w:ascii="Arial" w:hAnsi="Arial" w:cs="Arial"/>
          <w:color w:val="000000" w:themeColor="text1"/>
          <w:sz w:val="22"/>
          <w:szCs w:val="22"/>
        </w:rPr>
        <w:t>w poszczególnych ga</w:t>
      </w:r>
      <w:r w:rsidR="0007019C" w:rsidRPr="009B78DA">
        <w:rPr>
          <w:rFonts w:ascii="Arial" w:hAnsi="Arial" w:cs="Arial"/>
          <w:color w:val="000000" w:themeColor="text1"/>
          <w:sz w:val="22"/>
          <w:szCs w:val="22"/>
        </w:rPr>
        <w:t>łęziach transportu.</w:t>
      </w:r>
    </w:p>
    <w:p w14:paraId="202EEA3C" w14:textId="77777777" w:rsidR="00947773" w:rsidRPr="009B78DA" w:rsidRDefault="00947773"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Niezwykle ważne są działania zmierzające do zwiększenia dostępności transportowej przy jednoczesnej poprawie bezpieczeństwa uczestników ruchu i efektywności sektora transportowego, poprzez tworzenie spójnego, zrównoważonego i przyjaznego użytkownikowi systemu transportowego w wymiarze regionalnym i krajowym.</w:t>
      </w:r>
    </w:p>
    <w:p w14:paraId="42DCB4EC" w14:textId="791419FE" w:rsidR="00222787" w:rsidRPr="009B78DA" w:rsidRDefault="00222787"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Część inwestycji ma charakter konkretnych projektów, natomiast część zadań inwestycyjnych wynika z opracowanych przez Samorząd Województwa Podkarpackiego lub jednostki podległe planów i programów strategicznych</w:t>
      </w:r>
      <w:r w:rsidR="00854F01" w:rsidRPr="009B78DA">
        <w:rPr>
          <w:rFonts w:ascii="Arial" w:hAnsi="Arial" w:cs="Arial"/>
          <w:color w:val="000000" w:themeColor="text1"/>
          <w:sz w:val="22"/>
          <w:szCs w:val="22"/>
        </w:rPr>
        <w:t>. Do przykładów dokumentów dotyczących bezpieczeństwa w transporcie należą m.in.</w:t>
      </w:r>
      <w:r w:rsidRPr="009B78DA">
        <w:rPr>
          <w:rFonts w:ascii="Arial" w:hAnsi="Arial" w:cs="Arial"/>
          <w:color w:val="000000" w:themeColor="text1"/>
          <w:sz w:val="22"/>
          <w:szCs w:val="22"/>
        </w:rPr>
        <w:t xml:space="preserve"> program poprawy bezpieczeństwa na drogach wojewódzkich</w:t>
      </w:r>
      <w:r w:rsidR="009E7EED"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czy plany transportu publicznego.</w:t>
      </w:r>
    </w:p>
    <w:p w14:paraId="2AEB1BB2" w14:textId="2EC52BCC" w:rsidR="005071BD" w:rsidRPr="009B78DA" w:rsidRDefault="00222787" w:rsidP="009C7C82">
      <w:pPr>
        <w:spacing w:after="0" w:line="264"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Niezwykle ważne jest </w:t>
      </w:r>
      <w:r w:rsidR="00D7694B" w:rsidRPr="009B78DA">
        <w:rPr>
          <w:rFonts w:ascii="Arial" w:hAnsi="Arial" w:cs="Arial"/>
          <w:color w:val="000000" w:themeColor="text1"/>
          <w:sz w:val="22"/>
          <w:szCs w:val="22"/>
        </w:rPr>
        <w:t xml:space="preserve">zatem </w:t>
      </w:r>
      <w:bookmarkStart w:id="347" w:name="_Hlk101459243"/>
      <w:r w:rsidRPr="009B78DA">
        <w:rPr>
          <w:rFonts w:ascii="Arial" w:hAnsi="Arial" w:cs="Arial"/>
          <w:color w:val="000000" w:themeColor="text1"/>
          <w:sz w:val="22"/>
          <w:szCs w:val="22"/>
        </w:rPr>
        <w:t xml:space="preserve">przygotowanie dokumentów szczegółowych dotyczących bezpieczeństwa w transporcie (m.in. </w:t>
      </w:r>
      <w:r w:rsidRPr="009B78DA">
        <w:rPr>
          <w:rFonts w:ascii="Arial" w:hAnsi="Arial" w:cs="Arial"/>
          <w:i/>
          <w:color w:val="000000" w:themeColor="text1"/>
          <w:sz w:val="22"/>
          <w:szCs w:val="22"/>
        </w:rPr>
        <w:t>Programu Poprawy Bezpieczeństwa Infrastruktury Drogowej na Sieci Dróg Wojewódzkich</w:t>
      </w:r>
      <w:r w:rsidR="00030FCD" w:rsidRPr="009B78DA">
        <w:rPr>
          <w:rStyle w:val="Odwoanieprzypisudolnego"/>
          <w:rFonts w:ascii="Arial" w:hAnsi="Arial" w:cs="Arial"/>
          <w:i/>
          <w:color w:val="000000" w:themeColor="text1"/>
          <w:sz w:val="22"/>
          <w:szCs w:val="22"/>
        </w:rPr>
        <w:footnoteReference w:id="30"/>
      </w:r>
      <w:r w:rsidRPr="009B78DA">
        <w:rPr>
          <w:rFonts w:ascii="Arial" w:hAnsi="Arial" w:cs="Arial"/>
          <w:color w:val="000000" w:themeColor="text1"/>
          <w:sz w:val="22"/>
          <w:szCs w:val="22"/>
        </w:rPr>
        <w:t>) oraz transportu publicznego</w:t>
      </w:r>
      <w:r w:rsidR="00854F01" w:rsidRPr="009B78DA">
        <w:rPr>
          <w:rFonts w:ascii="Arial" w:hAnsi="Arial" w:cs="Arial"/>
          <w:color w:val="000000" w:themeColor="text1"/>
          <w:sz w:val="22"/>
          <w:szCs w:val="22"/>
        </w:rPr>
        <w:t>, z</w:t>
      </w:r>
      <w:r w:rsidRPr="009B78DA">
        <w:rPr>
          <w:rFonts w:ascii="Arial" w:hAnsi="Arial" w:cs="Arial"/>
          <w:color w:val="000000" w:themeColor="text1"/>
          <w:sz w:val="22"/>
          <w:szCs w:val="22"/>
        </w:rPr>
        <w:t xml:space="preserve">a co odpowiedzialny </w:t>
      </w:r>
      <w:r w:rsidR="00854F01" w:rsidRPr="009B78DA">
        <w:rPr>
          <w:rFonts w:ascii="Arial" w:hAnsi="Arial" w:cs="Arial"/>
          <w:color w:val="000000" w:themeColor="text1"/>
          <w:sz w:val="22"/>
          <w:szCs w:val="22"/>
        </w:rPr>
        <w:br/>
      </w:r>
      <w:r w:rsidRPr="009B78DA">
        <w:rPr>
          <w:rFonts w:ascii="Arial" w:hAnsi="Arial" w:cs="Arial"/>
          <w:color w:val="000000" w:themeColor="text1"/>
          <w:sz w:val="22"/>
          <w:szCs w:val="22"/>
        </w:rPr>
        <w:t>w ramach realizacji</w:t>
      </w:r>
      <w:r w:rsidR="004308D5" w:rsidRPr="009B78DA">
        <w:rPr>
          <w:rFonts w:ascii="Arial" w:hAnsi="Arial" w:cs="Arial"/>
          <w:color w:val="000000" w:themeColor="text1"/>
          <w:sz w:val="22"/>
          <w:szCs w:val="22"/>
        </w:rPr>
        <w:t xml:space="preserve"> </w:t>
      </w:r>
      <w:r w:rsidR="00E60908" w:rsidRPr="009B78DA">
        <w:rPr>
          <w:rFonts w:ascii="Arial" w:hAnsi="Arial" w:cs="Arial"/>
          <w:color w:val="000000" w:themeColor="text1"/>
          <w:sz w:val="22"/>
          <w:szCs w:val="22"/>
        </w:rPr>
        <w:t>P</w:t>
      </w:r>
      <w:r w:rsidRPr="009B78DA">
        <w:rPr>
          <w:rFonts w:ascii="Arial" w:hAnsi="Arial" w:cs="Arial"/>
          <w:color w:val="000000" w:themeColor="text1"/>
          <w:sz w:val="22"/>
          <w:szCs w:val="22"/>
        </w:rPr>
        <w:t xml:space="preserve">rogramu </w:t>
      </w:r>
      <w:r w:rsidRPr="009B78DA">
        <w:rPr>
          <w:rFonts w:ascii="Arial" w:hAnsi="Arial" w:cs="Arial"/>
          <w:i/>
          <w:color w:val="000000" w:themeColor="text1"/>
          <w:sz w:val="22"/>
          <w:szCs w:val="22"/>
        </w:rPr>
        <w:t>Strategicznego Rozwoju Transportu Województwa Podkarpackiego do roku 2030</w:t>
      </w:r>
      <w:r w:rsidRPr="009B78DA">
        <w:rPr>
          <w:rFonts w:ascii="Arial" w:hAnsi="Arial" w:cs="Arial"/>
          <w:color w:val="000000" w:themeColor="text1"/>
          <w:sz w:val="22"/>
          <w:szCs w:val="22"/>
        </w:rPr>
        <w:t xml:space="preserve"> będzie Departament Dróg i Publicznego Transp</w:t>
      </w:r>
      <w:r w:rsidR="0007019C" w:rsidRPr="009B78DA">
        <w:rPr>
          <w:rFonts w:ascii="Arial" w:hAnsi="Arial" w:cs="Arial"/>
          <w:color w:val="000000" w:themeColor="text1"/>
          <w:sz w:val="22"/>
          <w:szCs w:val="22"/>
        </w:rPr>
        <w:t>ortu Zbiorowego UWMP.</w:t>
      </w:r>
    </w:p>
    <w:bookmarkEnd w:id="347"/>
    <w:p w14:paraId="303656F7" w14:textId="2EF5E8A7" w:rsidR="005071BD" w:rsidRPr="009B78DA" w:rsidRDefault="005071BD" w:rsidP="009C7C82">
      <w:pPr>
        <w:spacing w:after="0" w:line="276" w:lineRule="auto"/>
        <w:ind w:firstLine="709"/>
        <w:rPr>
          <w:rFonts w:ascii="Arial" w:hAnsi="Arial" w:cs="Arial"/>
          <w:color w:val="000000" w:themeColor="text1"/>
          <w:sz w:val="22"/>
          <w:szCs w:val="22"/>
        </w:rPr>
        <w:sectPr w:rsidR="005071BD" w:rsidRPr="009B78DA" w:rsidSect="00FF467F">
          <w:pgSz w:w="11906" w:h="16838"/>
          <w:pgMar w:top="1417" w:right="1417" w:bottom="1417" w:left="1417" w:header="708" w:footer="708" w:gutter="0"/>
          <w:cols w:space="708"/>
          <w:docGrid w:linePitch="360"/>
        </w:sectPr>
      </w:pPr>
    </w:p>
    <w:p w14:paraId="28907AEE" w14:textId="47CC3D09" w:rsidR="00662136" w:rsidRPr="009B78DA" w:rsidRDefault="00662136" w:rsidP="009C7C82">
      <w:pPr>
        <w:pStyle w:val="Legenda"/>
        <w:keepNext/>
        <w:rPr>
          <w:rFonts w:ascii="Arial" w:hAnsi="Arial" w:cs="Arial"/>
          <w:i w:val="0"/>
          <w:color w:val="000000" w:themeColor="text1"/>
          <w:sz w:val="22"/>
          <w:szCs w:val="22"/>
        </w:rPr>
      </w:pPr>
      <w:bookmarkStart w:id="348" w:name="_Toc146785754"/>
      <w:bookmarkStart w:id="349" w:name="_Hlk100212326"/>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bookmarkStart w:id="350" w:name="_Hlk76100915"/>
      <w:r w:rsidRPr="009B78DA">
        <w:rPr>
          <w:rFonts w:ascii="Arial" w:hAnsi="Arial" w:cs="Arial"/>
          <w:i w:val="0"/>
          <w:color w:val="000000" w:themeColor="text1"/>
          <w:sz w:val="22"/>
          <w:szCs w:val="22"/>
        </w:rPr>
        <w:t>Inwestycje w ramach celów i kierunków rozwoju regionalnego systemu transportowego</w:t>
      </w:r>
      <w:bookmarkEnd w:id="350"/>
      <w:bookmarkEnd w:id="348"/>
    </w:p>
    <w:tbl>
      <w:tblPr>
        <w:tblStyle w:val="Tabela-Siatka"/>
        <w:tblW w:w="5000" w:type="pct"/>
        <w:tblLook w:val="04A0" w:firstRow="1" w:lastRow="0" w:firstColumn="1" w:lastColumn="0" w:noHBand="0" w:noVBand="1"/>
        <w:tblCaption w:val="Tabela 24 Inwestycje w ramach celów i kierunków rozwoju regionalnego systemu transportowego"/>
        <w:tblDescription w:val="Tabela zawiera Cele podstawowe (Gałęzie transportu/ priorytet), Cel podstawowy 1. Dostępność zewnętrzna Zwiększenie dostępności zewnętrznej regionu (krajowej i zagranicznej), Cel podstawowy 2. Transportowa spójność wewnętrzna Zwiększenie powiązań transportowych w regionie, w tym likwidowanie obszarów wykluczenia transportowego, Cel podstawowy 3. Integracja MOF Integracja wewnętrzna obszaru funkcjonalnego Rzeszowa i obszarów funkcjonalnych biegunów wzrostu &#10;"/>
      </w:tblPr>
      <w:tblGrid>
        <w:gridCol w:w="1696"/>
        <w:gridCol w:w="4253"/>
        <w:gridCol w:w="4253"/>
        <w:gridCol w:w="5186"/>
      </w:tblGrid>
      <w:tr w:rsidR="005F267C" w:rsidRPr="009B78DA" w14:paraId="06BF2794" w14:textId="77777777" w:rsidTr="00C17C6C">
        <w:trPr>
          <w:trHeight w:val="2841"/>
          <w:tblHeader/>
        </w:trPr>
        <w:tc>
          <w:tcPr>
            <w:tcW w:w="551" w:type="pct"/>
            <w:shd w:val="clear" w:color="auto" w:fill="DEEAF6" w:themeFill="accent1" w:themeFillTint="33"/>
            <w:vAlign w:val="center"/>
          </w:tcPr>
          <w:p w14:paraId="383BD475" w14:textId="77777777" w:rsidR="005F267C" w:rsidRPr="009B78DA" w:rsidRDefault="005F267C" w:rsidP="00C17C6C">
            <w:pPr>
              <w:spacing w:after="120" w:line="276" w:lineRule="auto"/>
              <w:jc w:val="center"/>
              <w:rPr>
                <w:rFonts w:ascii="Arial" w:hAnsi="Arial" w:cs="Arial"/>
                <w:b/>
                <w:color w:val="000000" w:themeColor="text1"/>
                <w:sz w:val="21"/>
                <w:szCs w:val="21"/>
              </w:rPr>
            </w:pPr>
            <w:bookmarkStart w:id="351" w:name="_Hlk122685469"/>
            <w:r w:rsidRPr="009B78DA">
              <w:rPr>
                <w:rFonts w:ascii="Arial" w:hAnsi="Arial" w:cs="Arial"/>
                <w:b/>
                <w:color w:val="000000" w:themeColor="text1"/>
                <w:sz w:val="21"/>
                <w:szCs w:val="21"/>
              </w:rPr>
              <w:t>Cele podstawowe</w:t>
            </w:r>
          </w:p>
          <w:p w14:paraId="6A52660A" w14:textId="77777777" w:rsidR="005F267C" w:rsidRPr="009B78DA" w:rsidRDefault="005F267C" w:rsidP="00C17C6C">
            <w:pPr>
              <w:spacing w:line="276" w:lineRule="auto"/>
              <w:jc w:val="center"/>
              <w:rPr>
                <w:rFonts w:ascii="Arial" w:hAnsi="Arial" w:cs="Arial"/>
                <w:b/>
                <w:color w:val="000000" w:themeColor="text1"/>
                <w:sz w:val="21"/>
                <w:szCs w:val="21"/>
              </w:rPr>
            </w:pPr>
            <w:r w:rsidRPr="009B78DA">
              <w:rPr>
                <w:rFonts w:ascii="Arial" w:hAnsi="Arial" w:cs="Arial"/>
                <w:b/>
                <w:color w:val="000000" w:themeColor="text1"/>
                <w:sz w:val="21"/>
                <w:szCs w:val="21"/>
              </w:rPr>
              <w:t>(Gałęzie transportu/ priorytet)</w:t>
            </w:r>
          </w:p>
        </w:tc>
        <w:tc>
          <w:tcPr>
            <w:tcW w:w="1382" w:type="pct"/>
            <w:shd w:val="clear" w:color="auto" w:fill="DEEAF6" w:themeFill="accent1" w:themeFillTint="33"/>
            <w:vAlign w:val="center"/>
          </w:tcPr>
          <w:p w14:paraId="76219028" w14:textId="77777777" w:rsidR="005F267C" w:rsidRPr="009B78DA" w:rsidRDefault="005F267C" w:rsidP="00C17C6C">
            <w:pPr>
              <w:spacing w:after="120" w:line="276" w:lineRule="auto"/>
              <w:jc w:val="center"/>
              <w:rPr>
                <w:rFonts w:ascii="Arial" w:hAnsi="Arial" w:cs="Arial"/>
                <w:b/>
                <w:color w:val="000000" w:themeColor="text1"/>
                <w:sz w:val="21"/>
                <w:szCs w:val="21"/>
              </w:rPr>
            </w:pPr>
            <w:bookmarkStart w:id="352" w:name="_Hlk120258645"/>
            <w:r w:rsidRPr="009B78DA">
              <w:rPr>
                <w:rFonts w:ascii="Arial" w:hAnsi="Arial" w:cs="Arial"/>
                <w:b/>
                <w:color w:val="000000" w:themeColor="text1"/>
                <w:sz w:val="21"/>
                <w:szCs w:val="21"/>
              </w:rPr>
              <w:t>Cel podstawowy 1.</w:t>
            </w:r>
            <w:r w:rsidRPr="009B78DA">
              <w:rPr>
                <w:rFonts w:ascii="Arial" w:hAnsi="Arial" w:cs="Arial"/>
                <w:b/>
                <w:color w:val="000000" w:themeColor="text1"/>
                <w:sz w:val="21"/>
                <w:szCs w:val="21"/>
              </w:rPr>
              <w:br/>
              <w:t>Dostępność zewnętrzna</w:t>
            </w:r>
          </w:p>
          <w:bookmarkEnd w:id="352"/>
          <w:p w14:paraId="00A43869" w14:textId="512B5434" w:rsidR="005F267C" w:rsidRPr="009B78DA" w:rsidRDefault="005F267C" w:rsidP="00C17C6C">
            <w:pPr>
              <w:spacing w:line="276" w:lineRule="auto"/>
              <w:jc w:val="center"/>
              <w:rPr>
                <w:rFonts w:ascii="Arial" w:hAnsi="Arial" w:cs="Arial"/>
                <w:b/>
                <w:color w:val="000000" w:themeColor="text1"/>
                <w:sz w:val="21"/>
                <w:szCs w:val="21"/>
              </w:rPr>
            </w:pPr>
            <w:r w:rsidRPr="009B78DA">
              <w:rPr>
                <w:rFonts w:ascii="Arial" w:hAnsi="Arial" w:cs="Arial"/>
                <w:b/>
                <w:color w:val="000000" w:themeColor="text1"/>
                <w:sz w:val="21"/>
                <w:szCs w:val="21"/>
              </w:rPr>
              <w:t xml:space="preserve">Zwiększenie dostępności zewnętrznej regionu (krajowej </w:t>
            </w:r>
            <w:r w:rsidRPr="009B78DA">
              <w:rPr>
                <w:rFonts w:ascii="Arial" w:hAnsi="Arial" w:cs="Arial"/>
                <w:b/>
                <w:color w:val="000000" w:themeColor="text1"/>
                <w:sz w:val="21"/>
                <w:szCs w:val="21"/>
              </w:rPr>
              <w:br/>
              <w:t xml:space="preserve">i zagranicznej) wynikającej </w:t>
            </w:r>
            <w:r w:rsidR="00C253C3">
              <w:rPr>
                <w:rFonts w:ascii="Arial" w:hAnsi="Arial" w:cs="Arial"/>
                <w:b/>
                <w:color w:val="000000" w:themeColor="text1"/>
                <w:sz w:val="21"/>
                <w:szCs w:val="21"/>
              </w:rPr>
              <w:br/>
            </w:r>
            <w:r w:rsidRPr="009B78DA">
              <w:rPr>
                <w:rFonts w:ascii="Arial" w:hAnsi="Arial" w:cs="Arial"/>
                <w:b/>
                <w:color w:val="000000" w:themeColor="text1"/>
                <w:sz w:val="21"/>
                <w:szCs w:val="21"/>
              </w:rPr>
              <w:t>z peryferyjnego położenia województwa</w:t>
            </w:r>
          </w:p>
        </w:tc>
        <w:tc>
          <w:tcPr>
            <w:tcW w:w="1382" w:type="pct"/>
            <w:shd w:val="clear" w:color="auto" w:fill="DEEAF6" w:themeFill="accent1" w:themeFillTint="33"/>
            <w:vAlign w:val="center"/>
          </w:tcPr>
          <w:p w14:paraId="3714BA95" w14:textId="77777777" w:rsidR="005F267C" w:rsidRPr="009B78DA" w:rsidRDefault="005F267C" w:rsidP="00C17C6C">
            <w:pPr>
              <w:spacing w:after="120" w:line="276" w:lineRule="auto"/>
              <w:jc w:val="center"/>
              <w:rPr>
                <w:rFonts w:ascii="Arial" w:hAnsi="Arial" w:cs="Arial"/>
                <w:b/>
                <w:color w:val="000000" w:themeColor="text1"/>
                <w:sz w:val="21"/>
                <w:szCs w:val="21"/>
              </w:rPr>
            </w:pPr>
            <w:r w:rsidRPr="009B78DA">
              <w:rPr>
                <w:rFonts w:ascii="Arial" w:hAnsi="Arial" w:cs="Arial"/>
                <w:b/>
                <w:color w:val="000000" w:themeColor="text1"/>
                <w:sz w:val="21"/>
                <w:szCs w:val="21"/>
              </w:rPr>
              <w:t>Cel podstawowy 2.</w:t>
            </w:r>
            <w:r w:rsidRPr="009B78DA">
              <w:rPr>
                <w:rFonts w:ascii="Arial" w:hAnsi="Arial" w:cs="Arial"/>
                <w:b/>
                <w:color w:val="000000" w:themeColor="text1"/>
                <w:sz w:val="21"/>
                <w:szCs w:val="21"/>
              </w:rPr>
              <w:br/>
              <w:t>Transportowa spójność wewnętrzna</w:t>
            </w:r>
          </w:p>
          <w:p w14:paraId="3146C6F0" w14:textId="6AB4606E" w:rsidR="005F267C" w:rsidRPr="009B78DA" w:rsidRDefault="005F267C" w:rsidP="00C17C6C">
            <w:pPr>
              <w:spacing w:line="276" w:lineRule="auto"/>
              <w:jc w:val="center"/>
              <w:rPr>
                <w:rFonts w:ascii="Arial" w:hAnsi="Arial" w:cs="Arial"/>
                <w:b/>
                <w:bCs/>
                <w:color w:val="000000" w:themeColor="text1"/>
                <w:sz w:val="21"/>
                <w:szCs w:val="21"/>
              </w:rPr>
            </w:pPr>
            <w:r w:rsidRPr="009B78DA">
              <w:rPr>
                <w:rFonts w:ascii="Arial" w:hAnsi="Arial" w:cs="Arial"/>
                <w:b/>
                <w:bCs/>
                <w:color w:val="000000" w:themeColor="text1"/>
                <w:sz w:val="21"/>
                <w:szCs w:val="21"/>
              </w:rPr>
              <w:t xml:space="preserve">Zwiększenie powiązań transportowych w regionie, w tym likwidowanie obszarów wykluczenia transportowego spowodowanego niskim zaludnieniem / obszarami górzystymi / obszarami </w:t>
            </w:r>
            <w:r w:rsidR="00C253C3">
              <w:rPr>
                <w:rFonts w:ascii="Arial" w:hAnsi="Arial" w:cs="Arial"/>
                <w:b/>
                <w:bCs/>
                <w:color w:val="000000" w:themeColor="text1"/>
                <w:sz w:val="21"/>
                <w:szCs w:val="21"/>
              </w:rPr>
              <w:br/>
            </w:r>
            <w:r w:rsidRPr="009B78DA">
              <w:rPr>
                <w:rFonts w:ascii="Arial" w:hAnsi="Arial" w:cs="Arial"/>
                <w:b/>
                <w:bCs/>
                <w:color w:val="000000" w:themeColor="text1"/>
                <w:sz w:val="21"/>
                <w:szCs w:val="21"/>
              </w:rPr>
              <w:t>o niskiej skali zatrudniania</w:t>
            </w:r>
          </w:p>
        </w:tc>
        <w:tc>
          <w:tcPr>
            <w:tcW w:w="1685" w:type="pct"/>
            <w:shd w:val="clear" w:color="auto" w:fill="DEEAF6" w:themeFill="accent1" w:themeFillTint="33"/>
            <w:vAlign w:val="center"/>
          </w:tcPr>
          <w:p w14:paraId="034ABE35" w14:textId="77777777" w:rsidR="005F267C" w:rsidRPr="009B78DA" w:rsidRDefault="005F267C" w:rsidP="00C17C6C">
            <w:pPr>
              <w:spacing w:after="120" w:line="276" w:lineRule="auto"/>
              <w:jc w:val="center"/>
              <w:rPr>
                <w:rFonts w:ascii="Arial" w:hAnsi="Arial" w:cs="Arial"/>
                <w:b/>
                <w:color w:val="000000" w:themeColor="text1"/>
                <w:sz w:val="21"/>
                <w:szCs w:val="21"/>
              </w:rPr>
            </w:pPr>
            <w:r w:rsidRPr="009B78DA">
              <w:rPr>
                <w:rFonts w:ascii="Arial" w:hAnsi="Arial" w:cs="Arial"/>
                <w:b/>
                <w:color w:val="000000" w:themeColor="text1"/>
                <w:sz w:val="21"/>
                <w:szCs w:val="21"/>
              </w:rPr>
              <w:t>Cel podstawowy 3.</w:t>
            </w:r>
            <w:r w:rsidRPr="009B78DA">
              <w:rPr>
                <w:rFonts w:ascii="Arial" w:hAnsi="Arial" w:cs="Arial"/>
                <w:b/>
                <w:color w:val="000000" w:themeColor="text1"/>
                <w:sz w:val="21"/>
                <w:szCs w:val="21"/>
              </w:rPr>
              <w:br/>
              <w:t>Integracja MOF</w:t>
            </w:r>
          </w:p>
          <w:p w14:paraId="656FA2A3" w14:textId="77777777" w:rsidR="005F267C" w:rsidRPr="009B78DA" w:rsidRDefault="005F267C" w:rsidP="00C17C6C">
            <w:pPr>
              <w:spacing w:line="276" w:lineRule="auto"/>
              <w:jc w:val="center"/>
              <w:rPr>
                <w:rFonts w:ascii="Arial" w:hAnsi="Arial" w:cs="Arial"/>
                <w:b/>
                <w:bCs/>
                <w:color w:val="000000" w:themeColor="text1"/>
                <w:sz w:val="21"/>
                <w:szCs w:val="21"/>
              </w:rPr>
            </w:pPr>
            <w:r w:rsidRPr="009B78DA">
              <w:rPr>
                <w:rFonts w:ascii="Arial" w:hAnsi="Arial" w:cs="Arial"/>
                <w:b/>
                <w:bCs/>
                <w:color w:val="000000" w:themeColor="text1"/>
                <w:sz w:val="21"/>
                <w:szCs w:val="21"/>
              </w:rPr>
              <w:t>Integracja wewnętrzna Rzeszowskiego Obszaru Funkcjonalnego i miejskich obszarów funkcjonalnych biegunów wzrostu, uwzględniająca policentryczny układ województwa i umożliwiająca integrację głównych rynków pracy</w:t>
            </w:r>
          </w:p>
        </w:tc>
      </w:tr>
      <w:tr w:rsidR="005F267C" w:rsidRPr="009B78DA" w14:paraId="774A6240" w14:textId="77777777" w:rsidTr="00C17C6C">
        <w:tc>
          <w:tcPr>
            <w:tcW w:w="551" w:type="pct"/>
            <w:vAlign w:val="center"/>
          </w:tcPr>
          <w:p w14:paraId="6E5E1382" w14:textId="77777777" w:rsidR="005F267C" w:rsidRPr="009B78DA" w:rsidRDefault="005F267C" w:rsidP="00C17C6C">
            <w:p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 xml:space="preserve">Drogowy/ </w:t>
            </w:r>
            <w:r w:rsidRPr="009B78DA">
              <w:rPr>
                <w:rFonts w:ascii="Arial" w:hAnsi="Arial" w:cs="Arial"/>
                <w:b/>
                <w:color w:val="000000" w:themeColor="text1"/>
                <w:sz w:val="21"/>
                <w:szCs w:val="21"/>
              </w:rPr>
              <w:br/>
              <w:t>Priorytet A</w:t>
            </w:r>
          </w:p>
        </w:tc>
        <w:tc>
          <w:tcPr>
            <w:tcW w:w="1382" w:type="pct"/>
            <w:vAlign w:val="center"/>
          </w:tcPr>
          <w:p w14:paraId="2A1F4BA7" w14:textId="77777777" w:rsidR="005F267C" w:rsidRPr="009B78DA" w:rsidRDefault="005F267C" w:rsidP="00C17C6C">
            <w:pPr>
              <w:pStyle w:val="Akapitzlist"/>
              <w:numPr>
                <w:ilvl w:val="0"/>
                <w:numId w:val="224"/>
              </w:numPr>
              <w:spacing w:line="276" w:lineRule="auto"/>
              <w:ind w:left="243" w:hanging="284"/>
              <w:rPr>
                <w:rFonts w:ascii="Arial" w:hAnsi="Arial" w:cs="Arial"/>
                <w:b/>
                <w:color w:val="000000" w:themeColor="text1"/>
                <w:sz w:val="21"/>
                <w:szCs w:val="21"/>
              </w:rPr>
            </w:pPr>
            <w:r w:rsidRPr="009B78DA">
              <w:rPr>
                <w:rFonts w:ascii="Arial" w:hAnsi="Arial" w:cs="Arial"/>
                <w:b/>
                <w:color w:val="000000" w:themeColor="text1"/>
                <w:sz w:val="21"/>
                <w:szCs w:val="21"/>
              </w:rPr>
              <w:t>S-19 na linii Rzeszów Płd. – Barwinek</w:t>
            </w:r>
          </w:p>
          <w:p w14:paraId="0DA60F07" w14:textId="77777777" w:rsidR="005F267C" w:rsidRPr="009B78DA" w:rsidRDefault="005F267C" w:rsidP="00C17C6C">
            <w:pPr>
              <w:pStyle w:val="Akapitzlist"/>
              <w:numPr>
                <w:ilvl w:val="0"/>
                <w:numId w:val="117"/>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S-19 odc. Rzeszów Południe - Babica </w:t>
            </w:r>
          </w:p>
          <w:p w14:paraId="369B2C5A" w14:textId="77777777" w:rsidR="005F267C" w:rsidRPr="009B78DA" w:rsidRDefault="005F267C" w:rsidP="00C17C6C">
            <w:pPr>
              <w:pStyle w:val="Akapitzlist"/>
              <w:numPr>
                <w:ilvl w:val="0"/>
                <w:numId w:val="117"/>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S-19 odc. Babica - Jawornik </w:t>
            </w:r>
          </w:p>
          <w:p w14:paraId="7A0143FF" w14:textId="77777777" w:rsidR="005F267C" w:rsidRPr="009B78DA" w:rsidRDefault="005F267C" w:rsidP="00C17C6C">
            <w:pPr>
              <w:pStyle w:val="Akapitzlist"/>
              <w:numPr>
                <w:ilvl w:val="0"/>
                <w:numId w:val="117"/>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S-19 odc. Jawornik – Lutcza</w:t>
            </w:r>
          </w:p>
          <w:p w14:paraId="1D9A7C88" w14:textId="77777777" w:rsidR="005F267C" w:rsidRPr="009B78DA" w:rsidRDefault="005F267C" w:rsidP="00C17C6C">
            <w:pPr>
              <w:pStyle w:val="Akapitzlist"/>
              <w:numPr>
                <w:ilvl w:val="0"/>
                <w:numId w:val="117"/>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S-19 odc. Lutcza – Domaradz</w:t>
            </w:r>
          </w:p>
          <w:p w14:paraId="4AA840A7" w14:textId="77777777" w:rsidR="005F267C" w:rsidRPr="009B78DA" w:rsidRDefault="005F267C" w:rsidP="00C17C6C">
            <w:pPr>
              <w:pStyle w:val="Akapitzlist"/>
              <w:numPr>
                <w:ilvl w:val="0"/>
                <w:numId w:val="117"/>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S-19 odc. Domaradz - Iskrzynia</w:t>
            </w:r>
          </w:p>
          <w:p w14:paraId="33C518F1" w14:textId="77777777" w:rsidR="005F267C" w:rsidRPr="009B78DA" w:rsidRDefault="005F267C" w:rsidP="00C17C6C">
            <w:pPr>
              <w:pStyle w:val="Akapitzlist"/>
              <w:numPr>
                <w:ilvl w:val="0"/>
                <w:numId w:val="117"/>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S-19 odc. Iskrzynia – Miejsce Piastowe </w:t>
            </w:r>
          </w:p>
          <w:p w14:paraId="2B5A99F6" w14:textId="77777777" w:rsidR="005F267C" w:rsidRPr="009B78DA" w:rsidRDefault="005F267C" w:rsidP="00C17C6C">
            <w:pPr>
              <w:pStyle w:val="Akapitzlist"/>
              <w:numPr>
                <w:ilvl w:val="0"/>
                <w:numId w:val="117"/>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S-19 odc. Miejsce Piastowe - Dukla </w:t>
            </w:r>
          </w:p>
          <w:p w14:paraId="4DD145FD" w14:textId="77777777" w:rsidR="005F267C" w:rsidRPr="009B78DA" w:rsidRDefault="005F267C" w:rsidP="00C17C6C">
            <w:pPr>
              <w:pStyle w:val="Akapitzlist"/>
              <w:numPr>
                <w:ilvl w:val="0"/>
                <w:numId w:val="117"/>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S-19 odc. Dukla - Barwinek </w:t>
            </w:r>
          </w:p>
          <w:p w14:paraId="7076C9A8" w14:textId="77777777" w:rsidR="005F267C" w:rsidRPr="009B78DA" w:rsidRDefault="005F267C" w:rsidP="00C17C6C">
            <w:pPr>
              <w:pStyle w:val="Akapitzlist"/>
              <w:numPr>
                <w:ilvl w:val="0"/>
                <w:numId w:val="224"/>
              </w:numPr>
              <w:spacing w:line="276" w:lineRule="auto"/>
              <w:ind w:left="243" w:hanging="243"/>
              <w:rPr>
                <w:rFonts w:ascii="Arial" w:hAnsi="Arial" w:cs="Arial"/>
                <w:b/>
                <w:color w:val="000000" w:themeColor="text1"/>
                <w:sz w:val="21"/>
                <w:szCs w:val="21"/>
              </w:rPr>
            </w:pPr>
            <w:bookmarkStart w:id="353" w:name="_Hlk120258677"/>
            <w:r w:rsidRPr="009B78DA">
              <w:rPr>
                <w:rFonts w:ascii="Arial" w:hAnsi="Arial" w:cs="Arial"/>
                <w:b/>
                <w:color w:val="000000" w:themeColor="text1"/>
                <w:sz w:val="21"/>
                <w:szCs w:val="21"/>
              </w:rPr>
              <w:t>Budowa drogi ekspresowej S74</w:t>
            </w:r>
          </w:p>
          <w:p w14:paraId="18232E91" w14:textId="77777777" w:rsidR="005F267C" w:rsidRPr="009B78DA" w:rsidRDefault="005F267C" w:rsidP="00C17C6C">
            <w:pPr>
              <w:pStyle w:val="Akapitzlist"/>
              <w:numPr>
                <w:ilvl w:val="0"/>
                <w:numId w:val="118"/>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Budowa odcinka S74 Opatów – Nisko</w:t>
            </w:r>
          </w:p>
          <w:bookmarkEnd w:id="353"/>
          <w:p w14:paraId="18BE1FF5" w14:textId="77777777" w:rsidR="005F267C" w:rsidRPr="009B78DA" w:rsidRDefault="005F267C" w:rsidP="00C17C6C">
            <w:pPr>
              <w:pStyle w:val="Akapitzlist"/>
              <w:numPr>
                <w:ilvl w:val="0"/>
                <w:numId w:val="221"/>
              </w:numPr>
              <w:spacing w:line="276" w:lineRule="auto"/>
              <w:ind w:left="243" w:hanging="243"/>
              <w:rPr>
                <w:rFonts w:ascii="Arial" w:hAnsi="Arial" w:cs="Arial"/>
                <w:b/>
                <w:color w:val="000000" w:themeColor="text1"/>
                <w:sz w:val="21"/>
                <w:szCs w:val="21"/>
              </w:rPr>
            </w:pPr>
            <w:r w:rsidRPr="009B78DA">
              <w:rPr>
                <w:rFonts w:ascii="Arial" w:hAnsi="Arial" w:cs="Arial"/>
                <w:b/>
                <w:color w:val="000000" w:themeColor="text1"/>
                <w:sz w:val="21"/>
                <w:szCs w:val="21"/>
              </w:rPr>
              <w:t>Rozbudowa S19 Sokołów Młp. – Jasionka do przekroju dwujezdniowego</w:t>
            </w:r>
          </w:p>
          <w:p w14:paraId="50DCC515" w14:textId="77777777" w:rsidR="005F267C" w:rsidRPr="009B78DA" w:rsidRDefault="005F267C" w:rsidP="00C17C6C">
            <w:pPr>
              <w:pStyle w:val="Akapitzlist"/>
              <w:numPr>
                <w:ilvl w:val="0"/>
                <w:numId w:val="221"/>
              </w:numPr>
              <w:spacing w:line="276" w:lineRule="auto"/>
              <w:ind w:left="243" w:hanging="243"/>
              <w:rPr>
                <w:rFonts w:ascii="Arial" w:hAnsi="Arial" w:cs="Arial"/>
                <w:b/>
                <w:color w:val="000000" w:themeColor="text1"/>
                <w:sz w:val="21"/>
                <w:szCs w:val="21"/>
              </w:rPr>
            </w:pPr>
            <w:r w:rsidRPr="009B78DA">
              <w:rPr>
                <w:rFonts w:ascii="Arial" w:hAnsi="Arial" w:cs="Arial"/>
                <w:b/>
                <w:color w:val="000000" w:themeColor="text1"/>
                <w:sz w:val="21"/>
                <w:szCs w:val="21"/>
              </w:rPr>
              <w:t>Rozbudowa DK 73 Pilzno – Jasło</w:t>
            </w:r>
          </w:p>
          <w:p w14:paraId="4081909E" w14:textId="77777777" w:rsidR="005F267C" w:rsidRPr="009B78DA" w:rsidRDefault="005F267C" w:rsidP="00C17C6C">
            <w:pPr>
              <w:pStyle w:val="Akapitzlist"/>
              <w:numPr>
                <w:ilvl w:val="0"/>
                <w:numId w:val="221"/>
              </w:numPr>
              <w:spacing w:line="276" w:lineRule="auto"/>
              <w:ind w:left="243" w:hanging="243"/>
              <w:rPr>
                <w:rFonts w:ascii="Arial" w:hAnsi="Arial" w:cs="Arial"/>
                <w:b/>
                <w:color w:val="000000" w:themeColor="text1"/>
                <w:sz w:val="21"/>
                <w:szCs w:val="21"/>
              </w:rPr>
            </w:pPr>
            <w:r w:rsidRPr="009B78DA">
              <w:rPr>
                <w:rFonts w:ascii="Arial" w:hAnsi="Arial" w:cs="Arial"/>
                <w:b/>
                <w:color w:val="000000" w:themeColor="text1"/>
                <w:sz w:val="21"/>
                <w:szCs w:val="21"/>
              </w:rPr>
              <w:t>Połączenie z autostradą A4 (dodatkowe węzły)</w:t>
            </w:r>
          </w:p>
          <w:p w14:paraId="4595DD02" w14:textId="77777777" w:rsidR="005F267C" w:rsidRPr="009B78DA" w:rsidRDefault="005F267C" w:rsidP="00C17C6C">
            <w:pPr>
              <w:pStyle w:val="Akapitzlist"/>
              <w:numPr>
                <w:ilvl w:val="0"/>
                <w:numId w:val="221"/>
              </w:numPr>
              <w:spacing w:line="276" w:lineRule="auto"/>
              <w:ind w:left="243" w:hanging="243"/>
              <w:rPr>
                <w:rFonts w:ascii="Arial" w:hAnsi="Arial" w:cs="Arial"/>
                <w:b/>
                <w:color w:val="000000" w:themeColor="text1"/>
                <w:sz w:val="21"/>
                <w:szCs w:val="21"/>
              </w:rPr>
            </w:pPr>
            <w:r w:rsidRPr="009B78DA">
              <w:rPr>
                <w:rFonts w:ascii="Arial" w:hAnsi="Arial" w:cs="Arial"/>
                <w:b/>
                <w:color w:val="000000" w:themeColor="text1"/>
                <w:sz w:val="21"/>
                <w:szCs w:val="21"/>
              </w:rPr>
              <w:t>Obwodnice:</w:t>
            </w:r>
          </w:p>
          <w:p w14:paraId="214C66E0" w14:textId="77777777" w:rsidR="005F267C" w:rsidRPr="009B78DA" w:rsidRDefault="005F267C" w:rsidP="00C17C6C">
            <w:pPr>
              <w:pStyle w:val="Akapitzlist"/>
              <w:numPr>
                <w:ilvl w:val="0"/>
                <w:numId w:val="11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Obwodnica Pilzna w ciągu DK 73</w:t>
            </w:r>
          </w:p>
          <w:p w14:paraId="0B136E5A" w14:textId="17E92F1C" w:rsidR="005F267C" w:rsidRPr="009B78DA" w:rsidRDefault="005F267C" w:rsidP="00C17C6C">
            <w:pPr>
              <w:pStyle w:val="Akapitzlist"/>
              <w:numPr>
                <w:ilvl w:val="0"/>
                <w:numId w:val="11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Obwodnica Brzostka i Kołaczyc </w:t>
            </w:r>
            <w:r w:rsidR="00C253C3">
              <w:rPr>
                <w:rFonts w:ascii="Arial" w:hAnsi="Arial" w:cs="Arial"/>
                <w:color w:val="000000" w:themeColor="text1"/>
                <w:sz w:val="21"/>
                <w:szCs w:val="21"/>
              </w:rPr>
              <w:br/>
            </w:r>
            <w:r w:rsidRPr="009B78DA">
              <w:rPr>
                <w:rFonts w:ascii="Arial" w:hAnsi="Arial" w:cs="Arial"/>
                <w:color w:val="000000" w:themeColor="text1"/>
                <w:sz w:val="21"/>
                <w:szCs w:val="21"/>
              </w:rPr>
              <w:t>w ciągu DK 73</w:t>
            </w:r>
          </w:p>
          <w:p w14:paraId="037D3769" w14:textId="77777777" w:rsidR="005F267C" w:rsidRPr="009B78DA" w:rsidRDefault="005F267C" w:rsidP="00C17C6C">
            <w:pPr>
              <w:pStyle w:val="Akapitzlist"/>
              <w:numPr>
                <w:ilvl w:val="0"/>
                <w:numId w:val="11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Obwodnica Jasła w ciągu DK 73 </w:t>
            </w:r>
          </w:p>
          <w:p w14:paraId="75C359E9" w14:textId="77777777" w:rsidR="005F267C" w:rsidRPr="009B78DA" w:rsidRDefault="005F267C" w:rsidP="00C17C6C">
            <w:pPr>
              <w:pStyle w:val="Akapitzlist"/>
              <w:numPr>
                <w:ilvl w:val="0"/>
                <w:numId w:val="11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Obwodnica Sanoka etap II w ciągu DK 84</w:t>
            </w:r>
          </w:p>
          <w:p w14:paraId="625D2445" w14:textId="0837AE57" w:rsidR="005F267C" w:rsidRPr="009B78DA" w:rsidRDefault="005F267C" w:rsidP="00C17C6C">
            <w:pPr>
              <w:pStyle w:val="Akapitzlist"/>
              <w:numPr>
                <w:ilvl w:val="0"/>
                <w:numId w:val="11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Budowa obwodnicy Nowej Dęby </w:t>
            </w:r>
            <w:r w:rsidR="00C253C3">
              <w:rPr>
                <w:rFonts w:ascii="Arial" w:hAnsi="Arial" w:cs="Arial"/>
                <w:color w:val="000000" w:themeColor="text1"/>
                <w:sz w:val="21"/>
                <w:szCs w:val="21"/>
              </w:rPr>
              <w:br/>
            </w:r>
            <w:r w:rsidRPr="009B78DA">
              <w:rPr>
                <w:rFonts w:ascii="Arial" w:hAnsi="Arial" w:cs="Arial"/>
                <w:color w:val="000000" w:themeColor="text1"/>
                <w:sz w:val="21"/>
                <w:szCs w:val="21"/>
              </w:rPr>
              <w:t xml:space="preserve">w ciągu DK9 </w:t>
            </w:r>
          </w:p>
          <w:p w14:paraId="2A45692C" w14:textId="0C31344C" w:rsidR="005F267C" w:rsidRPr="009B78DA" w:rsidRDefault="005F267C" w:rsidP="00C17C6C">
            <w:pPr>
              <w:pStyle w:val="Akapitzlist"/>
              <w:numPr>
                <w:ilvl w:val="0"/>
                <w:numId w:val="11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Budowa obwodnicy Kolbuszowej </w:t>
            </w:r>
            <w:r w:rsidR="00C253C3">
              <w:rPr>
                <w:rFonts w:ascii="Arial" w:hAnsi="Arial" w:cs="Arial"/>
                <w:color w:val="000000" w:themeColor="text1"/>
                <w:sz w:val="21"/>
                <w:szCs w:val="21"/>
              </w:rPr>
              <w:br/>
            </w:r>
            <w:r w:rsidRPr="009B78DA">
              <w:rPr>
                <w:rFonts w:ascii="Arial" w:hAnsi="Arial" w:cs="Arial"/>
                <w:color w:val="000000" w:themeColor="text1"/>
                <w:sz w:val="21"/>
                <w:szCs w:val="21"/>
              </w:rPr>
              <w:t xml:space="preserve">w ciągu DK9 </w:t>
            </w:r>
          </w:p>
          <w:p w14:paraId="43E08B5C" w14:textId="77777777" w:rsidR="005F267C" w:rsidRPr="009B78DA" w:rsidRDefault="005F267C" w:rsidP="00C17C6C">
            <w:pPr>
              <w:pStyle w:val="Akapitzlist"/>
              <w:numPr>
                <w:ilvl w:val="0"/>
                <w:numId w:val="11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Budowa obwodnicy Miejsca Piastowego w ciągu DK 28</w:t>
            </w:r>
          </w:p>
          <w:p w14:paraId="184F221D" w14:textId="4A8578F1" w:rsidR="005F267C" w:rsidRPr="009B78DA" w:rsidRDefault="005F267C" w:rsidP="00C17C6C">
            <w:pPr>
              <w:pStyle w:val="Akapitzlist"/>
              <w:numPr>
                <w:ilvl w:val="0"/>
                <w:numId w:val="11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Budowa obwodnicy Przemyśla </w:t>
            </w:r>
            <w:r w:rsidR="00C253C3">
              <w:rPr>
                <w:rFonts w:ascii="Arial" w:hAnsi="Arial" w:cs="Arial"/>
                <w:color w:val="000000" w:themeColor="text1"/>
                <w:sz w:val="21"/>
                <w:szCs w:val="21"/>
              </w:rPr>
              <w:br/>
            </w:r>
            <w:r w:rsidRPr="009B78DA">
              <w:rPr>
                <w:rFonts w:ascii="Arial" w:hAnsi="Arial" w:cs="Arial"/>
                <w:color w:val="000000" w:themeColor="text1"/>
                <w:sz w:val="21"/>
                <w:szCs w:val="21"/>
              </w:rPr>
              <w:t>w ciągu DK 28/ DK 77</w:t>
            </w:r>
          </w:p>
          <w:p w14:paraId="2EDC7646" w14:textId="77777777" w:rsidR="005F267C" w:rsidRPr="009B78DA" w:rsidRDefault="005F267C" w:rsidP="00C17C6C">
            <w:pPr>
              <w:pStyle w:val="Akapitzlist"/>
              <w:numPr>
                <w:ilvl w:val="0"/>
                <w:numId w:val="11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Budowa obwodnicy Zagórza w ciągu DK 84</w:t>
            </w:r>
          </w:p>
          <w:p w14:paraId="5AB216B2" w14:textId="77777777" w:rsidR="005F267C" w:rsidRPr="009B78DA" w:rsidRDefault="005F267C" w:rsidP="00C17C6C">
            <w:pPr>
              <w:pStyle w:val="Akapitzlist"/>
              <w:numPr>
                <w:ilvl w:val="0"/>
                <w:numId w:val="221"/>
              </w:numPr>
              <w:spacing w:after="160" w:line="276" w:lineRule="auto"/>
              <w:ind w:left="243" w:hanging="243"/>
              <w:rPr>
                <w:rFonts w:ascii="Arial" w:hAnsi="Arial" w:cs="Arial"/>
                <w:b/>
                <w:color w:val="000000" w:themeColor="text1"/>
                <w:sz w:val="21"/>
                <w:szCs w:val="21"/>
              </w:rPr>
            </w:pPr>
            <w:r w:rsidRPr="009B78DA">
              <w:rPr>
                <w:rFonts w:ascii="Arial" w:hAnsi="Arial" w:cs="Arial"/>
                <w:b/>
                <w:bCs/>
                <w:color w:val="000000" w:themeColor="text1"/>
                <w:sz w:val="21"/>
                <w:szCs w:val="21"/>
              </w:rPr>
              <w:t>Modernizacja istniejących oraz budowa nowych mostów, w tym</w:t>
            </w:r>
          </w:p>
          <w:p w14:paraId="7D1D9E80" w14:textId="77777777" w:rsidR="005F267C" w:rsidRPr="009B78DA" w:rsidRDefault="005F267C" w:rsidP="00C17C6C">
            <w:pPr>
              <w:pStyle w:val="Akapitzlist"/>
              <w:numPr>
                <w:ilvl w:val="0"/>
                <w:numId w:val="12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mostu przez potok Rudawka w m. Bircza w ciągu DK 28</w:t>
            </w:r>
            <w:r w:rsidRPr="009B78DA">
              <w:rPr>
                <w:rFonts w:ascii="Arial" w:hAnsi="Arial" w:cs="Arial"/>
                <w:color w:val="000000" w:themeColor="text1"/>
                <w:sz w:val="21"/>
                <w:szCs w:val="21"/>
              </w:rPr>
              <w:tab/>
            </w:r>
          </w:p>
          <w:p w14:paraId="74568DA8" w14:textId="77777777" w:rsidR="005F267C" w:rsidRPr="009B78DA" w:rsidRDefault="005F267C" w:rsidP="00C17C6C">
            <w:pPr>
              <w:pStyle w:val="Akapitzlist"/>
              <w:numPr>
                <w:ilvl w:val="0"/>
                <w:numId w:val="12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mostu przez potok Budzianka w ciągu DK 73 w m. Bukowa</w:t>
            </w:r>
          </w:p>
          <w:p w14:paraId="37855B4B" w14:textId="17EB0795" w:rsidR="005F267C" w:rsidRPr="009B78DA" w:rsidRDefault="005F267C" w:rsidP="00C17C6C">
            <w:pPr>
              <w:pStyle w:val="Akapitzlist"/>
              <w:numPr>
                <w:ilvl w:val="0"/>
                <w:numId w:val="12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Budowa mostu przez potok Słony </w:t>
            </w:r>
            <w:r w:rsidR="00C253C3">
              <w:rPr>
                <w:rFonts w:ascii="Arial" w:hAnsi="Arial" w:cs="Arial"/>
                <w:color w:val="000000" w:themeColor="text1"/>
                <w:sz w:val="21"/>
                <w:szCs w:val="21"/>
              </w:rPr>
              <w:br/>
            </w:r>
            <w:r w:rsidRPr="009B78DA">
              <w:rPr>
                <w:rFonts w:ascii="Arial" w:hAnsi="Arial" w:cs="Arial"/>
                <w:color w:val="000000" w:themeColor="text1"/>
                <w:sz w:val="21"/>
                <w:szCs w:val="21"/>
              </w:rPr>
              <w:t>w m. Brzostek w ciągu DK 73</w:t>
            </w:r>
          </w:p>
          <w:p w14:paraId="78AA99D0" w14:textId="6F82D0D3" w:rsidR="005F267C" w:rsidRPr="00C253C3" w:rsidRDefault="005F267C" w:rsidP="00C17C6C">
            <w:pPr>
              <w:pStyle w:val="Akapitzlist"/>
              <w:numPr>
                <w:ilvl w:val="0"/>
                <w:numId w:val="12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Rozbudowa drogi wraz z budową mostu przez rzekę Wisłok w m. Tryńcza w ciągu DK 77</w:t>
            </w:r>
          </w:p>
        </w:tc>
        <w:tc>
          <w:tcPr>
            <w:tcW w:w="1382" w:type="pct"/>
            <w:vAlign w:val="center"/>
          </w:tcPr>
          <w:p w14:paraId="43DBC70F" w14:textId="77777777" w:rsidR="005F267C" w:rsidRPr="009B78DA" w:rsidRDefault="005F267C" w:rsidP="00C17C6C">
            <w:pPr>
              <w:pStyle w:val="Akapitzlist"/>
              <w:numPr>
                <w:ilvl w:val="0"/>
                <w:numId w:val="120"/>
              </w:numPr>
              <w:spacing w:line="276" w:lineRule="auto"/>
              <w:ind w:left="357" w:hanging="357"/>
              <w:rPr>
                <w:rFonts w:ascii="Arial" w:hAnsi="Arial" w:cs="Arial"/>
                <w:b/>
                <w:bCs/>
                <w:color w:val="000000" w:themeColor="text1"/>
                <w:sz w:val="21"/>
                <w:szCs w:val="21"/>
              </w:rPr>
            </w:pPr>
            <w:r w:rsidRPr="009B78DA">
              <w:rPr>
                <w:rFonts w:ascii="Arial" w:hAnsi="Arial" w:cs="Arial"/>
                <w:b/>
                <w:bCs/>
                <w:color w:val="000000" w:themeColor="text1"/>
                <w:sz w:val="21"/>
                <w:szCs w:val="21"/>
              </w:rPr>
              <w:t>Inwestycje dotyczące dróg wojewódzkich i podległej infrastruktury drogowej:</w:t>
            </w:r>
          </w:p>
          <w:p w14:paraId="61706616"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wschodniej obwodnicy Łańcuta w ciągu drogi wojewódzkiej nr 877 od węzła A4 "Łańcut" do drogi krajowej nr 94 w Głuchowie</w:t>
            </w:r>
          </w:p>
          <w:p w14:paraId="30093974"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 i rozbudowa DW 835 na odcinku Szklary – Dynów</w:t>
            </w:r>
          </w:p>
          <w:p w14:paraId="6CEDDA59"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Rozbudowa DW 878 na odcinku od granicy miasta Rzeszowa (ul. Lubelska) do DW 869</w:t>
            </w:r>
          </w:p>
          <w:p w14:paraId="7BDE85E9"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865 na odcinku od m. Zapałów do m. Oleszyce (Etap II Zapałów-Lipina)</w:t>
            </w:r>
          </w:p>
          <w:p w14:paraId="22C425F8"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Obwodnica Tyczyna w ciągu DW 878</w:t>
            </w:r>
          </w:p>
          <w:p w14:paraId="59F16B57"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988 na odcinku Strzyżów – Twierdza</w:t>
            </w:r>
          </w:p>
          <w:p w14:paraId="1DAFD70D"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 i rozbudowa drogi wojewódzkiej nr 865 na odcinku Oleszyce – Cieszanów</w:t>
            </w:r>
          </w:p>
          <w:p w14:paraId="7DD9DD85"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nowego odcinka DW 865 Sobiecin – Koniaczów</w:t>
            </w:r>
          </w:p>
          <w:p w14:paraId="2A142251"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865 na odcinku Cieszanów – granica województwa</w:t>
            </w:r>
          </w:p>
          <w:p w14:paraId="61753F96"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Rozbudowa DW 988 na odcinku od miejscowości Czudec do miejscowości Zaborów</w:t>
            </w:r>
          </w:p>
          <w:p w14:paraId="6A15463D"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 i rozbudowa DW 865 na odcinku Koniaczów – Zapałów</w:t>
            </w:r>
          </w:p>
          <w:p w14:paraId="4D348FD0"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 i rozbudowa DW 878 na odcinku Tyczyn – Dylągówka;</w:t>
            </w:r>
          </w:p>
          <w:p w14:paraId="747E0FDA"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835 gr. woj. - Adamówka  - Sieniawa</w:t>
            </w:r>
          </w:p>
          <w:p w14:paraId="2333109D"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Rozbudowa drogi wojewódzkiej nr 986 na odcinku Ostrów – Ropczyce wraz z budową mostu na rzece Wielopolka</w:t>
            </w:r>
          </w:p>
          <w:p w14:paraId="79111898"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drogi wojewódzkiej nr 986 na odcinku Tuszyma – Ropczyce: Etap V Ropczyce-DK94</w:t>
            </w:r>
          </w:p>
          <w:p w14:paraId="1FE97CF3"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drogi wojewódzkiej nr 986 na odcinku Tuszyma – Ropczyce: Etap I Tuszyma-Ostrów</w:t>
            </w:r>
          </w:p>
          <w:p w14:paraId="5B6B4853"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drogi wojewódzkiej nr 986 na odcinku Tuszyma – Ropczyce: Rozbudowa DW 986 wraz z budową  wiaduktu w m. Ropczyce nad linią kolejową 91</w:t>
            </w:r>
          </w:p>
          <w:p w14:paraId="3DC26E05"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881 na odcinku Kańczuga – Pruchnik - etap II</w:t>
            </w:r>
          </w:p>
          <w:p w14:paraId="670395CC"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węzła na skrzyżowaniu autostrady A4 z drogą wojewódzką nr 986 w m. Ostrów</w:t>
            </w:r>
          </w:p>
          <w:p w14:paraId="0F96A71A"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881 na odcinku Pruchnik – Żurawica</w:t>
            </w:r>
          </w:p>
          <w:p w14:paraId="21954AD1" w14:textId="78208B75"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 xml:space="preserve">Przebudowa/rozbudowa drogi wojewódzkiej nr 897 na odcinku Radoszyce – Ustrzyki Górne wraz </w:t>
            </w:r>
            <w:r w:rsidR="00C253C3">
              <w:rPr>
                <w:rFonts w:ascii="Arial" w:hAnsi="Arial" w:cs="Arial"/>
                <w:color w:val="000000" w:themeColor="text1"/>
                <w:sz w:val="21"/>
                <w:szCs w:val="21"/>
              </w:rPr>
              <w:br/>
            </w:r>
            <w:r w:rsidRPr="009B78DA">
              <w:rPr>
                <w:rFonts w:ascii="Arial" w:hAnsi="Arial" w:cs="Arial"/>
                <w:color w:val="000000" w:themeColor="text1"/>
                <w:sz w:val="21"/>
                <w:szCs w:val="21"/>
              </w:rPr>
              <w:t>z budową tras rowerowych: Etap I: Radoszyce – Cisna</w:t>
            </w:r>
          </w:p>
          <w:p w14:paraId="7763FA81" w14:textId="688667CB"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 xml:space="preserve">Przebudowa/rozbudowa drogi wojewódzkiej nr 897 na odcinku Radoszyce – Ustrzyki Górne wraz </w:t>
            </w:r>
            <w:r w:rsidR="00C253C3">
              <w:rPr>
                <w:rFonts w:ascii="Arial" w:hAnsi="Arial" w:cs="Arial"/>
                <w:color w:val="000000" w:themeColor="text1"/>
                <w:sz w:val="21"/>
                <w:szCs w:val="21"/>
              </w:rPr>
              <w:br/>
            </w:r>
            <w:r w:rsidRPr="009B78DA">
              <w:rPr>
                <w:rFonts w:ascii="Arial" w:hAnsi="Arial" w:cs="Arial"/>
                <w:color w:val="000000" w:themeColor="text1"/>
                <w:sz w:val="21"/>
                <w:szCs w:val="21"/>
              </w:rPr>
              <w:t>z budową tras rowerowych: Etap II: Cisna – Wetlina</w:t>
            </w:r>
          </w:p>
          <w:p w14:paraId="518E2B1C" w14:textId="66E73B7C"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 xml:space="preserve">Przebudowa/rozbudowa drogi wojewódzkiej nr 897 na odcinku Radoszyce – Ustrzyki Górne wraz </w:t>
            </w:r>
            <w:r w:rsidR="00C253C3">
              <w:rPr>
                <w:rFonts w:ascii="Arial" w:hAnsi="Arial" w:cs="Arial"/>
                <w:color w:val="000000" w:themeColor="text1"/>
                <w:sz w:val="21"/>
                <w:szCs w:val="21"/>
              </w:rPr>
              <w:br/>
            </w:r>
            <w:r w:rsidRPr="009B78DA">
              <w:rPr>
                <w:rFonts w:ascii="Arial" w:hAnsi="Arial" w:cs="Arial"/>
                <w:color w:val="000000" w:themeColor="text1"/>
                <w:sz w:val="21"/>
                <w:szCs w:val="21"/>
              </w:rPr>
              <w:t>z budową tras rowerowych: Etap III: Wetlina – Ustrzyki Górne</w:t>
            </w:r>
          </w:p>
          <w:p w14:paraId="5618C1F0"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drogi wojewódzkiej nr 896 Ustrzyki Dolne – Ustrzyki Górne wraz z budową tras rowerowych: Etap I 896</w:t>
            </w:r>
          </w:p>
          <w:p w14:paraId="0ED4FC31"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drogi wojewódzkiej nr 896 Ustrzyki Dolne – Ustrzyki Górne wraz z budową tras rowerowych - Etap II</w:t>
            </w:r>
          </w:p>
          <w:p w14:paraId="1BDB9BC6" w14:textId="2E571E94"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drogi wojewódzkiej nr 896 Ustrzyki Dolne – Ustrzyki Górne wraz z budową tras rowerow</w:t>
            </w:r>
            <w:r w:rsidR="00C253C3">
              <w:rPr>
                <w:rFonts w:ascii="Arial" w:hAnsi="Arial" w:cs="Arial"/>
                <w:color w:val="000000" w:themeColor="text1"/>
                <w:sz w:val="21"/>
                <w:szCs w:val="21"/>
              </w:rPr>
              <w:t xml:space="preserve">ych: Etap III 896 - w obszarze </w:t>
            </w:r>
            <w:r w:rsidRPr="009B78DA">
              <w:rPr>
                <w:rFonts w:ascii="Arial" w:hAnsi="Arial" w:cs="Arial"/>
                <w:color w:val="000000" w:themeColor="text1"/>
                <w:sz w:val="21"/>
                <w:szCs w:val="21"/>
              </w:rPr>
              <w:t>Bieszczadzkiego Parku Narodowego</w:t>
            </w:r>
          </w:p>
          <w:p w14:paraId="52F3C8B4"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Rozbudowa DW 867 na odcinku Basznia Górna – Horyniec Zdrój (etap I) i Horyniec Zdrój – Prusie – gr. woj. (etap II)</w:t>
            </w:r>
          </w:p>
          <w:p w14:paraId="6D67900F"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obwodnicy Leska w ciągu DW 894 od DK 84 w m. Postołów do DW 894 w m. Huzele</w:t>
            </w:r>
          </w:p>
          <w:p w14:paraId="390E7427"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 i rozbudowa DW 877 na odcinku Dylągówka – Szklary</w:t>
            </w:r>
          </w:p>
          <w:p w14:paraId="7A8ADACD"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Rozbudowa/przebudowa DW 881 na odcinku Sokołów Małopolski – Czarna.</w:t>
            </w:r>
          </w:p>
          <w:p w14:paraId="3BF8D41F"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Rozbudowa DW 881 na odcinku Czarna-Łańcut wraz z budową mostu na rzece Mikośka</w:t>
            </w:r>
          </w:p>
          <w:p w14:paraId="53EE8798"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drogi wojewódzkiej nr 861 i drogi wojewódzkiej nr 863 odc. S19 Podgórze – Kopki - gr.woj - w. lubelskie - gr. woj. – Cieszanów, Etap I: S19 – DK 77.</w:t>
            </w:r>
          </w:p>
          <w:p w14:paraId="00D4C65D"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drogi wojewódzkiej nr 861 i drogi wojewódzkiej nr 863 odc. S19 Podgórze – Kopki - gr.woj - w. lubelskie - gr. woj. – Cieszanów, Etap II: DK 77 – gr. woj.</w:t>
            </w:r>
          </w:p>
          <w:p w14:paraId="7DCA7FB9"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drogi wojewódzkiej nr 861 i drogi wojewódzkiej nr 863 odc. S19 Podgórze – Kopki - gr.woj - w. lubelskie - gr. woj. – Cieszanów, Etap III: gr. województwa – Cieszanów.</w:t>
            </w:r>
          </w:p>
          <w:p w14:paraId="5C92E746"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Rozbudowa i przebudowa drogi wojewódzkiej nr 858 na odcinku Sieraków - Harasiuki wraz z rozbiórką i budową mostu na rzece Borowina</w:t>
            </w:r>
          </w:p>
          <w:p w14:paraId="0ABF529B"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Połączenie Przemyśla z Bieszczadami – odcinek Przemyśl – DW 890</w:t>
            </w:r>
          </w:p>
          <w:p w14:paraId="68D0C68B"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 xml:space="preserve">Budowa/rozbudowa DW 857 na odcinku Zaklików – granica województwa </w:t>
            </w:r>
          </w:p>
          <w:p w14:paraId="2C5DB237"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 xml:space="preserve">Rozbudowa DW Nr 895 na odcinku Uherce Mineralne – Solina </w:t>
            </w:r>
          </w:p>
          <w:p w14:paraId="218ABB27"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Rozbudowa DW 894 odc. Polańczyk – Wołkowyja</w:t>
            </w:r>
          </w:p>
          <w:p w14:paraId="623A9278"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drogi wojewódzkiej obsługującej Tarnobrzeską Specjalną Strefę Ekonomiczną EURO-PARK Wisłosan oraz Strategiczny Park Inwestycyjny w Stalowej Woli</w:t>
            </w:r>
          </w:p>
          <w:p w14:paraId="7C11F47C" w14:textId="2C8F881A"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 xml:space="preserve">Budowa drogi wojewódzkiej obsługującej Specjalną Strefę Ekonomiczną Euro-Park Mielec </w:t>
            </w:r>
            <w:r w:rsidR="00C253C3">
              <w:rPr>
                <w:rFonts w:ascii="Arial" w:hAnsi="Arial" w:cs="Arial"/>
                <w:color w:val="000000" w:themeColor="text1"/>
                <w:sz w:val="21"/>
                <w:szCs w:val="21"/>
              </w:rPr>
              <w:br/>
            </w:r>
            <w:r w:rsidRPr="009B78DA">
              <w:rPr>
                <w:rFonts w:ascii="Arial" w:hAnsi="Arial" w:cs="Arial"/>
                <w:color w:val="000000" w:themeColor="text1"/>
                <w:sz w:val="21"/>
                <w:szCs w:val="21"/>
              </w:rPr>
              <w:t>i lotnisko Mielec</w:t>
            </w:r>
          </w:p>
          <w:p w14:paraId="57DD32A8"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Odnowa nawierzchni drogi wojewódziej Nr 867 Sieniawa – Wola – Mołodycka – Oleszyce – Lubaczów – Podemszczyzna – Werchrata – Hrebenne na odcinku Basznia Dolna – Horyniec Zdrój.</w:t>
            </w:r>
          </w:p>
          <w:p w14:paraId="5BED2960"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drogi łączącej Ośrodek Szkolenia Poligonowego Wojsk Lądowych Dęba z Placem ćwiczeń Taktycznych Lipa wraz z budową mostu na DW 854 na rzece San w ciągu osi przeprawy (Czekaj Pniowski) oraz drogi łączącej m. Skowierzyn z osią przeprawy Radomyśl nad Sanem i PCT Lipa.</w:t>
            </w:r>
          </w:p>
          <w:p w14:paraId="3459399E" w14:textId="7CB2A585"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 xml:space="preserve">Rozbudowa drogi wojewódzkiej Nr 872 na odcinku od skrzyżowania z DK 9 w Nowej Dębie do skrzyżowania z DK 77 w Nisku wraz z niezbędną infrastrukturą techniczną, budowlami </w:t>
            </w:r>
            <w:r w:rsidR="00C253C3">
              <w:rPr>
                <w:rFonts w:ascii="Arial" w:hAnsi="Arial" w:cs="Arial"/>
                <w:color w:val="000000" w:themeColor="text1"/>
                <w:sz w:val="21"/>
                <w:szCs w:val="21"/>
              </w:rPr>
              <w:br/>
            </w:r>
            <w:r w:rsidRPr="009B78DA">
              <w:rPr>
                <w:rFonts w:ascii="Arial" w:hAnsi="Arial" w:cs="Arial"/>
                <w:color w:val="000000" w:themeColor="text1"/>
                <w:sz w:val="21"/>
                <w:szCs w:val="21"/>
              </w:rPr>
              <w:t>i urządzeniami budowlanymi</w:t>
            </w:r>
          </w:p>
          <w:p w14:paraId="5E0431E5"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Rozbudowa drogi wojewódzkiej nr 835 od m. Wylewa do ronda na skrzyżowaniu DW 835 z DW 870 w m. Sieniawa w km 131+680</w:t>
            </w:r>
          </w:p>
          <w:p w14:paraId="61FB13AD"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drogi wojewódzkiej nr 865 od km 58+450 do km 61+958,00</w:t>
            </w:r>
            <w:r w:rsidRPr="009B78DA">
              <w:rPr>
                <w:color w:val="000000" w:themeColor="text1"/>
              </w:rPr>
              <w:t xml:space="preserve"> </w:t>
            </w:r>
          </w:p>
          <w:p w14:paraId="782ECCDB" w14:textId="1BFA351D"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 xml:space="preserve">Remont drogi wojewódzkiej Nr 867 </w:t>
            </w:r>
            <w:r w:rsidR="00C253C3">
              <w:rPr>
                <w:rFonts w:ascii="Arial" w:hAnsi="Arial" w:cs="Arial"/>
                <w:color w:val="000000" w:themeColor="text1"/>
                <w:sz w:val="21"/>
                <w:szCs w:val="21"/>
              </w:rPr>
              <w:br/>
            </w:r>
            <w:r w:rsidRPr="009B78DA">
              <w:rPr>
                <w:rFonts w:ascii="Arial" w:hAnsi="Arial" w:cs="Arial"/>
                <w:color w:val="000000" w:themeColor="text1"/>
                <w:sz w:val="21"/>
                <w:szCs w:val="21"/>
              </w:rPr>
              <w:t>w km 52+000 – 57+223,73 na odcinku Basznia Dolna – Horyniec Zdrój – część II</w:t>
            </w:r>
          </w:p>
          <w:p w14:paraId="3675D4D0"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DW 869 pomiędzy autostradą A4 a DK9 i drogą ekspresową S19 - etap V</w:t>
            </w:r>
          </w:p>
          <w:p w14:paraId="6171EEBA" w14:textId="77777777" w:rsidR="005F267C" w:rsidRPr="009B78DA" w:rsidRDefault="005F267C" w:rsidP="00C17C6C">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DW nr 858 Zarzecze - granica województwa na odcinku Dąbrowica – Sieraków</w:t>
            </w:r>
          </w:p>
          <w:p w14:paraId="52855A80" w14:textId="5F642777" w:rsidR="005F267C" w:rsidRPr="00C253C3" w:rsidRDefault="005F267C" w:rsidP="00C253C3">
            <w:pPr>
              <w:pStyle w:val="Akapitzlist"/>
              <w:numPr>
                <w:ilvl w:val="0"/>
                <w:numId w:val="275"/>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 DW Nr 991 Lutcza - Krosno oraz DW 989 Strzyżów – Lutcza</w:t>
            </w:r>
          </w:p>
          <w:p w14:paraId="60EDCD4B" w14:textId="77777777" w:rsidR="005F267C" w:rsidRPr="009B78DA" w:rsidRDefault="005F267C" w:rsidP="00C17C6C">
            <w:pPr>
              <w:pStyle w:val="Akapitzlist"/>
              <w:numPr>
                <w:ilvl w:val="0"/>
                <w:numId w:val="120"/>
              </w:numPr>
              <w:spacing w:line="276" w:lineRule="auto"/>
              <w:ind w:left="357" w:hanging="357"/>
              <w:rPr>
                <w:rFonts w:ascii="Arial" w:hAnsi="Arial" w:cs="Arial"/>
                <w:b/>
                <w:color w:val="000000" w:themeColor="text1"/>
                <w:sz w:val="21"/>
                <w:szCs w:val="21"/>
              </w:rPr>
            </w:pPr>
            <w:r w:rsidRPr="009B78DA">
              <w:rPr>
                <w:rFonts w:ascii="Arial" w:hAnsi="Arial" w:cs="Arial"/>
                <w:b/>
                <w:color w:val="000000" w:themeColor="text1"/>
                <w:sz w:val="21"/>
                <w:szCs w:val="21"/>
              </w:rPr>
              <w:t xml:space="preserve">Modernizacja istniejących oraz budowa nowych mostów, w tym </w:t>
            </w:r>
          </w:p>
          <w:p w14:paraId="1DE9AC8F" w14:textId="75EC254B" w:rsidR="005F267C" w:rsidRPr="009B78DA" w:rsidRDefault="005F267C" w:rsidP="00C17C6C">
            <w:pPr>
              <w:pStyle w:val="Akapitzlist"/>
              <w:numPr>
                <w:ilvl w:val="0"/>
                <w:numId w:val="121"/>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na rzece San na wysokości Leska, Dynowa, Niewistki (pomiędzy miejscowościami Niewistka - Jabłonica Ruska</w:t>
            </w:r>
            <w:r w:rsidRPr="009B78DA">
              <w:rPr>
                <w:rFonts w:ascii="Arial Narrow" w:hAnsi="Arial Narrow" w:cs="Calibri"/>
                <w:color w:val="000000" w:themeColor="text1"/>
                <w:sz w:val="16"/>
                <w:szCs w:val="16"/>
              </w:rPr>
              <w:t xml:space="preserve"> </w:t>
            </w:r>
            <w:r w:rsidRPr="009B78DA">
              <w:rPr>
                <w:rFonts w:ascii="Arial" w:hAnsi="Arial" w:cs="Arial"/>
                <w:color w:val="000000" w:themeColor="text1"/>
                <w:sz w:val="21"/>
                <w:szCs w:val="21"/>
              </w:rPr>
              <w:t xml:space="preserve">oraz Bachórz </w:t>
            </w:r>
            <w:r w:rsidR="00C253C3">
              <w:rPr>
                <w:rFonts w:ascii="Arial" w:hAnsi="Arial" w:cs="Arial"/>
                <w:color w:val="000000" w:themeColor="text1"/>
                <w:sz w:val="21"/>
                <w:szCs w:val="21"/>
              </w:rPr>
              <w:br/>
            </w:r>
            <w:r w:rsidRPr="009B78DA">
              <w:rPr>
                <w:rFonts w:ascii="Arial" w:hAnsi="Arial" w:cs="Arial"/>
                <w:color w:val="000000" w:themeColor="text1"/>
                <w:sz w:val="21"/>
                <w:szCs w:val="21"/>
              </w:rPr>
              <w:t xml:space="preserve">i Pawłokoma), Wrzawy, Munina </w:t>
            </w:r>
            <w:r w:rsidR="00C253C3">
              <w:rPr>
                <w:rFonts w:ascii="Arial" w:hAnsi="Arial" w:cs="Arial"/>
                <w:color w:val="000000" w:themeColor="text1"/>
                <w:sz w:val="21"/>
                <w:szCs w:val="21"/>
              </w:rPr>
              <w:br/>
            </w:r>
            <w:r w:rsidRPr="009B78DA">
              <w:rPr>
                <w:rFonts w:ascii="Arial" w:hAnsi="Arial" w:cs="Arial"/>
                <w:color w:val="000000" w:themeColor="text1"/>
                <w:sz w:val="21"/>
                <w:szCs w:val="21"/>
              </w:rPr>
              <w:t>i Sobiecin</w:t>
            </w:r>
          </w:p>
          <w:p w14:paraId="60861A99" w14:textId="06DEC15C" w:rsidR="005F267C" w:rsidRPr="00C253C3" w:rsidRDefault="005F267C" w:rsidP="00C253C3">
            <w:pPr>
              <w:pStyle w:val="Akapitzlist"/>
              <w:numPr>
                <w:ilvl w:val="0"/>
                <w:numId w:val="121"/>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na innych rzekach w południowej części województwa oraz na terenie Bieszczad.</w:t>
            </w:r>
          </w:p>
          <w:p w14:paraId="13B74916" w14:textId="1B007820" w:rsidR="005F267C" w:rsidRPr="009B78DA" w:rsidRDefault="005F267C" w:rsidP="00C17C6C">
            <w:pPr>
              <w:pStyle w:val="Akapitzlist"/>
              <w:numPr>
                <w:ilvl w:val="0"/>
                <w:numId w:val="122"/>
              </w:numPr>
              <w:spacing w:line="276" w:lineRule="auto"/>
              <w:ind w:left="405" w:hanging="283"/>
              <w:rPr>
                <w:rFonts w:ascii="Arial" w:hAnsi="Arial" w:cs="Arial"/>
                <w:color w:val="000000" w:themeColor="text1"/>
                <w:sz w:val="21"/>
                <w:szCs w:val="21"/>
              </w:rPr>
            </w:pPr>
            <w:r w:rsidRPr="009B78DA">
              <w:rPr>
                <w:rFonts w:ascii="Arial" w:hAnsi="Arial" w:cs="Arial"/>
                <w:color w:val="000000" w:themeColor="text1"/>
                <w:sz w:val="21"/>
                <w:szCs w:val="21"/>
              </w:rPr>
              <w:t xml:space="preserve">Budowa nowego odcinka DW 855 Zaklików – Stalowa Wola wraz </w:t>
            </w:r>
            <w:r w:rsidR="00A26349">
              <w:rPr>
                <w:rFonts w:ascii="Arial" w:hAnsi="Arial" w:cs="Arial"/>
                <w:color w:val="000000" w:themeColor="text1"/>
                <w:sz w:val="21"/>
                <w:szCs w:val="21"/>
              </w:rPr>
              <w:br/>
            </w:r>
            <w:r w:rsidRPr="009B78DA">
              <w:rPr>
                <w:rFonts w:ascii="Arial" w:hAnsi="Arial" w:cs="Arial"/>
                <w:color w:val="000000" w:themeColor="text1"/>
                <w:sz w:val="21"/>
                <w:szCs w:val="21"/>
              </w:rPr>
              <w:t>z budową mostu na rzece San.</w:t>
            </w:r>
          </w:p>
          <w:p w14:paraId="797B7AE0" w14:textId="713F5E72" w:rsidR="005F267C" w:rsidRPr="009B78DA" w:rsidRDefault="005F267C" w:rsidP="00C17C6C">
            <w:pPr>
              <w:pStyle w:val="Akapitzlist"/>
              <w:numPr>
                <w:ilvl w:val="0"/>
                <w:numId w:val="122"/>
              </w:numPr>
              <w:spacing w:line="276" w:lineRule="auto"/>
              <w:ind w:left="405" w:hanging="283"/>
              <w:rPr>
                <w:rFonts w:ascii="Arial" w:hAnsi="Arial" w:cs="Arial"/>
                <w:color w:val="000000" w:themeColor="text1"/>
                <w:sz w:val="21"/>
                <w:szCs w:val="21"/>
              </w:rPr>
            </w:pPr>
            <w:r w:rsidRPr="009B78DA">
              <w:rPr>
                <w:rFonts w:ascii="Arial" w:hAnsi="Arial" w:cs="Arial"/>
                <w:color w:val="000000" w:themeColor="text1"/>
                <w:sz w:val="21"/>
                <w:szCs w:val="21"/>
              </w:rPr>
              <w:t xml:space="preserve">Budowa nowego odcinka drogi wojewódzkiej Nr 865 Jarosław – Oleszyce – Cieszanów – Bełżec wraz z budową mostu na rzece San oraz budową i przebudową niezbędnej infrastruktury technicznej, budowli </w:t>
            </w:r>
            <w:r w:rsidR="00C253C3">
              <w:rPr>
                <w:rFonts w:ascii="Arial" w:hAnsi="Arial" w:cs="Arial"/>
                <w:color w:val="000000" w:themeColor="text1"/>
                <w:sz w:val="21"/>
                <w:szCs w:val="21"/>
              </w:rPr>
              <w:br/>
            </w:r>
            <w:r w:rsidRPr="009B78DA">
              <w:rPr>
                <w:rFonts w:ascii="Arial" w:hAnsi="Arial" w:cs="Arial"/>
                <w:color w:val="000000" w:themeColor="text1"/>
                <w:sz w:val="21"/>
                <w:szCs w:val="21"/>
              </w:rPr>
              <w:t>i urządzeń budowlanych w m. Jarosław.</w:t>
            </w:r>
          </w:p>
          <w:p w14:paraId="1125D1D3" w14:textId="3B1D274C" w:rsidR="005F267C" w:rsidRPr="009B78DA" w:rsidRDefault="005F267C" w:rsidP="00C17C6C">
            <w:pPr>
              <w:pStyle w:val="Akapitzlist"/>
              <w:numPr>
                <w:ilvl w:val="0"/>
                <w:numId w:val="122"/>
              </w:numPr>
              <w:spacing w:line="276" w:lineRule="auto"/>
              <w:ind w:left="405" w:hanging="283"/>
              <w:rPr>
                <w:rFonts w:ascii="Arial" w:hAnsi="Arial" w:cs="Arial"/>
                <w:color w:val="000000" w:themeColor="text1"/>
                <w:sz w:val="21"/>
                <w:szCs w:val="21"/>
              </w:rPr>
            </w:pPr>
            <w:r w:rsidRPr="009B78DA">
              <w:rPr>
                <w:rFonts w:ascii="Arial" w:hAnsi="Arial" w:cs="Arial"/>
                <w:color w:val="000000" w:themeColor="text1"/>
                <w:sz w:val="21"/>
                <w:szCs w:val="21"/>
              </w:rPr>
              <w:t>Budowa nowego mostu przez rzekę Sołotwa wraz z rozbiórką istniejącego mostu oraz budowa i rozbiórka mostu tymczasowego wraz z objazdem tymczasowym w ramach Rozb</w:t>
            </w:r>
            <w:r w:rsidR="00C253C3">
              <w:rPr>
                <w:rFonts w:ascii="Arial" w:hAnsi="Arial" w:cs="Arial"/>
                <w:color w:val="000000" w:themeColor="text1"/>
                <w:sz w:val="21"/>
                <w:szCs w:val="21"/>
              </w:rPr>
              <w:t>udowy drogi wojewódzkiej nr 867</w:t>
            </w:r>
          </w:p>
          <w:p w14:paraId="72EF353C" w14:textId="77777777" w:rsidR="005F267C" w:rsidRPr="009B78DA" w:rsidRDefault="005F267C" w:rsidP="00C17C6C">
            <w:pPr>
              <w:pStyle w:val="Akapitzlist"/>
              <w:numPr>
                <w:ilvl w:val="0"/>
                <w:numId w:val="120"/>
              </w:numPr>
              <w:spacing w:line="276" w:lineRule="auto"/>
              <w:ind w:left="357" w:hanging="357"/>
              <w:rPr>
                <w:rFonts w:ascii="Arial" w:hAnsi="Arial" w:cs="Arial"/>
                <w:b/>
                <w:color w:val="000000" w:themeColor="text1"/>
                <w:sz w:val="21"/>
                <w:szCs w:val="21"/>
              </w:rPr>
            </w:pPr>
            <w:r w:rsidRPr="009B78DA">
              <w:rPr>
                <w:rFonts w:ascii="Arial" w:hAnsi="Arial" w:cs="Arial"/>
                <w:b/>
                <w:color w:val="000000" w:themeColor="text1"/>
                <w:sz w:val="21"/>
                <w:szCs w:val="21"/>
              </w:rPr>
              <w:t>Inwestycje dotyczące budowy obwodnic w zakresie dróg wojewódzkich:</w:t>
            </w:r>
          </w:p>
          <w:p w14:paraId="5DDA37BB" w14:textId="77777777" w:rsidR="005F267C" w:rsidRPr="009B78DA" w:rsidRDefault="005F267C" w:rsidP="00C17C6C">
            <w:pPr>
              <w:pStyle w:val="Akapitzlist"/>
              <w:numPr>
                <w:ilvl w:val="0"/>
                <w:numId w:val="123"/>
              </w:numPr>
              <w:spacing w:line="276" w:lineRule="auto"/>
              <w:ind w:left="405" w:hanging="283"/>
              <w:rPr>
                <w:rFonts w:ascii="Arial" w:hAnsi="Arial" w:cs="Arial"/>
                <w:color w:val="000000" w:themeColor="text1"/>
                <w:sz w:val="21"/>
                <w:szCs w:val="21"/>
              </w:rPr>
            </w:pPr>
            <w:r w:rsidRPr="009B78DA">
              <w:rPr>
                <w:rFonts w:ascii="Arial" w:hAnsi="Arial" w:cs="Arial"/>
                <w:color w:val="000000" w:themeColor="text1"/>
                <w:sz w:val="21"/>
                <w:szCs w:val="21"/>
              </w:rPr>
              <w:t>Budowa obwodnicy m. Nowy Żmigród DW 993</w:t>
            </w:r>
          </w:p>
          <w:p w14:paraId="1798E15E" w14:textId="77777777" w:rsidR="005F267C" w:rsidRPr="009B78DA" w:rsidRDefault="005F267C" w:rsidP="00C17C6C">
            <w:pPr>
              <w:pStyle w:val="Akapitzlist"/>
              <w:numPr>
                <w:ilvl w:val="0"/>
                <w:numId w:val="123"/>
              </w:numPr>
              <w:spacing w:line="276" w:lineRule="auto"/>
              <w:ind w:left="405" w:hanging="283"/>
              <w:rPr>
                <w:rFonts w:ascii="Arial" w:hAnsi="Arial" w:cs="Arial"/>
                <w:color w:val="000000" w:themeColor="text1"/>
                <w:sz w:val="21"/>
                <w:szCs w:val="21"/>
              </w:rPr>
            </w:pPr>
            <w:r w:rsidRPr="009B78DA">
              <w:rPr>
                <w:rFonts w:ascii="Arial" w:hAnsi="Arial" w:cs="Arial"/>
                <w:color w:val="000000" w:themeColor="text1"/>
                <w:sz w:val="21"/>
                <w:szCs w:val="21"/>
              </w:rPr>
              <w:t>Budowa obwodnicy m. Baranów Sandomierski DW 985</w:t>
            </w:r>
          </w:p>
          <w:p w14:paraId="5F0AA438" w14:textId="77777777" w:rsidR="005F267C" w:rsidRPr="009B78DA" w:rsidRDefault="005F267C" w:rsidP="00C17C6C">
            <w:pPr>
              <w:pStyle w:val="Akapitzlist"/>
              <w:numPr>
                <w:ilvl w:val="0"/>
                <w:numId w:val="123"/>
              </w:numPr>
              <w:spacing w:line="276" w:lineRule="auto"/>
              <w:ind w:left="405" w:hanging="283"/>
              <w:rPr>
                <w:rFonts w:ascii="Arial" w:hAnsi="Arial" w:cs="Arial"/>
                <w:color w:val="000000" w:themeColor="text1"/>
                <w:sz w:val="21"/>
                <w:szCs w:val="21"/>
              </w:rPr>
            </w:pPr>
            <w:r w:rsidRPr="009B78DA">
              <w:rPr>
                <w:rFonts w:ascii="Arial" w:hAnsi="Arial" w:cs="Arial"/>
                <w:color w:val="000000" w:themeColor="text1"/>
                <w:sz w:val="21"/>
                <w:szCs w:val="21"/>
              </w:rPr>
              <w:t>Budowa obwodnicy m. Wiśniowa DW 988</w:t>
            </w:r>
          </w:p>
          <w:p w14:paraId="364AE6B7" w14:textId="77777777" w:rsidR="005F267C" w:rsidRPr="009B78DA" w:rsidRDefault="005F267C" w:rsidP="00C17C6C">
            <w:pPr>
              <w:pStyle w:val="Akapitzlist"/>
              <w:numPr>
                <w:ilvl w:val="0"/>
                <w:numId w:val="123"/>
              </w:numPr>
              <w:spacing w:line="276" w:lineRule="auto"/>
              <w:ind w:left="405" w:hanging="283"/>
              <w:rPr>
                <w:rFonts w:ascii="Arial" w:hAnsi="Arial" w:cs="Arial"/>
                <w:color w:val="000000" w:themeColor="text1"/>
                <w:sz w:val="21"/>
                <w:szCs w:val="21"/>
              </w:rPr>
            </w:pPr>
            <w:r w:rsidRPr="009B78DA">
              <w:rPr>
                <w:rFonts w:ascii="Arial" w:hAnsi="Arial" w:cs="Arial"/>
                <w:color w:val="000000" w:themeColor="text1"/>
                <w:sz w:val="21"/>
                <w:szCs w:val="21"/>
              </w:rPr>
              <w:t>Budowa obwodnicy m. Rymanów DW 887</w:t>
            </w:r>
          </w:p>
          <w:p w14:paraId="7281C34F" w14:textId="77777777" w:rsidR="005F267C" w:rsidRPr="009B78DA" w:rsidRDefault="005F267C" w:rsidP="00C17C6C">
            <w:pPr>
              <w:pStyle w:val="Akapitzlist"/>
              <w:numPr>
                <w:ilvl w:val="0"/>
                <w:numId w:val="123"/>
              </w:numPr>
              <w:spacing w:line="276" w:lineRule="auto"/>
              <w:ind w:left="405" w:hanging="283"/>
              <w:rPr>
                <w:rFonts w:ascii="Arial" w:hAnsi="Arial" w:cs="Arial"/>
                <w:color w:val="000000" w:themeColor="text1"/>
                <w:sz w:val="21"/>
                <w:szCs w:val="21"/>
              </w:rPr>
            </w:pPr>
            <w:r w:rsidRPr="009B78DA">
              <w:rPr>
                <w:rFonts w:ascii="Arial" w:hAnsi="Arial" w:cs="Arial"/>
                <w:color w:val="000000" w:themeColor="text1"/>
                <w:sz w:val="21"/>
                <w:szCs w:val="21"/>
              </w:rPr>
              <w:t>Budowa obwodnicy m. Łańcut DW 881</w:t>
            </w:r>
          </w:p>
          <w:p w14:paraId="772E9CD1" w14:textId="77777777" w:rsidR="005F267C" w:rsidRPr="009B78DA" w:rsidRDefault="005F267C" w:rsidP="00C17C6C">
            <w:pPr>
              <w:pStyle w:val="Akapitzlist"/>
              <w:numPr>
                <w:ilvl w:val="0"/>
                <w:numId w:val="123"/>
              </w:numPr>
              <w:spacing w:line="276" w:lineRule="auto"/>
              <w:ind w:left="405" w:hanging="283"/>
              <w:rPr>
                <w:rFonts w:ascii="Arial" w:hAnsi="Arial" w:cs="Arial"/>
                <w:color w:val="000000" w:themeColor="text1"/>
                <w:sz w:val="21"/>
                <w:szCs w:val="21"/>
              </w:rPr>
            </w:pPr>
            <w:r w:rsidRPr="009B78DA">
              <w:rPr>
                <w:rFonts w:ascii="Arial" w:hAnsi="Arial" w:cs="Arial"/>
                <w:color w:val="000000" w:themeColor="text1"/>
                <w:sz w:val="21"/>
                <w:szCs w:val="21"/>
              </w:rPr>
              <w:t>Budowa obwodnicy m. Ulanów DW 858</w:t>
            </w:r>
          </w:p>
          <w:p w14:paraId="6B84331E" w14:textId="4672DE7E" w:rsidR="005F267C" w:rsidRPr="00C253C3" w:rsidRDefault="005F267C" w:rsidP="00C253C3">
            <w:pPr>
              <w:pStyle w:val="Akapitzlist"/>
              <w:numPr>
                <w:ilvl w:val="0"/>
                <w:numId w:val="123"/>
              </w:numPr>
              <w:spacing w:line="276" w:lineRule="auto"/>
              <w:ind w:left="405" w:hanging="283"/>
              <w:rPr>
                <w:rFonts w:ascii="Arial" w:hAnsi="Arial" w:cs="Arial"/>
                <w:color w:val="000000" w:themeColor="text1"/>
                <w:sz w:val="21"/>
                <w:szCs w:val="21"/>
              </w:rPr>
            </w:pPr>
            <w:r w:rsidRPr="009B78DA">
              <w:rPr>
                <w:rFonts w:ascii="Arial" w:hAnsi="Arial" w:cs="Arial"/>
                <w:color w:val="000000" w:themeColor="text1"/>
                <w:sz w:val="21"/>
                <w:szCs w:val="21"/>
              </w:rPr>
              <w:t>Budowa obwodnicy m. Gniewczyna Tryniecka i m. Gniewczyna Łańcucka DW 835</w:t>
            </w:r>
          </w:p>
        </w:tc>
        <w:tc>
          <w:tcPr>
            <w:tcW w:w="1685" w:type="pct"/>
            <w:vAlign w:val="center"/>
          </w:tcPr>
          <w:p w14:paraId="49A9F4A4" w14:textId="77777777" w:rsidR="005F267C" w:rsidRPr="009B78DA" w:rsidRDefault="005F267C" w:rsidP="00C17C6C">
            <w:pPr>
              <w:pStyle w:val="Akapitzlist"/>
              <w:numPr>
                <w:ilvl w:val="0"/>
                <w:numId w:val="229"/>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Rzeszowski Obszar Funkcjonalny</w:t>
            </w:r>
          </w:p>
          <w:p w14:paraId="181B2367" w14:textId="4FF2BD82" w:rsidR="005F267C" w:rsidRPr="009B78DA" w:rsidRDefault="005F267C" w:rsidP="00C17C6C">
            <w:pPr>
              <w:pStyle w:val="Akapitzlist"/>
              <w:numPr>
                <w:ilvl w:val="0"/>
                <w:numId w:val="228"/>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Połączenie z północno-zachodnią częścią ROF-u, gminą Głogów Małopolski i dalej </w:t>
            </w:r>
            <w:r w:rsidR="00C253C3">
              <w:rPr>
                <w:rFonts w:ascii="Arial" w:hAnsi="Arial" w:cs="Arial"/>
                <w:color w:val="000000" w:themeColor="text1"/>
                <w:sz w:val="21"/>
                <w:szCs w:val="21"/>
              </w:rPr>
              <w:br/>
            </w:r>
            <w:r w:rsidRPr="009B78DA">
              <w:rPr>
                <w:rFonts w:ascii="Arial" w:hAnsi="Arial" w:cs="Arial"/>
                <w:color w:val="000000" w:themeColor="text1"/>
                <w:sz w:val="21"/>
                <w:szCs w:val="21"/>
              </w:rPr>
              <w:t>z Kolbuszową</w:t>
            </w:r>
          </w:p>
          <w:p w14:paraId="6429E881" w14:textId="77777777" w:rsidR="005F267C" w:rsidRPr="009B78DA" w:rsidRDefault="005F267C" w:rsidP="00C17C6C">
            <w:pPr>
              <w:pStyle w:val="Akapitzlist"/>
              <w:numPr>
                <w:ilvl w:val="0"/>
                <w:numId w:val="228"/>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Połączenie z północną i południową częścią ROF-u, poprawiające dostępność do Rzeszowa gminom Czudec, Boguchwała</w:t>
            </w:r>
          </w:p>
          <w:p w14:paraId="36C97EA5" w14:textId="77777777" w:rsidR="005F267C" w:rsidRPr="009B78DA" w:rsidRDefault="005F267C" w:rsidP="00C17C6C">
            <w:pPr>
              <w:pStyle w:val="Akapitzlist"/>
              <w:numPr>
                <w:ilvl w:val="0"/>
                <w:numId w:val="228"/>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Połączenia drogowe wewnątrz miasta celem uniknięcia skumulowanego strumienia ruchu (w tym południowa obwodnica)</w:t>
            </w:r>
          </w:p>
          <w:p w14:paraId="6B0C5B5A" w14:textId="77777777" w:rsidR="005F267C" w:rsidRPr="009B78DA" w:rsidRDefault="005F267C" w:rsidP="00C17C6C">
            <w:pPr>
              <w:pStyle w:val="Akapitzlist"/>
              <w:numPr>
                <w:ilvl w:val="0"/>
                <w:numId w:val="229"/>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Przemyśl</w:t>
            </w:r>
          </w:p>
          <w:p w14:paraId="54197C9D" w14:textId="77777777" w:rsidR="005F267C" w:rsidRPr="009B78DA" w:rsidRDefault="005F267C" w:rsidP="00C17C6C">
            <w:pPr>
              <w:pStyle w:val="Akapitzlist"/>
              <w:numPr>
                <w:ilvl w:val="0"/>
                <w:numId w:val="23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Połączenie w kierunku północnym, skomunikowanie gmin Żurawica i Orły</w:t>
            </w:r>
          </w:p>
          <w:p w14:paraId="70CE62AE" w14:textId="35C78F74" w:rsidR="005F267C" w:rsidRPr="009B78DA" w:rsidRDefault="005F267C" w:rsidP="00C17C6C">
            <w:pPr>
              <w:pStyle w:val="Akapitzlist"/>
              <w:numPr>
                <w:ilvl w:val="0"/>
                <w:numId w:val="23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Połączenie w kierunku zachodnim </w:t>
            </w:r>
            <w:r w:rsidR="00C253C3">
              <w:rPr>
                <w:rFonts w:ascii="Arial" w:hAnsi="Arial" w:cs="Arial"/>
                <w:color w:val="000000" w:themeColor="text1"/>
                <w:sz w:val="21"/>
                <w:szCs w:val="21"/>
              </w:rPr>
              <w:br/>
            </w:r>
            <w:r w:rsidRPr="009B78DA">
              <w:rPr>
                <w:rFonts w:ascii="Arial" w:hAnsi="Arial" w:cs="Arial"/>
                <w:color w:val="000000" w:themeColor="text1"/>
                <w:sz w:val="21"/>
                <w:szCs w:val="21"/>
              </w:rPr>
              <w:t>i wschodnim, skomunikowanie gmin Krasiczyn i Medyka</w:t>
            </w:r>
          </w:p>
          <w:p w14:paraId="38ACB0A3" w14:textId="77777777" w:rsidR="005F267C" w:rsidRPr="009B78DA" w:rsidRDefault="005F267C" w:rsidP="00C17C6C">
            <w:pPr>
              <w:pStyle w:val="Akapitzlist"/>
              <w:numPr>
                <w:ilvl w:val="0"/>
                <w:numId w:val="23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Usprawnienie przepustowości dróg przez obszar MOF poprzez budowę zachodniej obwodnicy Przemyśla</w:t>
            </w:r>
          </w:p>
          <w:p w14:paraId="540127C5" w14:textId="77777777" w:rsidR="005F267C" w:rsidRPr="009B78DA" w:rsidRDefault="005F267C" w:rsidP="00C17C6C">
            <w:pPr>
              <w:pStyle w:val="Akapitzlist"/>
              <w:numPr>
                <w:ilvl w:val="0"/>
                <w:numId w:val="23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Połączenia drogowe wewnątrz miasta celem uniknięcia skumulowanego strumienia ruchu</w:t>
            </w:r>
          </w:p>
          <w:p w14:paraId="4B5F8024" w14:textId="77777777" w:rsidR="005F267C" w:rsidRPr="009B78DA" w:rsidRDefault="005F267C" w:rsidP="00C17C6C">
            <w:pPr>
              <w:pStyle w:val="Akapitzlist"/>
              <w:numPr>
                <w:ilvl w:val="0"/>
                <w:numId w:val="229"/>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Krosno</w:t>
            </w:r>
          </w:p>
          <w:p w14:paraId="29C3BB2C" w14:textId="77777777" w:rsidR="005F267C" w:rsidRPr="009B78DA" w:rsidRDefault="005F267C" w:rsidP="00C17C6C">
            <w:pPr>
              <w:pStyle w:val="Akapitzlist"/>
              <w:numPr>
                <w:ilvl w:val="0"/>
                <w:numId w:val="231"/>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Priorytetem jest inwestycją w ramach MOF Krosno tj. obwodnica miasta w ciągu drogi krajowej. </w:t>
            </w:r>
          </w:p>
          <w:p w14:paraId="54F05582" w14:textId="77777777" w:rsidR="005F267C" w:rsidRPr="009B78DA" w:rsidRDefault="005F267C" w:rsidP="00C17C6C">
            <w:pPr>
              <w:pStyle w:val="Akapitzlist"/>
              <w:numPr>
                <w:ilvl w:val="0"/>
                <w:numId w:val="231"/>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Odcinki wylotowe z Krosna charakteryzujące się bardzo wysokim natężeniem ruchu, w tym ruchu ciężarowego (przede wszystkim odcinek na północny-zachód w kierunku Jasła), a także odcinki dojazdowe dróg wojewódzkich. </w:t>
            </w:r>
          </w:p>
          <w:p w14:paraId="230D43DB" w14:textId="77777777" w:rsidR="005F267C" w:rsidRPr="009B78DA" w:rsidRDefault="005F267C" w:rsidP="00C17C6C">
            <w:pPr>
              <w:pStyle w:val="Akapitzlist"/>
              <w:numPr>
                <w:ilvl w:val="0"/>
                <w:numId w:val="231"/>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Modernizacja układu drogowego, a także poprawa warunków dojazdowych do miasta-rdzenia </w:t>
            </w:r>
          </w:p>
          <w:p w14:paraId="4EF0E40D" w14:textId="77777777" w:rsidR="005F267C" w:rsidRPr="009B78DA" w:rsidRDefault="005F267C" w:rsidP="00C17C6C">
            <w:pPr>
              <w:pStyle w:val="Akapitzlist"/>
              <w:numPr>
                <w:ilvl w:val="0"/>
                <w:numId w:val="231"/>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Poprawa przepustowości obszaru MOF, w tym powiązanie z drogą ekspresową S19</w:t>
            </w:r>
          </w:p>
          <w:p w14:paraId="0A69A91B" w14:textId="77777777" w:rsidR="005F267C" w:rsidRPr="009B78DA" w:rsidRDefault="005F267C" w:rsidP="00C17C6C">
            <w:pPr>
              <w:pStyle w:val="Akapitzlist"/>
              <w:numPr>
                <w:ilvl w:val="0"/>
                <w:numId w:val="231"/>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Połączenia drogowe wewnątrz miasta celem uniknięcia skumulowanego strumienia ruchu</w:t>
            </w:r>
          </w:p>
          <w:p w14:paraId="1289373F" w14:textId="77777777" w:rsidR="005F267C" w:rsidRPr="009B78DA" w:rsidRDefault="005F267C" w:rsidP="00C17C6C">
            <w:pPr>
              <w:pStyle w:val="Akapitzlist"/>
              <w:numPr>
                <w:ilvl w:val="0"/>
                <w:numId w:val="229"/>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Jasło</w:t>
            </w:r>
          </w:p>
          <w:p w14:paraId="35191579" w14:textId="40DC6B51" w:rsidR="005F267C" w:rsidRPr="009B78DA" w:rsidRDefault="005F267C" w:rsidP="00C17C6C">
            <w:pPr>
              <w:pStyle w:val="Akapitzlist"/>
              <w:numPr>
                <w:ilvl w:val="0"/>
                <w:numId w:val="232"/>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dróg wyprowadzających ruch </w:t>
            </w:r>
            <w:r w:rsidR="00A26349">
              <w:rPr>
                <w:rFonts w:ascii="Arial" w:hAnsi="Arial" w:cs="Arial"/>
                <w:color w:val="000000" w:themeColor="text1"/>
                <w:sz w:val="21"/>
                <w:szCs w:val="21"/>
              </w:rPr>
              <w:br/>
            </w:r>
            <w:r w:rsidRPr="009B78DA">
              <w:rPr>
                <w:rFonts w:ascii="Arial" w:hAnsi="Arial" w:cs="Arial"/>
                <w:color w:val="000000" w:themeColor="text1"/>
                <w:sz w:val="21"/>
                <w:szCs w:val="21"/>
              </w:rPr>
              <w:t xml:space="preserve">z miasta rdzeniowego na osi wschód-zachód oraz w kierunku północnym </w:t>
            </w:r>
          </w:p>
          <w:p w14:paraId="1E599588" w14:textId="77777777" w:rsidR="005F267C" w:rsidRPr="009B78DA" w:rsidRDefault="005F267C" w:rsidP="00C17C6C">
            <w:pPr>
              <w:pStyle w:val="Akapitzlist"/>
              <w:numPr>
                <w:ilvl w:val="0"/>
                <w:numId w:val="232"/>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Inwestycja w postaci obwodnicy dla miasta Jasła oraz jego obszaru funkcjonalnego</w:t>
            </w:r>
          </w:p>
          <w:p w14:paraId="6DCA3C53" w14:textId="77777777" w:rsidR="005F267C" w:rsidRPr="009B78DA" w:rsidRDefault="005F267C" w:rsidP="00C17C6C">
            <w:pPr>
              <w:pStyle w:val="Akapitzlist"/>
              <w:numPr>
                <w:ilvl w:val="0"/>
                <w:numId w:val="232"/>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Połączenia drogowe wewnątrz miasta celem uniknięcia skumulowanego strumienia ruchu</w:t>
            </w:r>
          </w:p>
          <w:p w14:paraId="027925A8" w14:textId="77777777" w:rsidR="005F267C" w:rsidRPr="009B78DA" w:rsidRDefault="005F267C" w:rsidP="00C17C6C">
            <w:pPr>
              <w:pStyle w:val="Akapitzlist"/>
              <w:numPr>
                <w:ilvl w:val="0"/>
                <w:numId w:val="229"/>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Tarnobrzeg</w:t>
            </w:r>
          </w:p>
          <w:p w14:paraId="7CA647EA" w14:textId="47BD4F57" w:rsidR="005F267C" w:rsidRPr="009B78DA" w:rsidRDefault="005F267C" w:rsidP="00C17C6C">
            <w:pPr>
              <w:pStyle w:val="Akapitzlist"/>
              <w:numPr>
                <w:ilvl w:val="0"/>
                <w:numId w:val="233"/>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ważnej relacji z rdzenia obszaru funkcjonalnego z gminą Nowa Dęba a także </w:t>
            </w:r>
            <w:r w:rsidR="00C253C3">
              <w:rPr>
                <w:rFonts w:ascii="Arial" w:hAnsi="Arial" w:cs="Arial"/>
                <w:color w:val="000000" w:themeColor="text1"/>
                <w:sz w:val="21"/>
                <w:szCs w:val="21"/>
              </w:rPr>
              <w:br/>
            </w:r>
            <w:r w:rsidRPr="009B78DA">
              <w:rPr>
                <w:rFonts w:ascii="Arial" w:hAnsi="Arial" w:cs="Arial"/>
                <w:color w:val="000000" w:themeColor="text1"/>
                <w:sz w:val="21"/>
                <w:szCs w:val="21"/>
              </w:rPr>
              <w:t xml:space="preserve">z gminami będącymi z bezpośredniej bliskości obszaru funkcjonalnego </w:t>
            </w:r>
            <w:r w:rsidR="00C253C3">
              <w:rPr>
                <w:rFonts w:ascii="Arial" w:hAnsi="Arial" w:cs="Arial"/>
                <w:color w:val="000000" w:themeColor="text1"/>
                <w:sz w:val="21"/>
                <w:szCs w:val="21"/>
              </w:rPr>
              <w:t>z terenu woj. świętokrzyskiego.</w:t>
            </w:r>
          </w:p>
          <w:p w14:paraId="1221CA75" w14:textId="77777777" w:rsidR="005F267C" w:rsidRPr="009B78DA" w:rsidRDefault="005F267C" w:rsidP="00C17C6C">
            <w:pPr>
              <w:pStyle w:val="Akapitzlist"/>
              <w:numPr>
                <w:ilvl w:val="0"/>
                <w:numId w:val="233"/>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obwodnicy w ramach drogi przebiegających przez obszar MOF, ponadto powiązanie z drogą ekspresową S74.</w:t>
            </w:r>
          </w:p>
          <w:p w14:paraId="3560AB05" w14:textId="77777777" w:rsidR="005F267C" w:rsidRPr="009B78DA" w:rsidRDefault="005F267C" w:rsidP="00C17C6C">
            <w:pPr>
              <w:pStyle w:val="Akapitzlist"/>
              <w:numPr>
                <w:ilvl w:val="0"/>
                <w:numId w:val="233"/>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Połączenia drogowe wewnątrz miasta celem uniknięcia skumulowanego strumienia ruchu</w:t>
            </w:r>
          </w:p>
          <w:p w14:paraId="588DA15A" w14:textId="77777777" w:rsidR="005F267C" w:rsidRPr="009B78DA" w:rsidRDefault="005F267C" w:rsidP="00C17C6C">
            <w:pPr>
              <w:pStyle w:val="Akapitzlist"/>
              <w:numPr>
                <w:ilvl w:val="0"/>
                <w:numId w:val="229"/>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Stalowa Wola</w:t>
            </w:r>
          </w:p>
          <w:p w14:paraId="4C73DEEC" w14:textId="5B7EFCD1" w:rsidR="005F267C" w:rsidRPr="009B78DA" w:rsidRDefault="005F267C" w:rsidP="00C17C6C">
            <w:pPr>
              <w:pStyle w:val="Akapitzlist"/>
              <w:numPr>
                <w:ilvl w:val="0"/>
                <w:numId w:val="23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Inwestycje ułatwiające wewnętrzną </w:t>
            </w:r>
            <w:r w:rsidR="00C253C3">
              <w:rPr>
                <w:rFonts w:ascii="Arial" w:hAnsi="Arial" w:cs="Arial"/>
                <w:color w:val="000000" w:themeColor="text1"/>
                <w:sz w:val="21"/>
                <w:szCs w:val="21"/>
              </w:rPr>
              <w:br/>
            </w:r>
            <w:r w:rsidRPr="009B78DA">
              <w:rPr>
                <w:rFonts w:ascii="Arial" w:hAnsi="Arial" w:cs="Arial"/>
                <w:color w:val="000000" w:themeColor="text1"/>
                <w:sz w:val="21"/>
                <w:szCs w:val="21"/>
              </w:rPr>
              <w:t xml:space="preserve">i zewnętrzną komunikację obszaru funkcjonalnego </w:t>
            </w:r>
          </w:p>
          <w:p w14:paraId="143BECC9" w14:textId="77777777" w:rsidR="005F267C" w:rsidRPr="009B78DA" w:rsidRDefault="005F267C" w:rsidP="00C17C6C">
            <w:pPr>
              <w:pStyle w:val="Akapitzlist"/>
              <w:numPr>
                <w:ilvl w:val="0"/>
                <w:numId w:val="23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połączenia w kierunku na Sandomierz oraz na Leżajsk i Jarosław, przechodzącego przez gminy strefy zewnętrznej obszaru funkcjonalnego (bardzo istotna w kontekście połączenia z rdzeniem)</w:t>
            </w:r>
          </w:p>
          <w:p w14:paraId="59F7A7D2" w14:textId="77777777" w:rsidR="005F267C" w:rsidRPr="009B78DA" w:rsidRDefault="005F267C" w:rsidP="00C17C6C">
            <w:pPr>
              <w:pStyle w:val="Akapitzlist"/>
              <w:numPr>
                <w:ilvl w:val="0"/>
                <w:numId w:val="23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Poprawa przepustowości przez obszar MOF, powiazanie z drogą ekspresową S74 (utworzenie bardzo ważnego węzła komunikacyjnego)</w:t>
            </w:r>
          </w:p>
          <w:p w14:paraId="0CEE041A" w14:textId="77777777" w:rsidR="005F267C" w:rsidRPr="009B78DA" w:rsidRDefault="005F267C" w:rsidP="00C17C6C">
            <w:pPr>
              <w:pStyle w:val="Akapitzlist"/>
              <w:numPr>
                <w:ilvl w:val="0"/>
                <w:numId w:val="23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Połączenia drogowe wewnątrz miasta celem uniknięcia skumulowanego strumienia ruchu</w:t>
            </w:r>
          </w:p>
          <w:p w14:paraId="222000A3" w14:textId="77777777" w:rsidR="005F267C" w:rsidRPr="009B78DA" w:rsidRDefault="005F267C" w:rsidP="00C17C6C">
            <w:pPr>
              <w:pStyle w:val="Akapitzlist"/>
              <w:numPr>
                <w:ilvl w:val="0"/>
                <w:numId w:val="23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Dostępność drogowa stref przemysłowych </w:t>
            </w:r>
            <w:r w:rsidRPr="009B78DA">
              <w:rPr>
                <w:rFonts w:ascii="Arial" w:hAnsi="Arial" w:cs="Arial"/>
                <w:color w:val="000000" w:themeColor="text1"/>
                <w:sz w:val="21"/>
                <w:szCs w:val="21"/>
              </w:rPr>
              <w:br/>
              <w:t>i węzłów intermodalnych</w:t>
            </w:r>
          </w:p>
          <w:p w14:paraId="40C5209E" w14:textId="77777777" w:rsidR="005F267C" w:rsidRPr="009B78DA" w:rsidRDefault="005F267C" w:rsidP="00C17C6C">
            <w:pPr>
              <w:pStyle w:val="Akapitzlist"/>
              <w:numPr>
                <w:ilvl w:val="0"/>
                <w:numId w:val="229"/>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Lubaczowa</w:t>
            </w:r>
          </w:p>
          <w:p w14:paraId="6581181A" w14:textId="77777777" w:rsidR="005F267C" w:rsidRPr="009B78DA" w:rsidRDefault="005F267C" w:rsidP="00C17C6C">
            <w:pPr>
              <w:pStyle w:val="Akapitzlist"/>
              <w:numPr>
                <w:ilvl w:val="0"/>
                <w:numId w:val="235"/>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inwestycji przebiegających z północy obszaru funkcjonalnego w kierunku przejścia granicznego z Ukrainą w Budomierzu;</w:t>
            </w:r>
          </w:p>
          <w:p w14:paraId="24867AF5" w14:textId="768F5D49" w:rsidR="005F267C" w:rsidRPr="009B78DA" w:rsidRDefault="005F267C" w:rsidP="00C17C6C">
            <w:pPr>
              <w:pStyle w:val="Akapitzlist"/>
              <w:numPr>
                <w:ilvl w:val="0"/>
                <w:numId w:val="235"/>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Inwestycje łączące gminę Horyniec Zdrój </w:t>
            </w:r>
            <w:r w:rsidR="00C253C3">
              <w:rPr>
                <w:rFonts w:ascii="Arial" w:hAnsi="Arial" w:cs="Arial"/>
                <w:color w:val="000000" w:themeColor="text1"/>
                <w:sz w:val="21"/>
                <w:szCs w:val="21"/>
              </w:rPr>
              <w:br/>
            </w:r>
            <w:r w:rsidRPr="009B78DA">
              <w:rPr>
                <w:rFonts w:ascii="Arial" w:hAnsi="Arial" w:cs="Arial"/>
                <w:color w:val="000000" w:themeColor="text1"/>
                <w:sz w:val="21"/>
                <w:szCs w:val="21"/>
              </w:rPr>
              <w:t>z Lubaczowem.</w:t>
            </w:r>
          </w:p>
          <w:p w14:paraId="5627D6DA" w14:textId="77777777" w:rsidR="005F267C" w:rsidRPr="009B78DA" w:rsidRDefault="005F267C" w:rsidP="00C17C6C">
            <w:pPr>
              <w:pStyle w:val="Akapitzlist"/>
              <w:numPr>
                <w:ilvl w:val="0"/>
                <w:numId w:val="235"/>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Połączenia drogowe wewnątrz miasta celem uniknięcia skumulowanego strumienia ruchu</w:t>
            </w:r>
          </w:p>
          <w:p w14:paraId="516A5ED5" w14:textId="77777777" w:rsidR="005F267C" w:rsidRPr="009B78DA" w:rsidRDefault="005F267C" w:rsidP="00C17C6C">
            <w:pPr>
              <w:pStyle w:val="Akapitzlist"/>
              <w:numPr>
                <w:ilvl w:val="0"/>
                <w:numId w:val="229"/>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Mielec</w:t>
            </w:r>
          </w:p>
          <w:p w14:paraId="78C4F1F5" w14:textId="2F96C7B8" w:rsidR="005F267C" w:rsidRPr="009B78DA" w:rsidRDefault="005F267C" w:rsidP="00C17C6C">
            <w:pPr>
              <w:pStyle w:val="Akapitzlist"/>
              <w:numPr>
                <w:ilvl w:val="0"/>
                <w:numId w:val="23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Inwestycje w drogi wyprowadzające ruch </w:t>
            </w:r>
            <w:r w:rsidR="00C253C3">
              <w:rPr>
                <w:rFonts w:ascii="Arial" w:hAnsi="Arial" w:cs="Arial"/>
                <w:color w:val="000000" w:themeColor="text1"/>
                <w:sz w:val="21"/>
                <w:szCs w:val="21"/>
              </w:rPr>
              <w:br/>
            </w:r>
            <w:r w:rsidRPr="009B78DA">
              <w:rPr>
                <w:rFonts w:ascii="Arial" w:hAnsi="Arial" w:cs="Arial"/>
                <w:color w:val="000000" w:themeColor="text1"/>
                <w:sz w:val="21"/>
                <w:szCs w:val="21"/>
              </w:rPr>
              <w:t>z miasta na osi wschód zachód w stronę Leżajska; w kierunku Tarnowa; w kierunku północno-wschodnim; na południu strefy zewnętrznej oraz na północy obszaru funkcjonalnego</w:t>
            </w:r>
          </w:p>
          <w:p w14:paraId="36834961" w14:textId="77777777" w:rsidR="005F267C" w:rsidRPr="009B78DA" w:rsidRDefault="005F267C" w:rsidP="00C17C6C">
            <w:pPr>
              <w:pStyle w:val="Akapitzlist"/>
              <w:numPr>
                <w:ilvl w:val="0"/>
                <w:numId w:val="23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Budowa dalszych części trasy obwodowej rdzenia wraz z modernizacją w kierunku autostrady A4 i Dębicy oraz w kierunku Kolbuszowej. </w:t>
            </w:r>
          </w:p>
          <w:p w14:paraId="65A2CE00" w14:textId="77777777" w:rsidR="005F267C" w:rsidRPr="009B78DA" w:rsidRDefault="005F267C" w:rsidP="00C17C6C">
            <w:pPr>
              <w:pStyle w:val="Akapitzlist"/>
              <w:numPr>
                <w:ilvl w:val="0"/>
                <w:numId w:val="23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Połączenia drogowe wewnątrz miasta celem uniknięcia skumulowanego strumienia ruchu</w:t>
            </w:r>
          </w:p>
          <w:p w14:paraId="31C5C5F2" w14:textId="77777777" w:rsidR="005F267C" w:rsidRPr="009B78DA" w:rsidRDefault="005F267C" w:rsidP="00C17C6C">
            <w:pPr>
              <w:pStyle w:val="Akapitzlist"/>
              <w:numPr>
                <w:ilvl w:val="0"/>
                <w:numId w:val="229"/>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Dębica-Ropczyce</w:t>
            </w:r>
          </w:p>
          <w:p w14:paraId="0B4796A1" w14:textId="2CB63817" w:rsidR="005F267C" w:rsidRPr="009B78DA" w:rsidRDefault="005F267C" w:rsidP="00C17C6C">
            <w:pPr>
              <w:pStyle w:val="Akapitzlist"/>
              <w:numPr>
                <w:ilvl w:val="0"/>
                <w:numId w:val="23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drogi krajowej umożliwiającej wygodne połączenie pomiędzy Dębicą </w:t>
            </w:r>
            <w:r w:rsidR="00C253C3">
              <w:rPr>
                <w:rFonts w:ascii="Arial" w:hAnsi="Arial" w:cs="Arial"/>
                <w:color w:val="000000" w:themeColor="text1"/>
                <w:sz w:val="21"/>
                <w:szCs w:val="21"/>
              </w:rPr>
              <w:br/>
            </w:r>
            <w:r w:rsidRPr="009B78DA">
              <w:rPr>
                <w:rFonts w:ascii="Arial" w:hAnsi="Arial" w:cs="Arial"/>
                <w:color w:val="000000" w:themeColor="text1"/>
                <w:sz w:val="21"/>
                <w:szCs w:val="21"/>
              </w:rPr>
              <w:t>a Ropczycami (rozbudowa lub alternatywne odciążenie) oraz poprawa skomunikowania pomiędzy Ropczycami, a Kolbuszową</w:t>
            </w:r>
          </w:p>
          <w:p w14:paraId="546A5D6D" w14:textId="77777777" w:rsidR="005F267C" w:rsidRPr="009B78DA" w:rsidRDefault="005F267C" w:rsidP="00C17C6C">
            <w:pPr>
              <w:pStyle w:val="Akapitzlist"/>
              <w:numPr>
                <w:ilvl w:val="0"/>
                <w:numId w:val="23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Połączenie w układzie północ-południe łączące Dębicę z obszarem funkcjonalnym w kierunku Mielca (z uwzględnieniem trasy przez tereny gminy Kolbuszowa)</w:t>
            </w:r>
          </w:p>
          <w:p w14:paraId="0F8F0E9E" w14:textId="77777777" w:rsidR="005F267C" w:rsidRPr="009B78DA" w:rsidRDefault="005F267C" w:rsidP="00C17C6C">
            <w:pPr>
              <w:pStyle w:val="Akapitzlist"/>
              <w:numPr>
                <w:ilvl w:val="0"/>
                <w:numId w:val="23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Połączenia drogowe wewnątrz miasta celem uniknięcia skumulowanego strumienia ruchu</w:t>
            </w:r>
          </w:p>
          <w:p w14:paraId="7E308C13" w14:textId="77777777" w:rsidR="005F267C" w:rsidRPr="009B78DA" w:rsidRDefault="005F267C" w:rsidP="00C17C6C">
            <w:pPr>
              <w:pStyle w:val="Akapitzlist"/>
              <w:numPr>
                <w:ilvl w:val="0"/>
                <w:numId w:val="229"/>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Jarosław-Przeworsk</w:t>
            </w:r>
          </w:p>
          <w:p w14:paraId="277ABC73" w14:textId="77777777" w:rsidR="005F267C" w:rsidRPr="009B78DA" w:rsidRDefault="005F267C" w:rsidP="00C17C6C">
            <w:pPr>
              <w:pStyle w:val="Akapitzlist"/>
              <w:numPr>
                <w:ilvl w:val="0"/>
                <w:numId w:val="238"/>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Wzmocnienie dróg mających pozytywny wpływ na dostępność wewnętrzną, o relacji równoległej do autostrady</w:t>
            </w:r>
          </w:p>
          <w:p w14:paraId="2A9C51E2" w14:textId="70665138" w:rsidR="005F267C" w:rsidRPr="009B78DA" w:rsidRDefault="005F267C" w:rsidP="00C17C6C">
            <w:pPr>
              <w:pStyle w:val="Akapitzlist"/>
              <w:numPr>
                <w:ilvl w:val="0"/>
                <w:numId w:val="238"/>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dróg wyprowadzających ruch </w:t>
            </w:r>
            <w:r w:rsidR="00C253C3">
              <w:rPr>
                <w:rFonts w:ascii="Arial" w:hAnsi="Arial" w:cs="Arial"/>
                <w:color w:val="000000" w:themeColor="text1"/>
                <w:sz w:val="21"/>
                <w:szCs w:val="21"/>
              </w:rPr>
              <w:br/>
            </w:r>
            <w:r w:rsidRPr="009B78DA">
              <w:rPr>
                <w:rFonts w:ascii="Arial" w:hAnsi="Arial" w:cs="Arial"/>
                <w:color w:val="000000" w:themeColor="text1"/>
                <w:sz w:val="21"/>
                <w:szCs w:val="21"/>
              </w:rPr>
              <w:t>z rdzeni w kierunku na Stalową Wolę</w:t>
            </w:r>
          </w:p>
          <w:p w14:paraId="49FE173A" w14:textId="7D5A95D9" w:rsidR="005F267C" w:rsidRPr="009B78DA" w:rsidRDefault="005F267C" w:rsidP="00C17C6C">
            <w:pPr>
              <w:pStyle w:val="Akapitzlist"/>
              <w:numPr>
                <w:ilvl w:val="0"/>
                <w:numId w:val="238"/>
              </w:numPr>
              <w:rPr>
                <w:rFonts w:ascii="Arial" w:hAnsi="Arial" w:cs="Arial"/>
                <w:color w:val="000000" w:themeColor="text1"/>
                <w:sz w:val="21"/>
                <w:szCs w:val="21"/>
              </w:rPr>
            </w:pPr>
            <w:r w:rsidRPr="009B78DA">
              <w:rPr>
                <w:rFonts w:ascii="Arial" w:hAnsi="Arial" w:cs="Arial"/>
                <w:color w:val="000000" w:themeColor="text1"/>
                <w:sz w:val="21"/>
                <w:szCs w:val="21"/>
              </w:rPr>
              <w:t xml:space="preserve">Inwestycje służące wyprowadzeniu ruchu </w:t>
            </w:r>
            <w:r w:rsidR="00C253C3">
              <w:rPr>
                <w:rFonts w:ascii="Arial" w:hAnsi="Arial" w:cs="Arial"/>
                <w:color w:val="000000" w:themeColor="text1"/>
                <w:sz w:val="21"/>
                <w:szCs w:val="21"/>
              </w:rPr>
              <w:br/>
            </w:r>
            <w:r w:rsidRPr="009B78DA">
              <w:rPr>
                <w:rFonts w:ascii="Arial" w:hAnsi="Arial" w:cs="Arial"/>
                <w:color w:val="000000" w:themeColor="text1"/>
                <w:sz w:val="21"/>
                <w:szCs w:val="21"/>
              </w:rPr>
              <w:t>z rdzeni w układzie wschód-zachód</w:t>
            </w:r>
          </w:p>
          <w:p w14:paraId="33CDFAE4" w14:textId="77777777" w:rsidR="005F267C" w:rsidRPr="009B78DA" w:rsidRDefault="005F267C" w:rsidP="00C17C6C">
            <w:pPr>
              <w:pStyle w:val="Akapitzlist"/>
              <w:numPr>
                <w:ilvl w:val="0"/>
                <w:numId w:val="238"/>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Połączenia drogowe wewnątrz miast celem uniknięcia skumulowanego strumienia ruchu</w:t>
            </w:r>
          </w:p>
          <w:p w14:paraId="001EC91C" w14:textId="77777777" w:rsidR="005F267C" w:rsidRPr="009B78DA" w:rsidRDefault="005F267C" w:rsidP="00C17C6C">
            <w:pPr>
              <w:pStyle w:val="Akapitzlist"/>
              <w:numPr>
                <w:ilvl w:val="0"/>
                <w:numId w:val="229"/>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Sanok-Lesko</w:t>
            </w:r>
          </w:p>
          <w:p w14:paraId="3815E734" w14:textId="77777777" w:rsidR="005F267C" w:rsidRPr="009B78DA" w:rsidRDefault="005F267C" w:rsidP="00C17C6C">
            <w:pPr>
              <w:pStyle w:val="Akapitzlist"/>
              <w:numPr>
                <w:ilvl w:val="0"/>
                <w:numId w:val="2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powiązań w układzie wschód – zachód;</w:t>
            </w:r>
          </w:p>
          <w:p w14:paraId="3B5379ED" w14:textId="42FE07CD" w:rsidR="005F267C" w:rsidRPr="009B78DA" w:rsidRDefault="005F267C" w:rsidP="00C17C6C">
            <w:pPr>
              <w:pStyle w:val="Akapitzlist"/>
              <w:numPr>
                <w:ilvl w:val="0"/>
                <w:numId w:val="2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Inwestycje w projekty przebiegające przez obszar funkcjonalny w kierunku na Krosno </w:t>
            </w:r>
            <w:r w:rsidR="00C253C3">
              <w:rPr>
                <w:rFonts w:ascii="Arial" w:hAnsi="Arial" w:cs="Arial"/>
                <w:color w:val="000000" w:themeColor="text1"/>
                <w:sz w:val="21"/>
                <w:szCs w:val="21"/>
              </w:rPr>
              <w:br/>
            </w:r>
            <w:r w:rsidRPr="009B78DA">
              <w:rPr>
                <w:rFonts w:ascii="Arial" w:hAnsi="Arial" w:cs="Arial"/>
                <w:color w:val="000000" w:themeColor="text1"/>
                <w:sz w:val="21"/>
                <w:szCs w:val="21"/>
              </w:rPr>
              <w:t>i Przemyśl</w:t>
            </w:r>
          </w:p>
          <w:p w14:paraId="0C795EA1" w14:textId="53C4302F" w:rsidR="005F267C" w:rsidRPr="009B78DA" w:rsidRDefault="005F267C" w:rsidP="00C17C6C">
            <w:pPr>
              <w:pStyle w:val="Akapitzlist"/>
              <w:numPr>
                <w:ilvl w:val="0"/>
                <w:numId w:val="2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połączenia rdzenia z gminami południowo-wschodnimi obszaru funkcjonalnego (Lesko, Zagórz), a także </w:t>
            </w:r>
            <w:r w:rsidR="00C253C3">
              <w:rPr>
                <w:rFonts w:ascii="Arial" w:hAnsi="Arial" w:cs="Arial"/>
                <w:color w:val="000000" w:themeColor="text1"/>
                <w:sz w:val="21"/>
                <w:szCs w:val="21"/>
              </w:rPr>
              <w:br/>
            </w:r>
            <w:r w:rsidRPr="009B78DA">
              <w:rPr>
                <w:rFonts w:ascii="Arial" w:hAnsi="Arial" w:cs="Arial"/>
                <w:color w:val="000000" w:themeColor="text1"/>
                <w:sz w:val="21"/>
                <w:szCs w:val="21"/>
              </w:rPr>
              <w:t>z Ustrzykami Dolnymi i terenami przygranicznymi z Ukrainą.</w:t>
            </w:r>
          </w:p>
          <w:p w14:paraId="272FFEB0" w14:textId="77777777" w:rsidR="005F267C" w:rsidRPr="009B78DA" w:rsidRDefault="005F267C" w:rsidP="00C17C6C">
            <w:pPr>
              <w:pStyle w:val="Akapitzlist"/>
              <w:numPr>
                <w:ilvl w:val="0"/>
                <w:numId w:val="2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Połączenia drogowe wewnątrz miasta celem uniknięcia skumulowanego strumienia ruchu</w:t>
            </w:r>
          </w:p>
        </w:tc>
      </w:tr>
      <w:tr w:rsidR="005F267C" w:rsidRPr="009B78DA" w14:paraId="492E4AB9" w14:textId="77777777" w:rsidTr="00C17C6C">
        <w:tc>
          <w:tcPr>
            <w:tcW w:w="551" w:type="pct"/>
            <w:vAlign w:val="center"/>
          </w:tcPr>
          <w:p w14:paraId="7BA839EA" w14:textId="77777777" w:rsidR="005F267C" w:rsidRPr="009B78DA" w:rsidRDefault="005F267C" w:rsidP="00C17C6C">
            <w:pPr>
              <w:spacing w:line="276" w:lineRule="auto"/>
              <w:rPr>
                <w:rFonts w:ascii="Arial" w:hAnsi="Arial" w:cs="Arial"/>
                <w:b/>
                <w:color w:val="000000" w:themeColor="text1"/>
                <w:sz w:val="21"/>
                <w:szCs w:val="21"/>
              </w:rPr>
            </w:pPr>
            <w:bookmarkStart w:id="354" w:name="_Hlk76100989"/>
            <w:r w:rsidRPr="009B78DA">
              <w:rPr>
                <w:rFonts w:ascii="Arial" w:hAnsi="Arial" w:cs="Arial"/>
                <w:b/>
                <w:color w:val="000000" w:themeColor="text1"/>
                <w:sz w:val="21"/>
                <w:szCs w:val="21"/>
              </w:rPr>
              <w:t xml:space="preserve">Drogowy/ </w:t>
            </w:r>
            <w:r w:rsidRPr="009B78DA">
              <w:rPr>
                <w:rFonts w:ascii="Arial" w:hAnsi="Arial" w:cs="Arial"/>
                <w:b/>
                <w:color w:val="000000" w:themeColor="text1"/>
                <w:sz w:val="21"/>
                <w:szCs w:val="21"/>
              </w:rPr>
              <w:br/>
              <w:t>Priorytet B</w:t>
            </w:r>
            <w:bookmarkEnd w:id="354"/>
          </w:p>
        </w:tc>
        <w:tc>
          <w:tcPr>
            <w:tcW w:w="1382" w:type="pct"/>
            <w:vAlign w:val="center"/>
          </w:tcPr>
          <w:p w14:paraId="7FC2D232" w14:textId="77777777" w:rsidR="005F267C" w:rsidRPr="009B78DA" w:rsidRDefault="005F267C" w:rsidP="00C17C6C">
            <w:pPr>
              <w:pStyle w:val="Akapitzlist"/>
              <w:numPr>
                <w:ilvl w:val="0"/>
                <w:numId w:val="222"/>
              </w:numPr>
              <w:spacing w:after="120" w:line="276" w:lineRule="auto"/>
              <w:ind w:left="243" w:hanging="243"/>
              <w:rPr>
                <w:rFonts w:ascii="Arial" w:hAnsi="Arial" w:cs="Arial"/>
                <w:b/>
                <w:bCs/>
                <w:color w:val="000000" w:themeColor="text1"/>
                <w:sz w:val="21"/>
                <w:szCs w:val="21"/>
              </w:rPr>
            </w:pPr>
            <w:bookmarkStart w:id="355" w:name="_Hlk76100951"/>
            <w:r w:rsidRPr="009B78DA">
              <w:rPr>
                <w:rFonts w:ascii="Arial" w:hAnsi="Arial" w:cs="Arial"/>
                <w:b/>
                <w:bCs/>
                <w:color w:val="000000" w:themeColor="text1"/>
                <w:sz w:val="21"/>
                <w:szCs w:val="21"/>
              </w:rPr>
              <w:t>Inwestycje:</w:t>
            </w:r>
          </w:p>
          <w:p w14:paraId="7006C2AB" w14:textId="0D7FE33D" w:rsidR="005F267C" w:rsidRPr="009B78DA" w:rsidRDefault="005F267C" w:rsidP="00C17C6C">
            <w:pPr>
              <w:pStyle w:val="Akapitzlist"/>
              <w:numPr>
                <w:ilvl w:val="3"/>
                <w:numId w:val="7"/>
              </w:numPr>
              <w:spacing w:after="120" w:line="276" w:lineRule="auto"/>
              <w:rPr>
                <w:rFonts w:ascii="Arial" w:hAnsi="Arial" w:cs="Arial"/>
                <w:bCs/>
                <w:color w:val="000000" w:themeColor="text1"/>
                <w:sz w:val="21"/>
                <w:szCs w:val="21"/>
              </w:rPr>
            </w:pPr>
            <w:r w:rsidRPr="009B78DA">
              <w:rPr>
                <w:rFonts w:ascii="Arial" w:hAnsi="Arial" w:cs="Arial"/>
                <w:bCs/>
                <w:color w:val="000000" w:themeColor="text1"/>
                <w:sz w:val="21"/>
                <w:szCs w:val="21"/>
              </w:rPr>
              <w:t>Budow</w:t>
            </w:r>
            <w:r w:rsidR="00C253C3">
              <w:rPr>
                <w:rFonts w:ascii="Arial" w:hAnsi="Arial" w:cs="Arial"/>
                <w:bCs/>
                <w:color w:val="000000" w:themeColor="text1"/>
                <w:sz w:val="21"/>
                <w:szCs w:val="21"/>
              </w:rPr>
              <w:t xml:space="preserve">a nowego ciągu drogi krajowej </w:t>
            </w:r>
            <w:r w:rsidRPr="009B78DA">
              <w:rPr>
                <w:rFonts w:ascii="Arial" w:hAnsi="Arial" w:cs="Arial"/>
                <w:bCs/>
                <w:color w:val="000000" w:themeColor="text1"/>
                <w:sz w:val="21"/>
                <w:szCs w:val="21"/>
              </w:rPr>
              <w:t>DK 9</w:t>
            </w:r>
            <w:bookmarkEnd w:id="355"/>
            <w:r w:rsidRPr="009B78DA">
              <w:rPr>
                <w:rFonts w:ascii="Arial" w:hAnsi="Arial" w:cs="Arial"/>
                <w:bCs/>
                <w:color w:val="000000" w:themeColor="text1"/>
                <w:sz w:val="21"/>
                <w:szCs w:val="21"/>
              </w:rPr>
              <w:t xml:space="preserve"> (w standardzie drogi ekspresowej)</w:t>
            </w:r>
          </w:p>
          <w:p w14:paraId="4E6719B9" w14:textId="77777777" w:rsidR="005F267C" w:rsidRPr="009B78DA" w:rsidRDefault="005F267C" w:rsidP="00C17C6C">
            <w:pPr>
              <w:pStyle w:val="Akapitzlist"/>
              <w:numPr>
                <w:ilvl w:val="3"/>
                <w:numId w:val="7"/>
              </w:numPr>
              <w:spacing w:after="120" w:line="276" w:lineRule="auto"/>
              <w:rPr>
                <w:rFonts w:ascii="Arial" w:hAnsi="Arial" w:cs="Arial"/>
                <w:bCs/>
                <w:color w:val="000000" w:themeColor="text1"/>
                <w:sz w:val="21"/>
                <w:szCs w:val="21"/>
              </w:rPr>
            </w:pPr>
            <w:r w:rsidRPr="009B78DA">
              <w:rPr>
                <w:rFonts w:ascii="Arial" w:hAnsi="Arial" w:cs="Arial"/>
                <w:color w:val="000000" w:themeColor="text1"/>
                <w:sz w:val="21"/>
                <w:szCs w:val="21"/>
              </w:rPr>
              <w:t>Rozbudowa drogi krajowej nr 28 w tym zjazd S19 Miejsce Piastowe - obwodnica Sanoka</w:t>
            </w:r>
          </w:p>
          <w:p w14:paraId="6452B4EF" w14:textId="77777777" w:rsidR="005F267C" w:rsidRPr="009B78DA" w:rsidRDefault="005F267C" w:rsidP="00C17C6C">
            <w:pPr>
              <w:pStyle w:val="Akapitzlist"/>
              <w:numPr>
                <w:ilvl w:val="3"/>
                <w:numId w:val="7"/>
              </w:numPr>
              <w:spacing w:after="120" w:line="276" w:lineRule="auto"/>
              <w:rPr>
                <w:rFonts w:ascii="Arial" w:hAnsi="Arial" w:cs="Arial"/>
                <w:bCs/>
                <w:color w:val="000000" w:themeColor="text1"/>
                <w:sz w:val="21"/>
                <w:szCs w:val="21"/>
              </w:rPr>
            </w:pPr>
            <w:r w:rsidRPr="009B78DA">
              <w:rPr>
                <w:rFonts w:ascii="Arial" w:hAnsi="Arial" w:cs="Arial"/>
                <w:bCs/>
                <w:color w:val="000000" w:themeColor="text1"/>
                <w:sz w:val="21"/>
                <w:szCs w:val="21"/>
              </w:rPr>
              <w:t>Inwestycje na DK 84:</w:t>
            </w:r>
          </w:p>
          <w:p w14:paraId="53F40FC9" w14:textId="28351FFF" w:rsidR="005F267C" w:rsidRPr="009B78DA" w:rsidRDefault="005F267C" w:rsidP="00C17C6C">
            <w:pPr>
              <w:pStyle w:val="Akapitzlist"/>
              <w:numPr>
                <w:ilvl w:val="0"/>
                <w:numId w:val="288"/>
              </w:numPr>
              <w:spacing w:after="120" w:line="276" w:lineRule="auto"/>
              <w:rPr>
                <w:rFonts w:ascii="Arial" w:hAnsi="Arial" w:cs="Arial"/>
                <w:bCs/>
                <w:color w:val="000000" w:themeColor="text1"/>
                <w:sz w:val="21"/>
                <w:szCs w:val="21"/>
              </w:rPr>
            </w:pPr>
            <w:r w:rsidRPr="009B78DA">
              <w:rPr>
                <w:rFonts w:ascii="Arial" w:hAnsi="Arial" w:cs="Arial"/>
                <w:color w:val="000000" w:themeColor="text1"/>
                <w:sz w:val="21"/>
                <w:szCs w:val="21"/>
              </w:rPr>
              <w:t xml:space="preserve">Rozbudowa DK nr 84 na odcinku </w:t>
            </w:r>
            <w:r w:rsidRPr="009B78DA">
              <w:rPr>
                <w:rFonts w:ascii="Arial" w:hAnsi="Arial" w:cs="Arial"/>
                <w:bCs/>
                <w:color w:val="000000" w:themeColor="text1"/>
                <w:sz w:val="21"/>
                <w:szCs w:val="21"/>
              </w:rPr>
              <w:t>Zagórz (z mostem na rzece Osława) – Lesko/Postołów (z mostem na rzece San)</w:t>
            </w:r>
          </w:p>
          <w:p w14:paraId="550E7F7D" w14:textId="191949E3" w:rsidR="005F267C" w:rsidRPr="009B78DA" w:rsidRDefault="005F267C" w:rsidP="00C17C6C">
            <w:pPr>
              <w:pStyle w:val="Akapitzlist"/>
              <w:numPr>
                <w:ilvl w:val="0"/>
                <w:numId w:val="288"/>
              </w:numPr>
              <w:spacing w:after="120" w:line="276" w:lineRule="auto"/>
              <w:rPr>
                <w:rFonts w:ascii="Arial" w:hAnsi="Arial" w:cs="Arial"/>
                <w:bCs/>
                <w:color w:val="000000" w:themeColor="text1"/>
                <w:sz w:val="21"/>
                <w:szCs w:val="21"/>
              </w:rPr>
            </w:pPr>
            <w:r w:rsidRPr="009B78DA">
              <w:rPr>
                <w:rFonts w:ascii="Arial" w:hAnsi="Arial" w:cs="Arial"/>
                <w:color w:val="000000" w:themeColor="text1"/>
                <w:sz w:val="21"/>
                <w:szCs w:val="21"/>
              </w:rPr>
              <w:t>Rozbudowa DK nr 84 na odcinku Lesko/Postołów (bez mostu na rzece San) – Lesko/Glinne</w:t>
            </w:r>
          </w:p>
          <w:p w14:paraId="64FD07F6" w14:textId="66A7B1AB" w:rsidR="005F267C" w:rsidRPr="00C253C3" w:rsidRDefault="005F267C" w:rsidP="00C253C3">
            <w:pPr>
              <w:pStyle w:val="Akapitzlist"/>
              <w:numPr>
                <w:ilvl w:val="0"/>
                <w:numId w:val="288"/>
              </w:numPr>
              <w:spacing w:after="120" w:line="276" w:lineRule="auto"/>
              <w:rPr>
                <w:rFonts w:ascii="Arial" w:hAnsi="Arial" w:cs="Arial"/>
                <w:bCs/>
                <w:color w:val="000000" w:themeColor="text1"/>
                <w:sz w:val="21"/>
                <w:szCs w:val="21"/>
              </w:rPr>
            </w:pPr>
            <w:r w:rsidRPr="009B78DA">
              <w:rPr>
                <w:rFonts w:ascii="Arial" w:hAnsi="Arial" w:cs="Arial"/>
                <w:color w:val="000000" w:themeColor="text1"/>
                <w:sz w:val="21"/>
                <w:szCs w:val="21"/>
              </w:rPr>
              <w:t>Rozbudowa DK 84 na odcinku Stefkowa – Krościenko – gr. Państwa.</w:t>
            </w:r>
          </w:p>
          <w:p w14:paraId="5A274C05" w14:textId="4A6A0EAD" w:rsidR="005F267C" w:rsidRPr="009B78DA" w:rsidRDefault="005F267C" w:rsidP="00C17C6C">
            <w:pPr>
              <w:pStyle w:val="Akapitzlist"/>
              <w:numPr>
                <w:ilvl w:val="3"/>
                <w:numId w:val="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zjazdu z autostrady A4 (wę</w:t>
            </w:r>
            <w:r w:rsidR="00C253C3">
              <w:rPr>
                <w:rFonts w:ascii="Arial" w:hAnsi="Arial" w:cs="Arial"/>
                <w:color w:val="000000" w:themeColor="text1"/>
                <w:sz w:val="21"/>
                <w:szCs w:val="21"/>
              </w:rPr>
              <w:t>zeł „Pilzno”) i wpięcie w DK 73</w:t>
            </w:r>
          </w:p>
          <w:p w14:paraId="309C4BFC" w14:textId="77777777" w:rsidR="005F267C" w:rsidRPr="009B78DA" w:rsidRDefault="005F267C" w:rsidP="00C17C6C">
            <w:pPr>
              <w:pStyle w:val="Akapitzlist"/>
              <w:numPr>
                <w:ilvl w:val="3"/>
                <w:numId w:val="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DW w Rzeszowie na odcinku od ul. Warszawskiej do ul. Krakowskiej - połączenie DK 97 z DK 94.</w:t>
            </w:r>
          </w:p>
          <w:p w14:paraId="771BD929" w14:textId="77777777" w:rsidR="005F267C" w:rsidRPr="009B78DA" w:rsidRDefault="005F267C" w:rsidP="00C17C6C">
            <w:pPr>
              <w:pStyle w:val="Akapitzlist"/>
              <w:numPr>
                <w:ilvl w:val="3"/>
                <w:numId w:val="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DW w Rzeszowie na odcinku od skrzyżowania ul. Podkarpackiej z ul. 9 Dywizji Piechoty (DK19) do Al. Sikorskiego (DW 878).</w:t>
            </w:r>
          </w:p>
          <w:p w14:paraId="0266F934" w14:textId="77777777" w:rsidR="005F267C" w:rsidRPr="009B78DA" w:rsidRDefault="005F267C" w:rsidP="00C17C6C">
            <w:pPr>
              <w:pStyle w:val="Akapitzlist"/>
              <w:numPr>
                <w:ilvl w:val="3"/>
                <w:numId w:val="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Przebudowa odcinka ulicy Lwowskiej w Przemyślu leżącej w ciągu DK 28 (Zator – Przemyśl – granica państwa).</w:t>
            </w:r>
          </w:p>
          <w:p w14:paraId="4372E461" w14:textId="77777777" w:rsidR="005F267C" w:rsidRPr="009B78DA" w:rsidRDefault="005F267C" w:rsidP="00C17C6C">
            <w:pPr>
              <w:pStyle w:val="Akapitzlist"/>
              <w:numPr>
                <w:ilvl w:val="3"/>
                <w:numId w:val="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drogi zapewniającej dojazd do Orlen Południe, która odciąży Jedlicze od ruchu kołowego. Połączy ona DK 28 z drogą powiatową P1947R, przebiegającą obok północnej i południowej bramy zakładu.</w:t>
            </w:r>
          </w:p>
          <w:p w14:paraId="29B048B1" w14:textId="77777777" w:rsidR="005F267C" w:rsidRPr="009B78DA" w:rsidRDefault="005F267C" w:rsidP="00C17C6C">
            <w:pPr>
              <w:pStyle w:val="Akapitzlist"/>
              <w:numPr>
                <w:ilvl w:val="3"/>
                <w:numId w:val="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Drogi do uruchamianych przejść granicznych w Bieszczadach pomiędzy Polską a Ukrainą w miejscowościach: Wołosate (woj. podkarpackie) – Łubnia (obwód zakarpacki).</w:t>
            </w:r>
          </w:p>
          <w:p w14:paraId="6AE1648C" w14:textId="77777777" w:rsidR="005F267C" w:rsidRPr="009B78DA" w:rsidRDefault="005F267C" w:rsidP="00C17C6C">
            <w:pPr>
              <w:pStyle w:val="Akapitzlist"/>
              <w:numPr>
                <w:ilvl w:val="0"/>
                <w:numId w:val="222"/>
              </w:numPr>
              <w:spacing w:after="120" w:line="276" w:lineRule="auto"/>
              <w:ind w:left="243" w:hanging="243"/>
              <w:rPr>
                <w:rFonts w:ascii="Arial" w:hAnsi="Arial" w:cs="Arial"/>
                <w:b/>
                <w:bCs/>
                <w:color w:val="000000" w:themeColor="text1"/>
                <w:sz w:val="21"/>
                <w:szCs w:val="21"/>
              </w:rPr>
            </w:pPr>
            <w:r w:rsidRPr="009B78DA">
              <w:rPr>
                <w:rFonts w:ascii="Arial" w:hAnsi="Arial" w:cs="Arial"/>
                <w:b/>
                <w:bCs/>
                <w:color w:val="000000" w:themeColor="text1"/>
                <w:sz w:val="21"/>
                <w:szCs w:val="21"/>
              </w:rPr>
              <w:t>Modernizacja istniejących oraz budowa nowych mostów, w tym</w:t>
            </w:r>
          </w:p>
          <w:p w14:paraId="63DB3C2E" w14:textId="77777777" w:rsidR="005F267C" w:rsidRPr="009B78DA" w:rsidRDefault="005F267C" w:rsidP="00C17C6C">
            <w:pPr>
              <w:pStyle w:val="Akapitzlist"/>
              <w:numPr>
                <w:ilvl w:val="0"/>
                <w:numId w:val="223"/>
              </w:numPr>
              <w:spacing w:after="120" w:line="276" w:lineRule="auto"/>
              <w:ind w:left="385" w:hanging="284"/>
              <w:rPr>
                <w:rFonts w:ascii="Arial" w:hAnsi="Arial" w:cs="Arial"/>
                <w:color w:val="000000" w:themeColor="text1"/>
                <w:sz w:val="21"/>
                <w:szCs w:val="21"/>
              </w:rPr>
            </w:pPr>
            <w:r w:rsidRPr="009B78DA">
              <w:rPr>
                <w:rFonts w:ascii="Arial" w:hAnsi="Arial" w:cs="Arial"/>
                <w:color w:val="000000" w:themeColor="text1"/>
                <w:sz w:val="21"/>
                <w:szCs w:val="21"/>
              </w:rPr>
              <w:t>Rozbudowa drogi wraz z budową mostu przez rzekę Wisła w m. Tarnobrzeg w ciągu DK 9</w:t>
            </w:r>
          </w:p>
          <w:p w14:paraId="6CA08B26" w14:textId="77777777" w:rsidR="005F267C" w:rsidRPr="009B78DA" w:rsidRDefault="005F267C" w:rsidP="00C17C6C">
            <w:pPr>
              <w:pStyle w:val="Akapitzlist"/>
              <w:numPr>
                <w:ilvl w:val="0"/>
                <w:numId w:val="223"/>
              </w:numPr>
              <w:spacing w:line="276" w:lineRule="auto"/>
              <w:ind w:left="385" w:hanging="284"/>
              <w:rPr>
                <w:rFonts w:ascii="Arial" w:hAnsi="Arial" w:cs="Arial"/>
                <w:color w:val="000000" w:themeColor="text1"/>
                <w:sz w:val="21"/>
                <w:szCs w:val="21"/>
              </w:rPr>
            </w:pPr>
            <w:r w:rsidRPr="009B78DA">
              <w:rPr>
                <w:rFonts w:ascii="Arial" w:hAnsi="Arial" w:cs="Arial"/>
                <w:color w:val="000000" w:themeColor="text1"/>
                <w:sz w:val="21"/>
                <w:szCs w:val="21"/>
              </w:rPr>
              <w:t xml:space="preserve">Budowa mostu przez potok Dobrzynka w m. Stara Bircza w ciągu DK 28 </w:t>
            </w:r>
          </w:p>
          <w:p w14:paraId="660713DC" w14:textId="77777777" w:rsidR="005F267C" w:rsidRPr="009B78DA" w:rsidRDefault="005F267C" w:rsidP="00C17C6C">
            <w:pPr>
              <w:pStyle w:val="Akapitzlist"/>
              <w:numPr>
                <w:ilvl w:val="0"/>
                <w:numId w:val="223"/>
              </w:numPr>
              <w:spacing w:line="276" w:lineRule="auto"/>
              <w:ind w:left="385" w:hanging="284"/>
              <w:rPr>
                <w:rFonts w:ascii="Arial" w:hAnsi="Arial" w:cs="Arial"/>
                <w:color w:val="000000" w:themeColor="text1"/>
                <w:sz w:val="21"/>
                <w:szCs w:val="21"/>
              </w:rPr>
            </w:pPr>
            <w:r w:rsidRPr="009B78DA">
              <w:rPr>
                <w:rFonts w:ascii="Arial" w:hAnsi="Arial" w:cs="Arial"/>
                <w:color w:val="000000" w:themeColor="text1"/>
                <w:sz w:val="21"/>
                <w:szCs w:val="21"/>
              </w:rPr>
              <w:t>Budowa mostu przez potok Malinianka w m. Jelna w ciągu DK 77</w:t>
            </w:r>
          </w:p>
          <w:p w14:paraId="3891BDDB" w14:textId="5B2F9EF5" w:rsidR="005F267C" w:rsidRPr="009B78DA" w:rsidRDefault="005F267C" w:rsidP="00C17C6C">
            <w:pPr>
              <w:pStyle w:val="Akapitzlist"/>
              <w:numPr>
                <w:ilvl w:val="0"/>
                <w:numId w:val="223"/>
              </w:numPr>
              <w:spacing w:line="276" w:lineRule="auto"/>
              <w:ind w:left="385" w:hanging="284"/>
              <w:rPr>
                <w:rFonts w:ascii="Arial" w:hAnsi="Arial" w:cs="Arial"/>
                <w:color w:val="000000" w:themeColor="text1"/>
                <w:sz w:val="21"/>
                <w:szCs w:val="21"/>
              </w:rPr>
            </w:pPr>
            <w:r w:rsidRPr="009B78DA">
              <w:rPr>
                <w:rFonts w:ascii="Arial" w:hAnsi="Arial" w:cs="Arial"/>
                <w:color w:val="000000" w:themeColor="text1"/>
                <w:sz w:val="21"/>
                <w:szCs w:val="21"/>
              </w:rPr>
              <w:t xml:space="preserve">Budowa mostu przez potok bez nazwy w </w:t>
            </w:r>
            <w:r w:rsidR="00B00AFA">
              <w:rPr>
                <w:rFonts w:ascii="Arial" w:hAnsi="Arial" w:cs="Arial"/>
                <w:color w:val="000000" w:themeColor="text1"/>
                <w:sz w:val="21"/>
                <w:szCs w:val="21"/>
              </w:rPr>
              <w:t>m. Tyrawa Wołoska w ciągu DK 28</w:t>
            </w:r>
          </w:p>
          <w:p w14:paraId="4A2D59B8" w14:textId="77777777" w:rsidR="005F267C" w:rsidRPr="009B78DA" w:rsidRDefault="005F267C" w:rsidP="00C17C6C">
            <w:pPr>
              <w:pStyle w:val="Akapitzlist"/>
              <w:numPr>
                <w:ilvl w:val="0"/>
                <w:numId w:val="223"/>
              </w:numPr>
              <w:spacing w:line="276" w:lineRule="auto"/>
              <w:ind w:left="385" w:hanging="284"/>
              <w:rPr>
                <w:rFonts w:ascii="Arial" w:hAnsi="Arial" w:cs="Arial"/>
                <w:color w:val="000000" w:themeColor="text1"/>
                <w:sz w:val="21"/>
                <w:szCs w:val="21"/>
              </w:rPr>
            </w:pPr>
            <w:r w:rsidRPr="009B78DA">
              <w:rPr>
                <w:rFonts w:ascii="Arial" w:hAnsi="Arial" w:cs="Arial"/>
                <w:color w:val="000000" w:themeColor="text1"/>
                <w:sz w:val="21"/>
                <w:szCs w:val="21"/>
              </w:rPr>
              <w:t>Budowa mostu przez potok Mirocinka w m. Mirocin w ciągu DK 94</w:t>
            </w:r>
          </w:p>
          <w:p w14:paraId="48D7B58B" w14:textId="77777777" w:rsidR="005F267C" w:rsidRPr="009B78DA" w:rsidRDefault="005F267C" w:rsidP="00C17C6C">
            <w:pPr>
              <w:pStyle w:val="Akapitzlist"/>
              <w:numPr>
                <w:ilvl w:val="0"/>
                <w:numId w:val="223"/>
              </w:numPr>
              <w:spacing w:line="276" w:lineRule="auto"/>
              <w:ind w:left="385" w:hanging="284"/>
              <w:rPr>
                <w:rFonts w:ascii="Arial" w:hAnsi="Arial" w:cs="Arial"/>
                <w:color w:val="000000" w:themeColor="text1"/>
                <w:sz w:val="21"/>
                <w:szCs w:val="21"/>
              </w:rPr>
            </w:pPr>
            <w:r w:rsidRPr="009B78DA">
              <w:rPr>
                <w:rFonts w:ascii="Arial" w:hAnsi="Arial" w:cs="Arial"/>
                <w:color w:val="000000" w:themeColor="text1"/>
                <w:sz w:val="21"/>
                <w:szCs w:val="21"/>
              </w:rPr>
              <w:t>Budowa mostu przez rz. Przykopa w m. Wierzbna w ciągu DK 94</w:t>
            </w:r>
          </w:p>
          <w:p w14:paraId="165C7D33" w14:textId="77777777" w:rsidR="005F267C" w:rsidRPr="009B78DA" w:rsidRDefault="005F267C" w:rsidP="00C17C6C">
            <w:pPr>
              <w:pStyle w:val="Akapitzlist"/>
              <w:numPr>
                <w:ilvl w:val="0"/>
                <w:numId w:val="223"/>
              </w:numPr>
              <w:spacing w:line="276" w:lineRule="auto"/>
              <w:ind w:left="385" w:hanging="284"/>
              <w:rPr>
                <w:rFonts w:ascii="Arial" w:hAnsi="Arial" w:cs="Arial"/>
                <w:color w:val="000000" w:themeColor="text1"/>
                <w:sz w:val="21"/>
                <w:szCs w:val="21"/>
              </w:rPr>
            </w:pPr>
            <w:r w:rsidRPr="009B78DA">
              <w:rPr>
                <w:rFonts w:ascii="Arial" w:hAnsi="Arial" w:cs="Arial"/>
                <w:color w:val="000000" w:themeColor="text1"/>
                <w:sz w:val="21"/>
                <w:szCs w:val="21"/>
              </w:rPr>
              <w:t>Budowa mostu przez rzekę Rudna w m. Rudnik w ciągu DK 77</w:t>
            </w:r>
          </w:p>
          <w:p w14:paraId="753BCFFC" w14:textId="77777777" w:rsidR="005F267C" w:rsidRPr="009B78DA" w:rsidRDefault="005F267C" w:rsidP="00C17C6C">
            <w:pPr>
              <w:pStyle w:val="Akapitzlist"/>
              <w:numPr>
                <w:ilvl w:val="0"/>
                <w:numId w:val="223"/>
              </w:numPr>
              <w:spacing w:line="276" w:lineRule="auto"/>
              <w:ind w:left="385" w:hanging="284"/>
              <w:rPr>
                <w:rFonts w:ascii="Arial" w:hAnsi="Arial" w:cs="Arial"/>
                <w:color w:val="000000" w:themeColor="text1"/>
                <w:sz w:val="21"/>
                <w:szCs w:val="21"/>
              </w:rPr>
            </w:pPr>
            <w:r w:rsidRPr="009B78DA">
              <w:rPr>
                <w:rFonts w:ascii="Arial" w:hAnsi="Arial" w:cs="Arial"/>
                <w:color w:val="000000" w:themeColor="text1"/>
                <w:sz w:val="21"/>
                <w:szCs w:val="21"/>
              </w:rPr>
              <w:t>Budowa mostu przez rzekę Trześniówka w m. Trześń w ciągu DK 77</w:t>
            </w:r>
          </w:p>
          <w:p w14:paraId="12A6FB2C" w14:textId="77777777" w:rsidR="005F267C" w:rsidRPr="009B78DA" w:rsidRDefault="005F267C" w:rsidP="00C17C6C">
            <w:pPr>
              <w:pStyle w:val="Akapitzlist"/>
              <w:numPr>
                <w:ilvl w:val="0"/>
                <w:numId w:val="223"/>
              </w:numPr>
              <w:spacing w:line="276" w:lineRule="auto"/>
              <w:ind w:left="385" w:hanging="284"/>
              <w:rPr>
                <w:rFonts w:ascii="Arial" w:hAnsi="Arial" w:cs="Arial"/>
                <w:color w:val="000000" w:themeColor="text1"/>
                <w:sz w:val="21"/>
                <w:szCs w:val="21"/>
              </w:rPr>
            </w:pPr>
            <w:r w:rsidRPr="009B78DA">
              <w:rPr>
                <w:rFonts w:ascii="Arial" w:hAnsi="Arial" w:cs="Arial"/>
                <w:color w:val="000000" w:themeColor="text1"/>
                <w:sz w:val="21"/>
                <w:szCs w:val="21"/>
              </w:rPr>
              <w:t>Budowa mostu przez potok bez nazwy w m. Stara Bircza w ciągu DK 28</w:t>
            </w:r>
          </w:p>
          <w:p w14:paraId="2AFE8DF1" w14:textId="4246136D" w:rsidR="005F267C" w:rsidRPr="009B78DA" w:rsidRDefault="005F267C" w:rsidP="00C17C6C">
            <w:pPr>
              <w:pStyle w:val="Akapitzlist"/>
              <w:numPr>
                <w:ilvl w:val="0"/>
                <w:numId w:val="223"/>
              </w:numPr>
              <w:spacing w:line="276" w:lineRule="auto"/>
              <w:ind w:left="385" w:hanging="284"/>
              <w:rPr>
                <w:rFonts w:ascii="Arial" w:hAnsi="Arial" w:cs="Arial"/>
                <w:color w:val="000000" w:themeColor="text1"/>
                <w:sz w:val="21"/>
                <w:szCs w:val="21"/>
              </w:rPr>
            </w:pPr>
            <w:r w:rsidRPr="009B78DA">
              <w:rPr>
                <w:rFonts w:ascii="Arial" w:hAnsi="Arial" w:cs="Arial"/>
                <w:color w:val="000000" w:themeColor="text1"/>
                <w:sz w:val="21"/>
                <w:szCs w:val="21"/>
              </w:rPr>
              <w:t xml:space="preserve">Budowa mostu na rzece San łączącego DK 28 z DW 884 (ulicę Sanocką z ulicą Grunwaldzką </w:t>
            </w:r>
            <w:r w:rsidR="00B00AFA">
              <w:rPr>
                <w:rFonts w:ascii="Arial" w:hAnsi="Arial" w:cs="Arial"/>
                <w:color w:val="000000" w:themeColor="text1"/>
                <w:sz w:val="21"/>
                <w:szCs w:val="21"/>
              </w:rPr>
              <w:br/>
            </w:r>
            <w:r w:rsidRPr="009B78DA">
              <w:rPr>
                <w:rFonts w:ascii="Arial" w:hAnsi="Arial" w:cs="Arial"/>
                <w:color w:val="000000" w:themeColor="text1"/>
                <w:sz w:val="21"/>
                <w:szCs w:val="21"/>
              </w:rPr>
              <w:t>w Przemyślu)</w:t>
            </w:r>
          </w:p>
        </w:tc>
        <w:tc>
          <w:tcPr>
            <w:tcW w:w="1382" w:type="pct"/>
            <w:vAlign w:val="center"/>
          </w:tcPr>
          <w:p w14:paraId="029830EB" w14:textId="77777777" w:rsidR="005F267C" w:rsidRPr="009B78DA" w:rsidRDefault="005F267C" w:rsidP="00C17C6C">
            <w:pPr>
              <w:pStyle w:val="Akapitzlist"/>
              <w:numPr>
                <w:ilvl w:val="0"/>
                <w:numId w:val="125"/>
              </w:numPr>
              <w:spacing w:line="276" w:lineRule="auto"/>
              <w:ind w:left="357" w:hanging="357"/>
              <w:rPr>
                <w:rFonts w:ascii="Arial" w:hAnsi="Arial" w:cs="Arial"/>
                <w:b/>
                <w:color w:val="000000" w:themeColor="text1"/>
                <w:sz w:val="21"/>
                <w:szCs w:val="21"/>
              </w:rPr>
            </w:pPr>
            <w:r w:rsidRPr="009B78DA">
              <w:rPr>
                <w:rFonts w:ascii="Arial" w:hAnsi="Arial" w:cs="Arial"/>
                <w:b/>
                <w:color w:val="000000" w:themeColor="text1"/>
                <w:sz w:val="21"/>
                <w:szCs w:val="21"/>
              </w:rPr>
              <w:t>Inwestycje dotyczące dróg wojewódzkich i podległej infrastruktury drogowej:</w:t>
            </w:r>
          </w:p>
          <w:p w14:paraId="23995D19"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 i rozbudowa DW 835 na odcinku Kańczuga-Grabownica Starzeńska</w:t>
            </w:r>
          </w:p>
          <w:p w14:paraId="4D9544A0"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łącznika autostrady A4 od węzła Dębica Wschód z DW 985 Dębica – Tarnobrzeg w kierunku Brzeźnicy</w:t>
            </w:r>
          </w:p>
          <w:p w14:paraId="727695F9"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861 na odcinku Bojanów – Jeżowe</w:t>
            </w:r>
          </w:p>
          <w:p w14:paraId="4A646838"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986 na odcinku Ropczyce – Wiśniowa</w:t>
            </w:r>
          </w:p>
          <w:p w14:paraId="08FF0271"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nowego odcinka DW 993 do węzła S19 „Dukla”</w:t>
            </w:r>
          </w:p>
          <w:p w14:paraId="3A0D5137"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obwodnicy Pruchnika w ciągu DW 881</w:t>
            </w:r>
          </w:p>
          <w:p w14:paraId="2BF16C3F"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DW 872 w Nisku (łącznik do DK 19)</w:t>
            </w:r>
          </w:p>
          <w:p w14:paraId="67D26861"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987</w:t>
            </w:r>
          </w:p>
          <w:p w14:paraId="0DFB339F"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984 na odcinku granica województwa – Radomyśl Wielki – Piątkowiec</w:t>
            </w:r>
          </w:p>
          <w:p w14:paraId="78F82131"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991</w:t>
            </w:r>
          </w:p>
          <w:p w14:paraId="621E4B1C"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Budowa nowego odcinka DW 870  od m. Szówsko do m. Koniaczów</w:t>
            </w:r>
          </w:p>
          <w:p w14:paraId="3F346A2E" w14:textId="77777777" w:rsidR="005F267C" w:rsidRPr="009B78DA" w:rsidRDefault="005F267C" w:rsidP="00C17C6C">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Przebudowa/Rozbudowa DW 889 Sieniawa – Bukowsko – Szczawne</w:t>
            </w:r>
          </w:p>
          <w:p w14:paraId="49EDBBBF" w14:textId="0D6FA500" w:rsidR="005F267C" w:rsidRPr="00C253C3" w:rsidRDefault="005F267C" w:rsidP="00C253C3">
            <w:pPr>
              <w:pStyle w:val="Akapitzlist"/>
              <w:numPr>
                <w:ilvl w:val="0"/>
                <w:numId w:val="279"/>
              </w:numPr>
              <w:spacing w:line="256" w:lineRule="auto"/>
              <w:ind w:left="319" w:hanging="283"/>
              <w:rPr>
                <w:rFonts w:ascii="Arial" w:hAnsi="Arial" w:cs="Arial"/>
                <w:color w:val="000000" w:themeColor="text1"/>
                <w:sz w:val="21"/>
                <w:szCs w:val="21"/>
              </w:rPr>
            </w:pPr>
            <w:r w:rsidRPr="009B78DA">
              <w:rPr>
                <w:rFonts w:ascii="Arial" w:hAnsi="Arial" w:cs="Arial"/>
                <w:color w:val="000000" w:themeColor="text1"/>
                <w:sz w:val="21"/>
                <w:szCs w:val="21"/>
              </w:rPr>
              <w:t xml:space="preserve">Przebudowa/Rozbudowa DW 887 Brzozów – Rymanów – Daliowa </w:t>
            </w:r>
          </w:p>
          <w:p w14:paraId="40485F03" w14:textId="77777777" w:rsidR="005F267C" w:rsidRPr="009B78DA" w:rsidRDefault="005F267C" w:rsidP="00C17C6C">
            <w:pPr>
              <w:pStyle w:val="Akapitzlist"/>
              <w:numPr>
                <w:ilvl w:val="0"/>
                <w:numId w:val="125"/>
              </w:numPr>
              <w:spacing w:line="276" w:lineRule="auto"/>
              <w:ind w:left="357" w:hanging="357"/>
              <w:rPr>
                <w:rFonts w:ascii="Arial" w:hAnsi="Arial" w:cs="Arial"/>
                <w:b/>
                <w:color w:val="000000" w:themeColor="text1"/>
                <w:sz w:val="21"/>
                <w:szCs w:val="21"/>
              </w:rPr>
            </w:pPr>
            <w:r w:rsidRPr="009B78DA">
              <w:rPr>
                <w:rFonts w:ascii="Arial" w:hAnsi="Arial" w:cs="Arial"/>
                <w:b/>
                <w:bCs/>
                <w:color w:val="000000" w:themeColor="text1"/>
                <w:sz w:val="21"/>
                <w:szCs w:val="21"/>
              </w:rPr>
              <w:t>Modernizacja istniejących oraz budowa nowych mostów:</w:t>
            </w:r>
          </w:p>
          <w:p w14:paraId="3371BAA6" w14:textId="77777777" w:rsidR="005F267C" w:rsidRPr="009B78DA" w:rsidRDefault="005F267C" w:rsidP="00C17C6C">
            <w:pPr>
              <w:pStyle w:val="Akapitzlist"/>
              <w:spacing w:line="276" w:lineRule="auto"/>
              <w:ind w:left="357"/>
              <w:rPr>
                <w:rFonts w:ascii="Arial" w:hAnsi="Arial" w:cs="Arial"/>
                <w:color w:val="000000" w:themeColor="text1"/>
                <w:sz w:val="21"/>
                <w:szCs w:val="21"/>
              </w:rPr>
            </w:pPr>
            <w:r w:rsidRPr="009B78DA">
              <w:rPr>
                <w:rFonts w:ascii="Arial" w:hAnsi="Arial" w:cs="Arial"/>
                <w:bCs/>
                <w:color w:val="000000" w:themeColor="text1"/>
                <w:sz w:val="21"/>
                <w:szCs w:val="21"/>
              </w:rPr>
              <w:t xml:space="preserve">a) </w:t>
            </w:r>
            <w:r w:rsidRPr="009B78DA">
              <w:rPr>
                <w:rFonts w:ascii="Arial" w:hAnsi="Arial" w:cs="Arial"/>
                <w:color w:val="000000" w:themeColor="text1"/>
                <w:sz w:val="21"/>
                <w:szCs w:val="21"/>
              </w:rPr>
              <w:t>na rzekach w południowej części województwa oraz na terenie Bieszczad.</w:t>
            </w:r>
          </w:p>
          <w:p w14:paraId="33280BCB" w14:textId="36178C92" w:rsidR="005F267C" w:rsidRPr="00C253C3" w:rsidRDefault="005F267C" w:rsidP="00C253C3">
            <w:pPr>
              <w:pStyle w:val="Akapitzlist"/>
              <w:spacing w:line="276" w:lineRule="auto"/>
              <w:ind w:left="357"/>
              <w:rPr>
                <w:rFonts w:ascii="Arial" w:hAnsi="Arial" w:cs="Arial"/>
                <w:b/>
                <w:color w:val="000000" w:themeColor="text1"/>
                <w:sz w:val="21"/>
                <w:szCs w:val="21"/>
              </w:rPr>
            </w:pPr>
            <w:r w:rsidRPr="009B78DA">
              <w:rPr>
                <w:rFonts w:ascii="Arial" w:hAnsi="Arial" w:cs="Arial"/>
                <w:color w:val="000000" w:themeColor="text1"/>
                <w:sz w:val="21"/>
                <w:szCs w:val="21"/>
              </w:rPr>
              <w:t>b) Budowa/przebudowa DW 854 wraz z mostem przez San m. Wrzawy.</w:t>
            </w:r>
          </w:p>
          <w:p w14:paraId="225941AA" w14:textId="77777777" w:rsidR="005F267C" w:rsidRPr="009B78DA" w:rsidRDefault="005F267C" w:rsidP="00C17C6C">
            <w:pPr>
              <w:pStyle w:val="Akapitzlist"/>
              <w:numPr>
                <w:ilvl w:val="0"/>
                <w:numId w:val="125"/>
              </w:numPr>
              <w:spacing w:line="276" w:lineRule="auto"/>
              <w:ind w:left="357" w:hanging="357"/>
              <w:rPr>
                <w:rFonts w:ascii="Arial" w:hAnsi="Arial" w:cs="Arial"/>
                <w:b/>
                <w:color w:val="000000" w:themeColor="text1"/>
                <w:sz w:val="21"/>
                <w:szCs w:val="21"/>
              </w:rPr>
            </w:pPr>
            <w:r w:rsidRPr="009B78DA">
              <w:rPr>
                <w:rFonts w:ascii="Arial" w:hAnsi="Arial" w:cs="Arial"/>
                <w:b/>
                <w:color w:val="000000" w:themeColor="text1"/>
                <w:sz w:val="21"/>
                <w:szCs w:val="21"/>
              </w:rPr>
              <w:t>Inwestycje dotyczące budowy obwodnic w zakresie dróg wojewódzkich:</w:t>
            </w:r>
          </w:p>
          <w:p w14:paraId="5538E535" w14:textId="77777777" w:rsidR="005F267C" w:rsidRPr="009B78DA" w:rsidRDefault="005F267C" w:rsidP="00C17C6C">
            <w:pPr>
              <w:pStyle w:val="Akapitzlist"/>
              <w:numPr>
                <w:ilvl w:val="0"/>
                <w:numId w:val="12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obwodnicy m. Raniżów DW 875</w:t>
            </w:r>
          </w:p>
          <w:p w14:paraId="02BE02EA" w14:textId="77777777" w:rsidR="005F267C" w:rsidRPr="009B78DA" w:rsidRDefault="005F267C" w:rsidP="00C17C6C">
            <w:pPr>
              <w:pStyle w:val="Akapitzlist"/>
              <w:numPr>
                <w:ilvl w:val="0"/>
                <w:numId w:val="12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obwodnicy m. Zaklików DW 855</w:t>
            </w:r>
          </w:p>
          <w:p w14:paraId="4E828A9F" w14:textId="77777777" w:rsidR="005F267C" w:rsidRPr="009B78DA" w:rsidRDefault="005F267C" w:rsidP="00C17C6C">
            <w:pPr>
              <w:pStyle w:val="Akapitzlist"/>
              <w:numPr>
                <w:ilvl w:val="0"/>
                <w:numId w:val="12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Budowa obwodnicy m. Kańczuga DW 835 </w:t>
            </w:r>
          </w:p>
          <w:p w14:paraId="010CD7C6" w14:textId="77777777" w:rsidR="005F267C" w:rsidRPr="009B78DA" w:rsidRDefault="005F267C" w:rsidP="00C17C6C">
            <w:pPr>
              <w:pStyle w:val="Akapitzlist"/>
              <w:numPr>
                <w:ilvl w:val="0"/>
                <w:numId w:val="12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obwodnicy m. Kańczuga DW 881</w:t>
            </w:r>
          </w:p>
          <w:p w14:paraId="64BE8186" w14:textId="77777777" w:rsidR="005F267C" w:rsidRPr="009B78DA" w:rsidRDefault="005F267C" w:rsidP="00C17C6C">
            <w:pPr>
              <w:pStyle w:val="Akapitzlist"/>
              <w:numPr>
                <w:ilvl w:val="0"/>
                <w:numId w:val="12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obwodnicy m. Leżajsk (Stare Miasto) DW 877</w:t>
            </w:r>
          </w:p>
          <w:p w14:paraId="7B7BCD2A" w14:textId="77777777" w:rsidR="005F267C" w:rsidRPr="009B78DA" w:rsidRDefault="005F267C" w:rsidP="00C17C6C">
            <w:pPr>
              <w:pStyle w:val="Akapitzlist"/>
              <w:numPr>
                <w:ilvl w:val="0"/>
                <w:numId w:val="12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obwodnicy m. Nowy Żmigród DW 992</w:t>
            </w:r>
          </w:p>
          <w:p w14:paraId="577AC79B" w14:textId="77777777" w:rsidR="005F267C" w:rsidRPr="009B78DA" w:rsidRDefault="005F267C" w:rsidP="00C17C6C">
            <w:pPr>
              <w:pStyle w:val="Akapitzlist"/>
              <w:numPr>
                <w:ilvl w:val="0"/>
                <w:numId w:val="12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obwodnicy m. Urzejowice DW 835</w:t>
            </w:r>
          </w:p>
          <w:p w14:paraId="1C486F2F" w14:textId="77777777" w:rsidR="005F267C" w:rsidRPr="009B78DA" w:rsidRDefault="005F267C" w:rsidP="00C17C6C">
            <w:pPr>
              <w:pStyle w:val="Akapitzlist"/>
              <w:numPr>
                <w:ilvl w:val="0"/>
                <w:numId w:val="12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obwodnicy m. Glinik DW 986</w:t>
            </w:r>
          </w:p>
          <w:p w14:paraId="21DE2ACE" w14:textId="77777777" w:rsidR="005F267C" w:rsidRPr="009B78DA" w:rsidRDefault="005F267C" w:rsidP="00C17C6C">
            <w:pPr>
              <w:pStyle w:val="Akapitzlist"/>
              <w:numPr>
                <w:ilvl w:val="0"/>
                <w:numId w:val="12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obwodnicy m. Mielec (Witosa) DW 984</w:t>
            </w:r>
          </w:p>
          <w:p w14:paraId="631CD44F" w14:textId="77777777" w:rsidR="005F267C" w:rsidRPr="009B78DA" w:rsidRDefault="005F267C" w:rsidP="00C17C6C">
            <w:pPr>
              <w:pStyle w:val="Akapitzlist"/>
              <w:numPr>
                <w:ilvl w:val="0"/>
                <w:numId w:val="12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obwodnicy m. Dylągówka DW 877</w:t>
            </w:r>
          </w:p>
          <w:p w14:paraId="6409D2BC" w14:textId="77777777" w:rsidR="005F267C" w:rsidRPr="009B78DA" w:rsidRDefault="005F267C" w:rsidP="00C17C6C">
            <w:pPr>
              <w:pStyle w:val="Akapitzlist"/>
              <w:numPr>
                <w:ilvl w:val="0"/>
                <w:numId w:val="12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obwodnicy m. Babice DW 884</w:t>
            </w:r>
          </w:p>
        </w:tc>
        <w:tc>
          <w:tcPr>
            <w:tcW w:w="1685" w:type="pct"/>
            <w:vAlign w:val="center"/>
          </w:tcPr>
          <w:p w14:paraId="67E64FAF" w14:textId="77777777" w:rsidR="005F267C" w:rsidRPr="009B78DA" w:rsidRDefault="005F267C" w:rsidP="00C17C6C">
            <w:pPr>
              <w:pStyle w:val="Akapitzlist"/>
              <w:numPr>
                <w:ilvl w:val="0"/>
                <w:numId w:val="127"/>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Rzeszowski Obszar Funkcjonalny</w:t>
            </w:r>
          </w:p>
          <w:p w14:paraId="098BE12B" w14:textId="30657143" w:rsidR="005F267C" w:rsidRPr="009B78DA" w:rsidRDefault="005F267C" w:rsidP="00C17C6C">
            <w:pPr>
              <w:pStyle w:val="Akapitzlist"/>
              <w:numPr>
                <w:ilvl w:val="0"/>
                <w:numId w:val="128"/>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Zwiększenie dostępności portu lotniczego </w:t>
            </w:r>
            <w:r w:rsidR="00C253C3">
              <w:rPr>
                <w:rFonts w:ascii="Arial" w:hAnsi="Arial" w:cs="Arial"/>
                <w:color w:val="000000" w:themeColor="text1"/>
                <w:sz w:val="21"/>
                <w:szCs w:val="21"/>
              </w:rPr>
              <w:br/>
            </w:r>
            <w:r w:rsidRPr="009B78DA">
              <w:rPr>
                <w:rFonts w:ascii="Arial" w:hAnsi="Arial" w:cs="Arial"/>
                <w:color w:val="000000" w:themeColor="text1"/>
                <w:sz w:val="21"/>
                <w:szCs w:val="21"/>
              </w:rPr>
              <w:t>w Jasionce</w:t>
            </w:r>
          </w:p>
          <w:p w14:paraId="5649D402" w14:textId="77777777" w:rsidR="005F267C" w:rsidRPr="009B78DA" w:rsidRDefault="005F267C" w:rsidP="00C17C6C">
            <w:pPr>
              <w:pStyle w:val="Akapitzlist"/>
              <w:numPr>
                <w:ilvl w:val="0"/>
                <w:numId w:val="128"/>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Połączenie w kierunku południowo wschodnim z gminami południowej części powiatu rzeszowskiego</w:t>
            </w:r>
          </w:p>
          <w:p w14:paraId="69574311" w14:textId="77777777" w:rsidR="005F267C" w:rsidRPr="009B78DA" w:rsidRDefault="005F267C" w:rsidP="00C17C6C">
            <w:pPr>
              <w:pStyle w:val="Akapitzlist"/>
              <w:numPr>
                <w:ilvl w:val="0"/>
                <w:numId w:val="128"/>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Połączenie w kierunku północ-południe, łączące gminy: Chmielnik, Łańcut i Czarna</w:t>
            </w:r>
          </w:p>
          <w:p w14:paraId="53B4C40F" w14:textId="77777777" w:rsidR="005F267C" w:rsidRPr="009B78DA" w:rsidRDefault="005F267C" w:rsidP="00C17C6C">
            <w:pPr>
              <w:pStyle w:val="Akapitzlist"/>
              <w:numPr>
                <w:ilvl w:val="0"/>
                <w:numId w:val="127"/>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Przemyśl</w:t>
            </w:r>
          </w:p>
          <w:p w14:paraId="58D247F8" w14:textId="77777777" w:rsidR="005F267C" w:rsidRPr="009B78DA" w:rsidRDefault="005F267C" w:rsidP="00C17C6C">
            <w:pPr>
              <w:pStyle w:val="Akapitzlist"/>
              <w:numPr>
                <w:ilvl w:val="0"/>
                <w:numId w:val="12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Połączenie w kierunku północno-wschodnim gminy Żurawica</w:t>
            </w:r>
          </w:p>
          <w:p w14:paraId="161FCABD" w14:textId="77777777" w:rsidR="005F267C" w:rsidRPr="009B78DA" w:rsidRDefault="005F267C" w:rsidP="00C17C6C">
            <w:pPr>
              <w:pStyle w:val="Akapitzlist"/>
              <w:numPr>
                <w:ilvl w:val="0"/>
                <w:numId w:val="12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Połączenie w kierunku zachodnim</w:t>
            </w:r>
          </w:p>
          <w:p w14:paraId="5CB17FBD" w14:textId="77777777" w:rsidR="005F267C" w:rsidRPr="009B78DA" w:rsidRDefault="005F267C" w:rsidP="00C17C6C">
            <w:pPr>
              <w:pStyle w:val="Akapitzlist"/>
              <w:numPr>
                <w:ilvl w:val="0"/>
                <w:numId w:val="12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Połączenie rdzenia obszaru z Hermanowicami oraz planowanym drogowym przejściem granicznym z Ukrainą w Malhowicach</w:t>
            </w:r>
          </w:p>
          <w:p w14:paraId="207E4FA7" w14:textId="77777777" w:rsidR="005F267C" w:rsidRPr="009B78DA" w:rsidRDefault="005F267C" w:rsidP="00C17C6C">
            <w:pPr>
              <w:pStyle w:val="Akapitzlist"/>
              <w:numPr>
                <w:ilvl w:val="0"/>
                <w:numId w:val="12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Priorytetem inwestycyjnym jest poprawa warunków dojazdowych do miasta-rdzenia</w:t>
            </w:r>
          </w:p>
          <w:p w14:paraId="28C272EA" w14:textId="77777777" w:rsidR="005F267C" w:rsidRPr="009B78DA" w:rsidRDefault="005F267C" w:rsidP="00C17C6C">
            <w:pPr>
              <w:pStyle w:val="Akapitzlist"/>
              <w:numPr>
                <w:ilvl w:val="0"/>
                <w:numId w:val="127"/>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Krosno</w:t>
            </w:r>
          </w:p>
          <w:p w14:paraId="46BF4C28" w14:textId="77777777" w:rsidR="005F267C" w:rsidRPr="009B78DA" w:rsidRDefault="005F267C" w:rsidP="00C17C6C">
            <w:pPr>
              <w:pStyle w:val="Akapitzlist"/>
              <w:numPr>
                <w:ilvl w:val="0"/>
                <w:numId w:val="13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Priorytetem są drogi wojewódzkie komunikujące odpowiednio gminy Wojaszówka i Korczyna. </w:t>
            </w:r>
          </w:p>
          <w:p w14:paraId="33D96982" w14:textId="720F76F0" w:rsidR="005F267C" w:rsidRPr="009B78DA" w:rsidRDefault="005F267C" w:rsidP="00C17C6C">
            <w:pPr>
              <w:pStyle w:val="Akapitzlist"/>
              <w:numPr>
                <w:ilvl w:val="0"/>
                <w:numId w:val="13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Utrzymanie w większym stopniu skomunikowanych na obszarze funkcjonalnym Krosno gmin położonych na wschodzie </w:t>
            </w:r>
            <w:r w:rsidR="00C253C3">
              <w:rPr>
                <w:rFonts w:ascii="Arial" w:hAnsi="Arial" w:cs="Arial"/>
                <w:color w:val="000000" w:themeColor="text1"/>
                <w:sz w:val="21"/>
                <w:szCs w:val="21"/>
              </w:rPr>
              <w:br/>
            </w:r>
            <w:r w:rsidRPr="009B78DA">
              <w:rPr>
                <w:rFonts w:ascii="Arial" w:hAnsi="Arial" w:cs="Arial"/>
                <w:color w:val="000000" w:themeColor="text1"/>
                <w:sz w:val="21"/>
                <w:szCs w:val="21"/>
              </w:rPr>
              <w:t>i północy obszaru funkc</w:t>
            </w:r>
            <w:r w:rsidR="00C253C3">
              <w:rPr>
                <w:rFonts w:ascii="Arial" w:hAnsi="Arial" w:cs="Arial"/>
                <w:color w:val="000000" w:themeColor="text1"/>
                <w:sz w:val="21"/>
                <w:szCs w:val="21"/>
              </w:rPr>
              <w:t>jonalnego.</w:t>
            </w:r>
          </w:p>
          <w:p w14:paraId="36B164F0" w14:textId="77777777" w:rsidR="005F267C" w:rsidRPr="009B78DA" w:rsidRDefault="005F267C" w:rsidP="00C17C6C">
            <w:pPr>
              <w:pStyle w:val="Akapitzlist"/>
              <w:numPr>
                <w:ilvl w:val="0"/>
                <w:numId w:val="13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skomunikowania gmin o najniższej dostępności np. Chorkówka.</w:t>
            </w:r>
          </w:p>
          <w:p w14:paraId="4E7A1451" w14:textId="77777777" w:rsidR="005F267C" w:rsidRPr="009B78DA" w:rsidRDefault="005F267C" w:rsidP="00C17C6C">
            <w:pPr>
              <w:pStyle w:val="Akapitzlist"/>
              <w:numPr>
                <w:ilvl w:val="0"/>
                <w:numId w:val="13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Powiązanie drogowe z uzdrowiskami (Rymanów Zdrój i Iwonicz Zdrój)</w:t>
            </w:r>
          </w:p>
          <w:p w14:paraId="3C6A4C0E" w14:textId="77777777" w:rsidR="005F267C" w:rsidRPr="009B78DA" w:rsidRDefault="005F267C" w:rsidP="00C17C6C">
            <w:pPr>
              <w:pStyle w:val="Akapitzlist"/>
              <w:numPr>
                <w:ilvl w:val="0"/>
                <w:numId w:val="127"/>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Jasła</w:t>
            </w:r>
          </w:p>
          <w:p w14:paraId="54F48CC0" w14:textId="77777777" w:rsidR="005F267C" w:rsidRPr="009B78DA" w:rsidRDefault="005F267C" w:rsidP="00C17C6C">
            <w:pPr>
              <w:pStyle w:val="Akapitzlist"/>
              <w:numPr>
                <w:ilvl w:val="0"/>
                <w:numId w:val="131"/>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dróg wojewódzkich uzupełniających sieć komunikacyjną na osi północ-południe</w:t>
            </w:r>
          </w:p>
          <w:p w14:paraId="44C88F85" w14:textId="21740A0C" w:rsidR="005F267C" w:rsidRPr="009B78DA" w:rsidRDefault="005F267C" w:rsidP="00C17C6C">
            <w:pPr>
              <w:pStyle w:val="Akapitzlist"/>
              <w:numPr>
                <w:ilvl w:val="0"/>
                <w:numId w:val="131"/>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drogi łączącej gminę Jasło </w:t>
            </w:r>
            <w:r w:rsidR="00C253C3">
              <w:rPr>
                <w:rFonts w:ascii="Arial" w:hAnsi="Arial" w:cs="Arial"/>
                <w:color w:val="000000" w:themeColor="text1"/>
                <w:sz w:val="21"/>
                <w:szCs w:val="21"/>
              </w:rPr>
              <w:br/>
            </w:r>
            <w:r w:rsidRPr="009B78DA">
              <w:rPr>
                <w:rFonts w:ascii="Arial" w:hAnsi="Arial" w:cs="Arial"/>
                <w:color w:val="000000" w:themeColor="text1"/>
                <w:sz w:val="21"/>
                <w:szCs w:val="21"/>
              </w:rPr>
              <w:t>z rdzeniem.</w:t>
            </w:r>
          </w:p>
          <w:p w14:paraId="5D36BF20" w14:textId="77777777" w:rsidR="005F267C" w:rsidRPr="009B78DA" w:rsidRDefault="005F267C" w:rsidP="00C17C6C">
            <w:pPr>
              <w:pStyle w:val="Akapitzlist"/>
              <w:numPr>
                <w:ilvl w:val="0"/>
                <w:numId w:val="127"/>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Tarnobrzeg</w:t>
            </w:r>
          </w:p>
          <w:p w14:paraId="184F185A" w14:textId="77777777" w:rsidR="005F267C" w:rsidRPr="009B78DA" w:rsidRDefault="005F267C" w:rsidP="00C17C6C">
            <w:pPr>
              <w:pStyle w:val="Akapitzlist"/>
              <w:numPr>
                <w:ilvl w:val="0"/>
                <w:numId w:val="132"/>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połączenia rdzenia z obszarem funkcjonalnym w kierunku DK77;</w:t>
            </w:r>
          </w:p>
          <w:p w14:paraId="2D65F37D" w14:textId="77777777" w:rsidR="005F267C" w:rsidRPr="009B78DA" w:rsidRDefault="005F267C" w:rsidP="00C17C6C">
            <w:pPr>
              <w:pStyle w:val="Akapitzlist"/>
              <w:numPr>
                <w:ilvl w:val="0"/>
                <w:numId w:val="132"/>
              </w:numPr>
              <w:spacing w:line="276" w:lineRule="auto"/>
              <w:rPr>
                <w:rFonts w:ascii="Arial" w:hAnsi="Arial" w:cs="Arial"/>
                <w:strike/>
                <w:color w:val="000000" w:themeColor="text1"/>
                <w:sz w:val="21"/>
                <w:szCs w:val="21"/>
              </w:rPr>
            </w:pPr>
            <w:r w:rsidRPr="009B78DA">
              <w:rPr>
                <w:rFonts w:ascii="Arial" w:hAnsi="Arial" w:cs="Arial"/>
                <w:color w:val="000000" w:themeColor="text1"/>
                <w:sz w:val="21"/>
                <w:szCs w:val="21"/>
              </w:rPr>
              <w:t>Usprawnienie połączenia Tarnobrzega w kierunku województwa świętokrzyskiego m.in. poprzez budowę mostu na Wiśle  ciągu DW 758;</w:t>
            </w:r>
          </w:p>
          <w:p w14:paraId="3B3ABE21" w14:textId="33A70CAE" w:rsidR="005F267C" w:rsidRPr="009B78DA" w:rsidRDefault="005F267C" w:rsidP="00C17C6C">
            <w:pPr>
              <w:pStyle w:val="Akapitzlist"/>
              <w:numPr>
                <w:ilvl w:val="0"/>
                <w:numId w:val="132"/>
              </w:numPr>
              <w:spacing w:line="276" w:lineRule="auto"/>
              <w:rPr>
                <w:rFonts w:ascii="Arial" w:hAnsi="Arial" w:cs="Arial"/>
                <w:strike/>
                <w:color w:val="000000" w:themeColor="text1"/>
                <w:sz w:val="21"/>
                <w:szCs w:val="21"/>
              </w:rPr>
            </w:pPr>
            <w:r w:rsidRPr="009B78DA">
              <w:rPr>
                <w:rFonts w:ascii="Arial" w:hAnsi="Arial" w:cs="Arial"/>
                <w:color w:val="000000" w:themeColor="text1"/>
                <w:sz w:val="21"/>
                <w:szCs w:val="21"/>
              </w:rPr>
              <w:t>Wsparcie połączenia z obszarem funkcjonalnym w kierunku Stalowej Woli, m.in. poprzez przebudowę/rozbudowę drogi wojewódzkiej nr 871 ul.</w:t>
            </w:r>
            <w:r w:rsidRPr="009B78DA">
              <w:rPr>
                <w:rFonts w:ascii="Arial Narrow" w:hAnsi="Arial Narrow" w:cs="Calibri"/>
                <w:color w:val="000000" w:themeColor="text1"/>
                <w:sz w:val="16"/>
                <w:szCs w:val="16"/>
              </w:rPr>
              <w:t xml:space="preserve"> </w:t>
            </w:r>
            <w:r w:rsidRPr="009B78DA">
              <w:rPr>
                <w:rFonts w:ascii="Arial" w:hAnsi="Arial" w:cs="Arial"/>
                <w:color w:val="000000" w:themeColor="text1"/>
                <w:sz w:val="21"/>
                <w:szCs w:val="21"/>
              </w:rPr>
              <w:t xml:space="preserve">Wisłostrada wraz </w:t>
            </w:r>
            <w:r w:rsidR="00B00AFA">
              <w:rPr>
                <w:rFonts w:ascii="Arial" w:hAnsi="Arial" w:cs="Arial"/>
                <w:color w:val="000000" w:themeColor="text1"/>
                <w:sz w:val="21"/>
                <w:szCs w:val="21"/>
              </w:rPr>
              <w:br/>
            </w:r>
            <w:r w:rsidRPr="009B78DA">
              <w:rPr>
                <w:rFonts w:ascii="Arial" w:hAnsi="Arial" w:cs="Arial"/>
                <w:color w:val="000000" w:themeColor="text1"/>
                <w:sz w:val="21"/>
                <w:szCs w:val="21"/>
              </w:rPr>
              <w:t xml:space="preserve">z remontem wiaduktów nad linią PKP </w:t>
            </w:r>
            <w:r w:rsidR="00B00AFA">
              <w:rPr>
                <w:rFonts w:ascii="Arial" w:hAnsi="Arial" w:cs="Arial"/>
                <w:color w:val="000000" w:themeColor="text1"/>
                <w:sz w:val="21"/>
                <w:szCs w:val="21"/>
              </w:rPr>
              <w:br/>
            </w:r>
            <w:r w:rsidRPr="009B78DA">
              <w:rPr>
                <w:rFonts w:ascii="Arial" w:hAnsi="Arial" w:cs="Arial"/>
                <w:color w:val="000000" w:themeColor="text1"/>
                <w:sz w:val="21"/>
                <w:szCs w:val="21"/>
              </w:rPr>
              <w:t>w Tarnobrzegu</w:t>
            </w:r>
          </w:p>
          <w:p w14:paraId="579CC8E9" w14:textId="370FE391" w:rsidR="005F267C" w:rsidRPr="009B78DA" w:rsidRDefault="005F267C" w:rsidP="00C17C6C">
            <w:pPr>
              <w:pStyle w:val="Akapitzlist"/>
              <w:numPr>
                <w:ilvl w:val="0"/>
                <w:numId w:val="132"/>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Połączenie przechodzące przez gminę Baranów Sandomierski oraz w małym fragmencie przez gminę Nowa Dęba w południowo-zachodniej części obszaru funkcjonalnego (w kierunku na Mielec </w:t>
            </w:r>
            <w:r w:rsidR="00B00AFA">
              <w:rPr>
                <w:rFonts w:ascii="Arial" w:hAnsi="Arial" w:cs="Arial"/>
                <w:color w:val="000000" w:themeColor="text1"/>
                <w:sz w:val="21"/>
                <w:szCs w:val="21"/>
              </w:rPr>
              <w:br/>
            </w:r>
            <w:r w:rsidRPr="009B78DA">
              <w:rPr>
                <w:rFonts w:ascii="Arial" w:hAnsi="Arial" w:cs="Arial"/>
                <w:color w:val="000000" w:themeColor="text1"/>
                <w:sz w:val="21"/>
                <w:szCs w:val="21"/>
              </w:rPr>
              <w:t>i Dębice).</w:t>
            </w:r>
          </w:p>
          <w:p w14:paraId="34D47314" w14:textId="77777777" w:rsidR="005F267C" w:rsidRPr="009B78DA" w:rsidRDefault="005F267C" w:rsidP="00C17C6C">
            <w:pPr>
              <w:pStyle w:val="Akapitzlist"/>
              <w:numPr>
                <w:ilvl w:val="0"/>
                <w:numId w:val="127"/>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Stalowa Wola</w:t>
            </w:r>
          </w:p>
          <w:p w14:paraId="554F9756" w14:textId="77777777" w:rsidR="005F267C" w:rsidRPr="009B78DA" w:rsidRDefault="005F267C" w:rsidP="00C17C6C">
            <w:pPr>
              <w:pStyle w:val="Akapitzlist"/>
              <w:numPr>
                <w:ilvl w:val="0"/>
                <w:numId w:val="133"/>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Poprawa dostępności transportowej do S19 m.in. poprzez modernizację połączeń drogowych wojewódzkich w ramach MOF.</w:t>
            </w:r>
          </w:p>
          <w:p w14:paraId="696DAC9C" w14:textId="77777777" w:rsidR="005F267C" w:rsidRPr="009B78DA" w:rsidRDefault="005F267C" w:rsidP="00C17C6C">
            <w:pPr>
              <w:pStyle w:val="Akapitzlist"/>
              <w:numPr>
                <w:ilvl w:val="0"/>
                <w:numId w:val="133"/>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Inwestycje ułatwiające przepływ pasażerów pomiędzy Stalową Wolą a Tarnobrzegiem</w:t>
            </w:r>
          </w:p>
          <w:p w14:paraId="2F83CBDE" w14:textId="753AEEDF" w:rsidR="005F267C" w:rsidRPr="009B78DA" w:rsidRDefault="005F267C" w:rsidP="00C17C6C">
            <w:pPr>
              <w:pStyle w:val="Akapitzlist"/>
              <w:numPr>
                <w:ilvl w:val="0"/>
                <w:numId w:val="133"/>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dróg wyprowadzających ruch </w:t>
            </w:r>
            <w:r w:rsidR="00B00AFA">
              <w:rPr>
                <w:rFonts w:ascii="Arial" w:hAnsi="Arial" w:cs="Arial"/>
                <w:color w:val="000000" w:themeColor="text1"/>
                <w:sz w:val="21"/>
                <w:szCs w:val="21"/>
              </w:rPr>
              <w:br/>
            </w:r>
            <w:r w:rsidRPr="009B78DA">
              <w:rPr>
                <w:rFonts w:ascii="Arial" w:hAnsi="Arial" w:cs="Arial"/>
                <w:color w:val="000000" w:themeColor="text1"/>
                <w:sz w:val="21"/>
                <w:szCs w:val="21"/>
              </w:rPr>
              <w:t xml:space="preserve">z rdzenia w kierunku zachodnim od Niska; </w:t>
            </w:r>
            <w:r w:rsidR="00B00AFA">
              <w:rPr>
                <w:rFonts w:ascii="Arial" w:hAnsi="Arial" w:cs="Arial"/>
                <w:color w:val="000000" w:themeColor="text1"/>
                <w:sz w:val="21"/>
                <w:szCs w:val="21"/>
              </w:rPr>
              <w:br/>
            </w:r>
            <w:r w:rsidRPr="009B78DA">
              <w:rPr>
                <w:rFonts w:ascii="Arial" w:hAnsi="Arial" w:cs="Arial"/>
                <w:color w:val="000000" w:themeColor="text1"/>
                <w:sz w:val="21"/>
                <w:szCs w:val="21"/>
              </w:rPr>
              <w:t>w kierunku Biłgoraja oraz w kierunku Lublina.</w:t>
            </w:r>
          </w:p>
          <w:p w14:paraId="6E30CC67" w14:textId="77777777" w:rsidR="005F267C" w:rsidRPr="009B78DA" w:rsidRDefault="005F267C" w:rsidP="00C17C6C">
            <w:pPr>
              <w:pStyle w:val="Akapitzlist"/>
              <w:numPr>
                <w:ilvl w:val="0"/>
                <w:numId w:val="133"/>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inwestycji wzdłuż DK 77 (duża koncentracja ludności) a także równolegle do niej położonej w kierunku zachodnim drogi między miejscowościami Jastkowice, Pysznica i Kłyżów.</w:t>
            </w:r>
          </w:p>
          <w:p w14:paraId="611E7391" w14:textId="77777777" w:rsidR="005F267C" w:rsidRPr="009B78DA" w:rsidRDefault="005F267C" w:rsidP="00C17C6C">
            <w:pPr>
              <w:pStyle w:val="Akapitzlist"/>
              <w:numPr>
                <w:ilvl w:val="0"/>
                <w:numId w:val="127"/>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Lubaczowa</w:t>
            </w:r>
          </w:p>
          <w:p w14:paraId="68446E18" w14:textId="77777777" w:rsidR="005F267C" w:rsidRPr="009B78DA" w:rsidRDefault="005F267C" w:rsidP="00C17C6C">
            <w:pPr>
              <w:pStyle w:val="Akapitzlist"/>
              <w:numPr>
                <w:ilvl w:val="0"/>
                <w:numId w:val="13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Konieczność powiązania północno-wschodniej części obszaru funkcjonalnego drogą wyższego rzędu.</w:t>
            </w:r>
          </w:p>
          <w:p w14:paraId="2440888E" w14:textId="77777777" w:rsidR="005F267C" w:rsidRPr="009B78DA" w:rsidRDefault="005F267C" w:rsidP="00C17C6C">
            <w:pPr>
              <w:pStyle w:val="Akapitzlist"/>
              <w:numPr>
                <w:ilvl w:val="0"/>
                <w:numId w:val="127"/>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Mielec</w:t>
            </w:r>
          </w:p>
          <w:p w14:paraId="5AC37066" w14:textId="0FC6A34F" w:rsidR="005F267C" w:rsidRPr="009B78DA" w:rsidRDefault="005F267C" w:rsidP="00C17C6C">
            <w:pPr>
              <w:pStyle w:val="Akapitzlist"/>
              <w:numPr>
                <w:ilvl w:val="0"/>
                <w:numId w:val="135"/>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inwestycji  przebiegająca przez cały </w:t>
            </w:r>
            <w:r w:rsidR="00B00AFA">
              <w:rPr>
                <w:rFonts w:ascii="Arial" w:hAnsi="Arial" w:cs="Arial"/>
                <w:color w:val="000000" w:themeColor="text1"/>
                <w:sz w:val="21"/>
                <w:szCs w:val="21"/>
              </w:rPr>
              <w:t>obszar w układzie południkowym.</w:t>
            </w:r>
          </w:p>
          <w:p w14:paraId="16BBD778" w14:textId="7E651F98" w:rsidR="005F267C" w:rsidRPr="009B78DA" w:rsidRDefault="005F267C" w:rsidP="00C17C6C">
            <w:pPr>
              <w:pStyle w:val="Akapitzlist"/>
              <w:numPr>
                <w:ilvl w:val="0"/>
                <w:numId w:val="135"/>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Przeciwdziałanie występującym wąskim gardłom w rdzeniu MOF (wsparcie inwestycji </w:t>
            </w:r>
            <w:r w:rsidR="00B00AFA">
              <w:rPr>
                <w:rFonts w:ascii="Arial" w:hAnsi="Arial" w:cs="Arial"/>
                <w:color w:val="000000" w:themeColor="text1"/>
                <w:sz w:val="21"/>
                <w:szCs w:val="21"/>
              </w:rPr>
              <w:br/>
            </w:r>
            <w:r w:rsidRPr="009B78DA">
              <w:rPr>
                <w:rFonts w:ascii="Arial" w:hAnsi="Arial" w:cs="Arial"/>
                <w:color w:val="000000" w:themeColor="text1"/>
                <w:sz w:val="21"/>
                <w:szCs w:val="21"/>
              </w:rPr>
              <w:t xml:space="preserve">w kierunku Tarnowa, mostu na Wisłoce </w:t>
            </w:r>
            <w:r w:rsidR="00B00AFA">
              <w:rPr>
                <w:rFonts w:ascii="Arial" w:hAnsi="Arial" w:cs="Arial"/>
                <w:color w:val="000000" w:themeColor="text1"/>
                <w:sz w:val="21"/>
                <w:szCs w:val="21"/>
              </w:rPr>
              <w:br/>
            </w:r>
            <w:r w:rsidRPr="009B78DA">
              <w:rPr>
                <w:rFonts w:ascii="Arial" w:hAnsi="Arial" w:cs="Arial"/>
                <w:color w:val="000000" w:themeColor="text1"/>
                <w:sz w:val="21"/>
                <w:szCs w:val="21"/>
              </w:rPr>
              <w:t>i budowa trasy dojazdowej do SSE Mielec).</w:t>
            </w:r>
          </w:p>
          <w:p w14:paraId="3F45C4FA" w14:textId="77777777" w:rsidR="005F267C" w:rsidRPr="009B78DA" w:rsidRDefault="005F267C" w:rsidP="00C17C6C">
            <w:pPr>
              <w:pStyle w:val="Akapitzlist"/>
              <w:numPr>
                <w:ilvl w:val="0"/>
                <w:numId w:val="127"/>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Dębica-Ropczyce</w:t>
            </w:r>
          </w:p>
          <w:p w14:paraId="72A26F01" w14:textId="77777777" w:rsidR="005F267C" w:rsidRPr="009B78DA" w:rsidRDefault="005F267C" w:rsidP="00C17C6C">
            <w:pPr>
              <w:pStyle w:val="Akapitzlist"/>
              <w:numPr>
                <w:ilvl w:val="0"/>
                <w:numId w:val="13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Połączenie łączące Ropczyce z częścią południowo-wschodnią obszaru.</w:t>
            </w:r>
          </w:p>
          <w:p w14:paraId="5C895E71" w14:textId="77777777" w:rsidR="005F267C" w:rsidRPr="009B78DA" w:rsidRDefault="005F267C" w:rsidP="00C17C6C">
            <w:pPr>
              <w:pStyle w:val="Akapitzlist"/>
              <w:numPr>
                <w:ilvl w:val="0"/>
                <w:numId w:val="13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Inwestycje służące stopniowej integracji MOF Dębica-Ropczyce z Rzeszowskim Obszarem Funkcjonalnym, a także z MOF Mielec i MOF Jasło.</w:t>
            </w:r>
          </w:p>
          <w:p w14:paraId="1CF8F03E" w14:textId="77777777" w:rsidR="005F267C" w:rsidRPr="009B78DA" w:rsidRDefault="005F267C" w:rsidP="00C17C6C">
            <w:pPr>
              <w:pStyle w:val="Akapitzlist"/>
              <w:numPr>
                <w:ilvl w:val="0"/>
                <w:numId w:val="127"/>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Jarosław-Przeworsk</w:t>
            </w:r>
          </w:p>
          <w:p w14:paraId="1525302D" w14:textId="5AB56C38" w:rsidR="005F267C" w:rsidRPr="009B78DA" w:rsidRDefault="005F267C" w:rsidP="00C17C6C">
            <w:pPr>
              <w:pStyle w:val="Akapitzlist"/>
              <w:numPr>
                <w:ilvl w:val="0"/>
                <w:numId w:val="13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Poprawa dostępności do węzła autostradowego na A4 (Przeworsk) m. in. poprzez modernizację połączeń drogowych </w:t>
            </w:r>
            <w:r w:rsidR="00B00AFA">
              <w:rPr>
                <w:rFonts w:ascii="Arial" w:hAnsi="Arial" w:cs="Arial"/>
                <w:color w:val="000000" w:themeColor="text1"/>
                <w:sz w:val="21"/>
                <w:szCs w:val="21"/>
              </w:rPr>
              <w:br/>
            </w:r>
            <w:r w:rsidRPr="009B78DA">
              <w:rPr>
                <w:rFonts w:ascii="Arial" w:hAnsi="Arial" w:cs="Arial"/>
                <w:color w:val="000000" w:themeColor="text1"/>
                <w:sz w:val="21"/>
                <w:szCs w:val="21"/>
              </w:rPr>
              <w:t>w ramach MOF.</w:t>
            </w:r>
          </w:p>
          <w:p w14:paraId="4EB5E3EC" w14:textId="2600A69E" w:rsidR="005F267C" w:rsidRPr="009B78DA" w:rsidRDefault="005F267C" w:rsidP="00C17C6C">
            <w:pPr>
              <w:pStyle w:val="Akapitzlist"/>
              <w:numPr>
                <w:ilvl w:val="0"/>
                <w:numId w:val="13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dróg wyprowadzających ruch </w:t>
            </w:r>
            <w:r w:rsidR="00B00AFA">
              <w:rPr>
                <w:rFonts w:ascii="Arial" w:hAnsi="Arial" w:cs="Arial"/>
                <w:color w:val="000000" w:themeColor="text1"/>
                <w:sz w:val="21"/>
                <w:szCs w:val="21"/>
              </w:rPr>
              <w:br/>
            </w:r>
            <w:r w:rsidRPr="009B78DA">
              <w:rPr>
                <w:rFonts w:ascii="Arial" w:hAnsi="Arial" w:cs="Arial"/>
                <w:color w:val="000000" w:themeColor="text1"/>
                <w:sz w:val="21"/>
                <w:szCs w:val="21"/>
              </w:rPr>
              <w:t xml:space="preserve">z rdzeni w kierunku północ-południe; </w:t>
            </w:r>
            <w:r w:rsidR="00B00AFA">
              <w:rPr>
                <w:rFonts w:ascii="Arial" w:hAnsi="Arial" w:cs="Arial"/>
                <w:color w:val="000000" w:themeColor="text1"/>
                <w:sz w:val="21"/>
                <w:szCs w:val="21"/>
              </w:rPr>
              <w:br/>
            </w:r>
            <w:r w:rsidRPr="009B78DA">
              <w:rPr>
                <w:rFonts w:ascii="Arial" w:hAnsi="Arial" w:cs="Arial"/>
                <w:color w:val="000000" w:themeColor="text1"/>
                <w:sz w:val="21"/>
                <w:szCs w:val="21"/>
              </w:rPr>
              <w:t xml:space="preserve">z Jarosławia do Sieniawy oraz w kierunku Lubaczowa; we wschodniej części obszaru </w:t>
            </w:r>
            <w:r w:rsidR="00B00AFA">
              <w:rPr>
                <w:rFonts w:ascii="Arial" w:hAnsi="Arial" w:cs="Arial"/>
                <w:color w:val="000000" w:themeColor="text1"/>
                <w:sz w:val="21"/>
                <w:szCs w:val="21"/>
              </w:rPr>
              <w:br/>
            </w:r>
            <w:r w:rsidRPr="009B78DA">
              <w:rPr>
                <w:rFonts w:ascii="Arial" w:hAnsi="Arial" w:cs="Arial"/>
                <w:color w:val="000000" w:themeColor="text1"/>
                <w:sz w:val="21"/>
                <w:szCs w:val="21"/>
              </w:rPr>
              <w:t>w stronę Pruchnika.</w:t>
            </w:r>
          </w:p>
          <w:p w14:paraId="32F5A9B4" w14:textId="0650EC7B" w:rsidR="005F267C" w:rsidRPr="009B78DA" w:rsidRDefault="005F267C" w:rsidP="00C17C6C">
            <w:pPr>
              <w:pStyle w:val="Akapitzlist"/>
              <w:numPr>
                <w:ilvl w:val="0"/>
                <w:numId w:val="13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inwestycji w układzie południkowym, który pozwoli poprawić połączenie komunikacyjne obszaru funkcjonalnego </w:t>
            </w:r>
            <w:r w:rsidR="00B00AFA">
              <w:rPr>
                <w:rFonts w:ascii="Arial" w:hAnsi="Arial" w:cs="Arial"/>
                <w:color w:val="000000" w:themeColor="text1"/>
                <w:sz w:val="21"/>
                <w:szCs w:val="21"/>
              </w:rPr>
              <w:br/>
            </w:r>
            <w:r w:rsidRPr="009B78DA">
              <w:rPr>
                <w:rFonts w:ascii="Arial" w:hAnsi="Arial" w:cs="Arial"/>
                <w:color w:val="000000" w:themeColor="text1"/>
                <w:sz w:val="21"/>
                <w:szCs w:val="21"/>
              </w:rPr>
              <w:t>w kierunku docelowym na Sanok.</w:t>
            </w:r>
          </w:p>
          <w:p w14:paraId="157C377C" w14:textId="77777777" w:rsidR="005F267C" w:rsidRPr="009B78DA" w:rsidRDefault="005F267C" w:rsidP="00C17C6C">
            <w:pPr>
              <w:pStyle w:val="Akapitzlist"/>
              <w:numPr>
                <w:ilvl w:val="0"/>
                <w:numId w:val="127"/>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Sanok-Lesko</w:t>
            </w:r>
          </w:p>
          <w:p w14:paraId="59694266" w14:textId="77777777" w:rsidR="005F267C" w:rsidRPr="009B78DA" w:rsidRDefault="005F267C" w:rsidP="00C17C6C">
            <w:pPr>
              <w:pStyle w:val="Akapitzlist"/>
              <w:numPr>
                <w:ilvl w:val="0"/>
                <w:numId w:val="138"/>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powiązań łączących obszar funkcjonalny w kierunku na stolicę województwa; w kierunku granicy ze Słowacji; łącząca obszar Bieszczadów; w kierunku Polańczyka</w:t>
            </w:r>
          </w:p>
          <w:p w14:paraId="36251F4B" w14:textId="597BE53B" w:rsidR="005F267C" w:rsidRPr="009B78DA" w:rsidRDefault="005F267C" w:rsidP="00C17C6C">
            <w:pPr>
              <w:pStyle w:val="Akapitzlist"/>
              <w:numPr>
                <w:ilvl w:val="0"/>
                <w:numId w:val="138"/>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MOF Sanok-Lesko jest obszarem funkcjonalnym oderwanym od systemu transportowego województwa. Charakteryzuje się on silnymi powiązaniami funkcjonalnymi </w:t>
            </w:r>
            <w:r w:rsidR="00B00AFA">
              <w:rPr>
                <w:rFonts w:ascii="Arial" w:hAnsi="Arial" w:cs="Arial"/>
                <w:color w:val="000000" w:themeColor="text1"/>
                <w:sz w:val="21"/>
                <w:szCs w:val="21"/>
              </w:rPr>
              <w:br/>
            </w:r>
            <w:r w:rsidRPr="009B78DA">
              <w:rPr>
                <w:rFonts w:ascii="Arial" w:hAnsi="Arial" w:cs="Arial"/>
                <w:color w:val="000000" w:themeColor="text1"/>
                <w:sz w:val="21"/>
                <w:szCs w:val="21"/>
              </w:rPr>
              <w:t>z Rzeszowem, co powoduje duże obciążenie ruchem szlaków łączących oba ośrodki (kongestia potęgowana sezonowo ruchem turystycznym)</w:t>
            </w:r>
          </w:p>
        </w:tc>
      </w:tr>
      <w:tr w:rsidR="005F267C" w:rsidRPr="009B78DA" w14:paraId="6F108F76" w14:textId="77777777" w:rsidTr="00C17C6C">
        <w:tc>
          <w:tcPr>
            <w:tcW w:w="551" w:type="pct"/>
            <w:vAlign w:val="center"/>
          </w:tcPr>
          <w:p w14:paraId="0FF58A2E" w14:textId="77777777" w:rsidR="005F267C" w:rsidRPr="009B78DA" w:rsidRDefault="005F267C" w:rsidP="00C17C6C">
            <w:p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 xml:space="preserve">Kolejowy/ </w:t>
            </w:r>
            <w:r w:rsidRPr="009B78DA">
              <w:rPr>
                <w:rFonts w:ascii="Arial" w:hAnsi="Arial" w:cs="Arial"/>
                <w:b/>
                <w:color w:val="000000" w:themeColor="text1"/>
                <w:sz w:val="21"/>
                <w:szCs w:val="21"/>
              </w:rPr>
              <w:br/>
              <w:t>Priorytet A</w:t>
            </w:r>
          </w:p>
        </w:tc>
        <w:tc>
          <w:tcPr>
            <w:tcW w:w="1382" w:type="pct"/>
            <w:vAlign w:val="center"/>
          </w:tcPr>
          <w:p w14:paraId="59C2BA8F" w14:textId="77777777" w:rsidR="005F267C" w:rsidRPr="009B78DA" w:rsidRDefault="005F267C" w:rsidP="00C17C6C">
            <w:p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Projekty krajowe:</w:t>
            </w:r>
          </w:p>
          <w:p w14:paraId="1E7BF477" w14:textId="77777777" w:rsidR="005F267C" w:rsidRPr="009B78DA" w:rsidRDefault="005F267C" w:rsidP="00C17C6C">
            <w:pPr>
              <w:pStyle w:val="Akapitzlist"/>
              <w:numPr>
                <w:ilvl w:val="0"/>
                <w:numId w:val="1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Modernizacja linii kolejowej E30 C-E30 odcinek Kraków-Rzeszów etap III, I Faza. Zakres (linia kolejowa nr): 91</w:t>
            </w:r>
          </w:p>
          <w:p w14:paraId="145E3E05" w14:textId="77777777" w:rsidR="005F267C" w:rsidRPr="009B78DA" w:rsidRDefault="005F267C" w:rsidP="00C17C6C">
            <w:pPr>
              <w:pStyle w:val="Akapitzlist"/>
              <w:numPr>
                <w:ilvl w:val="0"/>
                <w:numId w:val="1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Zabudowa ERTMS-ETCS na liniach sieci bazowej TEN-T. Zakres (linia kolejowa nr): 91 </w:t>
            </w:r>
          </w:p>
          <w:p w14:paraId="7E7DEF8C" w14:textId="77777777" w:rsidR="005F267C" w:rsidRPr="009B78DA" w:rsidRDefault="005F267C" w:rsidP="00C17C6C">
            <w:pPr>
              <w:pStyle w:val="Akapitzlist"/>
              <w:numPr>
                <w:ilvl w:val="0"/>
                <w:numId w:val="1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Modernizacja linii kolejowej E30 C-E30 odcinek Kraków-Rzeszów etap III, II Faza. Zakres (linia kolejowa nr): 91</w:t>
            </w:r>
          </w:p>
          <w:p w14:paraId="405BD4BB" w14:textId="59E75DF5" w:rsidR="005F267C" w:rsidRPr="009B78DA" w:rsidRDefault="005F267C" w:rsidP="00C17C6C">
            <w:pPr>
              <w:pStyle w:val="Akapitzlist"/>
              <w:numPr>
                <w:ilvl w:val="0"/>
                <w:numId w:val="1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Modernizacja linii kolejowej nr 91 Kraków Główny Osobowy - Medyka </w:t>
            </w:r>
            <w:r w:rsidR="00A26349">
              <w:rPr>
                <w:rFonts w:ascii="Arial" w:hAnsi="Arial" w:cs="Arial"/>
                <w:color w:val="000000" w:themeColor="text1"/>
                <w:sz w:val="21"/>
                <w:szCs w:val="21"/>
              </w:rPr>
              <w:br/>
            </w:r>
            <w:r w:rsidRPr="009B78DA">
              <w:rPr>
                <w:rFonts w:ascii="Arial" w:hAnsi="Arial" w:cs="Arial"/>
                <w:color w:val="000000" w:themeColor="text1"/>
                <w:sz w:val="21"/>
                <w:szCs w:val="21"/>
              </w:rPr>
              <w:t>i linii nr 92 Przemyśl - Medyka odcinek Rzeszów-granica państwa.</w:t>
            </w:r>
          </w:p>
          <w:p w14:paraId="1DFCE1FA" w14:textId="77777777" w:rsidR="005F267C" w:rsidRPr="009B78DA" w:rsidRDefault="005F267C" w:rsidP="00C17C6C">
            <w:pPr>
              <w:pStyle w:val="Akapitzlist"/>
              <w:numPr>
                <w:ilvl w:val="0"/>
                <w:numId w:val="1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Modernizacja linii kolejowej Rzeszów - Warszawa przez Kolbuszową Zakres (linia kolejowa nr): 71</w:t>
            </w:r>
          </w:p>
          <w:p w14:paraId="0975F7B6" w14:textId="77777777" w:rsidR="005F267C" w:rsidRPr="009B78DA" w:rsidRDefault="005F267C" w:rsidP="00C17C6C">
            <w:pPr>
              <w:pStyle w:val="Akapitzlist"/>
              <w:numPr>
                <w:ilvl w:val="0"/>
                <w:numId w:val="1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Prace na linii kolejowej nr 71 Ocice – Rzeszów</w:t>
            </w:r>
          </w:p>
          <w:p w14:paraId="0DACA3F6" w14:textId="2363188C" w:rsidR="005F267C" w:rsidRPr="009B78DA" w:rsidRDefault="005F267C" w:rsidP="00C17C6C">
            <w:pPr>
              <w:pStyle w:val="Akapitzlist"/>
              <w:numPr>
                <w:ilvl w:val="0"/>
                <w:numId w:val="1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Modernizacja linii kolejowej nr 25 na odci</w:t>
            </w:r>
            <w:r w:rsidR="00B00AFA">
              <w:rPr>
                <w:rFonts w:ascii="Arial" w:hAnsi="Arial" w:cs="Arial"/>
                <w:color w:val="000000" w:themeColor="text1"/>
                <w:sz w:val="21"/>
                <w:szCs w:val="21"/>
              </w:rPr>
              <w:t>nku Skarżysko Kamienna – Ocice.</w:t>
            </w:r>
          </w:p>
          <w:p w14:paraId="281ABC7E" w14:textId="70DC09D4" w:rsidR="005F267C" w:rsidRPr="009B78DA" w:rsidRDefault="005F267C" w:rsidP="00C17C6C">
            <w:pPr>
              <w:pStyle w:val="Akapitzlist"/>
              <w:numPr>
                <w:ilvl w:val="0"/>
                <w:numId w:val="139"/>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Prace na linii kolejowej nr 108 Jasło - Nowy Zagórz wraz z elektryfikacją </w:t>
            </w:r>
          </w:p>
        </w:tc>
        <w:tc>
          <w:tcPr>
            <w:tcW w:w="1382" w:type="pct"/>
            <w:vAlign w:val="center"/>
          </w:tcPr>
          <w:p w14:paraId="24BDF58F" w14:textId="77777777" w:rsidR="005F267C" w:rsidRPr="009B78DA" w:rsidRDefault="005F267C" w:rsidP="00C17C6C">
            <w:p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Projekty krajowe:</w:t>
            </w:r>
          </w:p>
          <w:p w14:paraId="268222E0"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Modernizacji linii kolejowej nr 101 Munina – Werchrata.</w:t>
            </w:r>
          </w:p>
          <w:p w14:paraId="6980C07E"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Rewitalizacja linii kolejowej nr 108 Stróże – Krościenko.</w:t>
            </w:r>
          </w:p>
          <w:p w14:paraId="505150E6"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Prace na linii kolejowej nr 68 na odcinku Stalowa Wola Rozwadów – Przeworsk - prace przedprojektowe. </w:t>
            </w:r>
          </w:p>
          <w:p w14:paraId="5A99715A"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Budowa linii kolejowej nr 166 Dębica – Jasło.</w:t>
            </w:r>
          </w:p>
          <w:p w14:paraId="4B9E75D1"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Kompleksowa przebudowa dojazdów do terminali przeładunkowych w rejonie przejścia granicznego Medyka – Mościska na liniach nr 120, 123, 613, 614 wraz z modernizacją linii kolejowej nr 92. </w:t>
            </w:r>
          </w:p>
          <w:p w14:paraId="191AB0E3"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Przebudowa mostu w Przemyślu w ramach projektu pn. „Poprawa stanu technicznego obiektów inżynieryjnych - etap II</w:t>
            </w:r>
          </w:p>
          <w:p w14:paraId="3000C5C3"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Doprowadzenie infrastruktury kolejowej do terenów inwestycyjnych zlokalizowanych przy wschodniej obwodnicy miasta Przemyśla. </w:t>
            </w:r>
          </w:p>
          <w:p w14:paraId="28AFA6C1" w14:textId="77777777" w:rsidR="005F267C" w:rsidRPr="009B78DA" w:rsidRDefault="005F267C" w:rsidP="00C17C6C">
            <w:p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Projekty regionalne (postulowane przez region):</w:t>
            </w:r>
          </w:p>
          <w:p w14:paraId="759CF694"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Rewitalizacja linii kolejowej nr 108 na odcinku Jasło - Nowy Zagórz </w:t>
            </w:r>
          </w:p>
          <w:p w14:paraId="21AC7C03"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Rewitalizacja linii kolejowej nr 107 Nowy Zagórz – Łupków</w:t>
            </w:r>
          </w:p>
          <w:p w14:paraId="711E3676"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Rewitalizacja linii kolejowej nr 101 Munina – Hrebenne</w:t>
            </w:r>
          </w:p>
          <w:p w14:paraId="2F1C2FA0"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Budowa stacji Surochów na linii kolejowej nr 101 Munina – Hrebenne</w:t>
            </w:r>
          </w:p>
          <w:p w14:paraId="675BD02F"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Rewitalizacja linii kolejowej nr 108 na odcinku granica województwa – Jasło </w:t>
            </w:r>
          </w:p>
          <w:p w14:paraId="484E8AB8"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Prace modernizacyjne na linii kolejowej nr 102 Przemyśl - Malhowice - Granica Państwa wraz z elektryfikacją </w:t>
            </w:r>
          </w:p>
          <w:p w14:paraId="082C810D"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Rewitalizacja linii kolejowej nr 108 Gorlice – Jasło (projekt województwa małopolskiego)</w:t>
            </w:r>
          </w:p>
          <w:p w14:paraId="2E5F78C9" w14:textId="3302C16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Prace na linii kolejowej nr 25 na odcinku Padew Narodowa – Mielec</w:t>
            </w:r>
          </w:p>
          <w:p w14:paraId="1FA97F2E"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Elektryfikacja linii kolejowej nr 108 na odcinku Jasło - Nowy Zagórz </w:t>
            </w:r>
          </w:p>
          <w:p w14:paraId="4480B81D"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Budowa łącznicy kolejowej Jedlicze – Szebnie</w:t>
            </w:r>
          </w:p>
          <w:p w14:paraId="1924176A"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Elektryfikacja łącznicy kolejowej Jedlicze – Szebnie</w:t>
            </w:r>
          </w:p>
          <w:p w14:paraId="18A3000C"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Elektryfikacja linii kolejowej nr 107 Nowy Zagórz - Łupków </w:t>
            </w:r>
          </w:p>
          <w:p w14:paraId="40458B39"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Elektryfikacja linii kolejowej nr 108 na odcinku Zagórz – Krościenko </w:t>
            </w:r>
          </w:p>
          <w:p w14:paraId="46FAF2C2"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Budowa linii kolejowej nr 166 Jasło – Dębica</w:t>
            </w:r>
          </w:p>
          <w:p w14:paraId="243FC948"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Budowa obiektu na rzece San w Przemyślu na linii kolejowej nr 91.</w:t>
            </w:r>
          </w:p>
          <w:p w14:paraId="3E19899A" w14:textId="2214D5F4"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Budowa dodatkowego przystanku kolejowego na linii kolejowej nr 91 </w:t>
            </w:r>
            <w:r w:rsidR="00B00AFA">
              <w:rPr>
                <w:rFonts w:ascii="Arial" w:hAnsi="Arial" w:cs="Arial"/>
                <w:color w:val="000000" w:themeColor="text1"/>
                <w:sz w:val="21"/>
                <w:szCs w:val="21"/>
              </w:rPr>
              <w:br/>
            </w:r>
            <w:r w:rsidRPr="009B78DA">
              <w:rPr>
                <w:rFonts w:ascii="Arial" w:hAnsi="Arial" w:cs="Arial"/>
                <w:color w:val="000000" w:themeColor="text1"/>
                <w:sz w:val="21"/>
                <w:szCs w:val="21"/>
              </w:rPr>
              <w:t xml:space="preserve">w miejscowości Zawada koło Dębicy </w:t>
            </w:r>
          </w:p>
          <w:p w14:paraId="74C0A67E"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Budowa nowego przystanku/peronu, Hurko, linia kolejowa nr 91, pow. przemyski.</w:t>
            </w:r>
          </w:p>
          <w:p w14:paraId="1DC02FE7"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Budowa nowego przystanku/peronu, Gorliczyna koło Przeworska, linia kolejowa nr 91, pow. przeworski.</w:t>
            </w:r>
          </w:p>
          <w:p w14:paraId="70FA7BC5"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Budowa nowego przystanku/ peronu, Przemyśl, linia kolejowa nr 91, pow. m. Przemyśl.</w:t>
            </w:r>
          </w:p>
          <w:p w14:paraId="546B2003"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Budowa nowego przystanku/ peronu, Strzyżów Zachód, linia kolejowa nr 106, pow. strzyżowski. </w:t>
            </w:r>
          </w:p>
          <w:p w14:paraId="2CB7FF36"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Modernizacja przystanku/peronu, Żurawica, linia kolejowa nr 91, pow. przemyski.</w:t>
            </w:r>
          </w:p>
          <w:p w14:paraId="29C69894"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Budowa nowego przystanku/peronu, Mielec EURO-PARK, linia kolejowa nr 25, pow. mielecki.</w:t>
            </w:r>
          </w:p>
          <w:p w14:paraId="42D83710"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Budowa nowego przystanku/peronu Zagórz Przemysłowy</w:t>
            </w:r>
          </w:p>
          <w:p w14:paraId="7BC53DB8" w14:textId="70FF5F51"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 xml:space="preserve">Bezemisyjny tabor kolejowy wyposażony w odpowiednie urządzenia ERTMS - wykorzystywany w przewozach pasażerskich lub intermodalnych o charakterze regionalnym (elektryczny lub wodorowy), w tym miejskich, podmiejskich oraz aglomeracyjnych </w:t>
            </w:r>
            <w:r w:rsidR="00B00AFA">
              <w:rPr>
                <w:rFonts w:ascii="Arial" w:hAnsi="Arial" w:cs="Arial"/>
                <w:color w:val="000000" w:themeColor="text1"/>
                <w:sz w:val="21"/>
                <w:szCs w:val="21"/>
              </w:rPr>
              <w:br/>
            </w:r>
            <w:r w:rsidRPr="009B78DA">
              <w:rPr>
                <w:rFonts w:ascii="Arial" w:hAnsi="Arial" w:cs="Arial"/>
                <w:color w:val="000000" w:themeColor="text1"/>
                <w:sz w:val="21"/>
                <w:szCs w:val="21"/>
              </w:rPr>
              <w:t>(z możliwością obsługi połączeń wychodzących poza obszar województwa),</w:t>
            </w:r>
          </w:p>
          <w:p w14:paraId="58DDC509"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Budowa / rozbudowa bazy utrzymaniowo – naprawczej taboru kolejowego,</w:t>
            </w:r>
          </w:p>
          <w:p w14:paraId="4EDCDA96" w14:textId="77777777" w:rsidR="005F267C" w:rsidRPr="009B78DA" w:rsidRDefault="005F267C" w:rsidP="00C17C6C">
            <w:pPr>
              <w:pStyle w:val="Akapitzlist"/>
              <w:numPr>
                <w:ilvl w:val="0"/>
                <w:numId w:val="140"/>
              </w:numPr>
              <w:spacing w:line="276" w:lineRule="auto"/>
              <w:ind w:left="357" w:hanging="357"/>
              <w:rPr>
                <w:rFonts w:ascii="Arial" w:hAnsi="Arial" w:cs="Arial"/>
                <w:color w:val="000000" w:themeColor="text1"/>
                <w:sz w:val="21"/>
                <w:szCs w:val="21"/>
              </w:rPr>
            </w:pPr>
            <w:r w:rsidRPr="009B78DA">
              <w:rPr>
                <w:rFonts w:ascii="Arial" w:hAnsi="Arial" w:cs="Arial"/>
                <w:color w:val="000000" w:themeColor="text1"/>
                <w:sz w:val="21"/>
                <w:szCs w:val="21"/>
              </w:rPr>
              <w:t>Rozwiązania cyfrowe (ITS, systemy organizacji przewozów, biletomaty, systemy informacji pasażerskiej, aplikacje planowania podróży, rezerwacji i zakupu biletów, systemy dla transportu intermodalnego),</w:t>
            </w:r>
          </w:p>
        </w:tc>
        <w:tc>
          <w:tcPr>
            <w:tcW w:w="1685" w:type="pct"/>
            <w:vAlign w:val="center"/>
          </w:tcPr>
          <w:p w14:paraId="09BA910D" w14:textId="77777777" w:rsidR="005F267C" w:rsidRPr="009B78DA" w:rsidRDefault="005F267C" w:rsidP="00C17C6C">
            <w:pPr>
              <w:pStyle w:val="Akapitzlist"/>
              <w:numPr>
                <w:ilvl w:val="0"/>
                <w:numId w:val="141"/>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Rzeszowski Obszar Funkcjonalny</w:t>
            </w:r>
          </w:p>
          <w:p w14:paraId="555B4A0E" w14:textId="77777777" w:rsidR="005F267C" w:rsidRPr="009B78DA" w:rsidRDefault="005F267C" w:rsidP="00C17C6C">
            <w:pPr>
              <w:pStyle w:val="Akapitzlist"/>
              <w:numPr>
                <w:ilvl w:val="0"/>
                <w:numId w:val="142"/>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Inwestycje dotyczące wzmacniania i rozbudowy Podmiejskiej Kolei Aglomeracyjnej – PKA. Zakres (linie kolejowe nr): 91, 71, 106, 626. </w:t>
            </w:r>
          </w:p>
          <w:p w14:paraId="2A34ECFB" w14:textId="77777777" w:rsidR="005F267C" w:rsidRPr="009B78DA" w:rsidRDefault="005F267C" w:rsidP="00C17C6C">
            <w:pPr>
              <w:pStyle w:val="Akapitzlist"/>
              <w:numPr>
                <w:ilvl w:val="0"/>
                <w:numId w:val="142"/>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Przemyśl</w:t>
            </w:r>
          </w:p>
          <w:p w14:paraId="4B741041" w14:textId="511B608F" w:rsidR="005F267C" w:rsidRPr="009B78DA" w:rsidRDefault="005F267C" w:rsidP="00C17C6C">
            <w:pPr>
              <w:pStyle w:val="Akapitzlist"/>
              <w:numPr>
                <w:ilvl w:val="0"/>
                <w:numId w:val="143"/>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Wzmocnienie znaczenia dla dostępności całego obszaru funkcjonalnego linii kolejowej nr 91 (E30) relacji Kraków – Rzeszów – Medyka, która w znacznym stopniu ułatwia komunikację głównie w gminach Orły </w:t>
            </w:r>
            <w:r w:rsidR="00B00AFA">
              <w:rPr>
                <w:rFonts w:ascii="Arial" w:hAnsi="Arial" w:cs="Arial"/>
                <w:color w:val="000000" w:themeColor="text1"/>
                <w:sz w:val="21"/>
                <w:szCs w:val="21"/>
              </w:rPr>
              <w:br/>
            </w:r>
            <w:r w:rsidRPr="009B78DA">
              <w:rPr>
                <w:rFonts w:ascii="Arial" w:hAnsi="Arial" w:cs="Arial"/>
                <w:color w:val="000000" w:themeColor="text1"/>
                <w:sz w:val="21"/>
                <w:szCs w:val="21"/>
              </w:rPr>
              <w:t>i Żurawica w powiązaniu z ośrodkiem centralnym.</w:t>
            </w:r>
          </w:p>
          <w:p w14:paraId="3EA07ADC" w14:textId="77777777" w:rsidR="005F267C" w:rsidRPr="009B78DA" w:rsidRDefault="005F267C" w:rsidP="00C17C6C">
            <w:pPr>
              <w:pStyle w:val="Akapitzlist"/>
              <w:numPr>
                <w:ilvl w:val="0"/>
                <w:numId w:val="142"/>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Krosno</w:t>
            </w:r>
          </w:p>
          <w:p w14:paraId="2D961D52" w14:textId="77777777" w:rsidR="005F267C" w:rsidRPr="009B78DA" w:rsidRDefault="005F267C" w:rsidP="00C17C6C">
            <w:pPr>
              <w:pStyle w:val="Akapitzlist"/>
              <w:numPr>
                <w:ilvl w:val="0"/>
                <w:numId w:val="14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stosunkowo niskiej dostępności kolejowej obszaru funkcjonalnego Krosna</w:t>
            </w:r>
          </w:p>
          <w:p w14:paraId="72EF8CA2" w14:textId="77777777" w:rsidR="005F267C" w:rsidRPr="009B78DA" w:rsidRDefault="005F267C" w:rsidP="00C17C6C">
            <w:pPr>
              <w:pStyle w:val="Akapitzlist"/>
              <w:numPr>
                <w:ilvl w:val="0"/>
                <w:numId w:val="14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niezelektryfikowanej linii kolejowej nr 108 łączącej z rdzeniem obszaru dwie sąsiednie gminy – Jedlicze i Miejsce Piastowe</w:t>
            </w:r>
          </w:p>
          <w:p w14:paraId="6AF30561" w14:textId="77777777" w:rsidR="005F267C" w:rsidRPr="009B78DA" w:rsidRDefault="005F267C" w:rsidP="00C17C6C">
            <w:pPr>
              <w:pStyle w:val="Akapitzlist"/>
              <w:numPr>
                <w:ilvl w:val="0"/>
                <w:numId w:val="14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łącznicy kolejowej Jedlicze -Szebnie, łączącej linie 106 i 108</w:t>
            </w:r>
          </w:p>
          <w:p w14:paraId="0822550D" w14:textId="77777777" w:rsidR="005F267C" w:rsidRPr="009B78DA" w:rsidRDefault="005F267C" w:rsidP="00C17C6C">
            <w:pPr>
              <w:pStyle w:val="Akapitzlist"/>
              <w:numPr>
                <w:ilvl w:val="0"/>
                <w:numId w:val="14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Likwidacja problemów komunikacyjnych na skrzyżowaniach układu drogowego z linią kolejową nr 108 na terenie miasta Krosna.</w:t>
            </w:r>
          </w:p>
          <w:p w14:paraId="28257C1C" w14:textId="77777777" w:rsidR="005F267C" w:rsidRPr="009B78DA" w:rsidRDefault="005F267C" w:rsidP="00C17C6C">
            <w:pPr>
              <w:pStyle w:val="Akapitzlist"/>
              <w:numPr>
                <w:ilvl w:val="0"/>
                <w:numId w:val="142"/>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Jasła</w:t>
            </w:r>
          </w:p>
          <w:p w14:paraId="41171457" w14:textId="77777777" w:rsidR="005F267C" w:rsidRPr="009B78DA" w:rsidRDefault="005F267C" w:rsidP="00C17C6C">
            <w:pPr>
              <w:pStyle w:val="Akapitzlist"/>
              <w:numPr>
                <w:ilvl w:val="0"/>
                <w:numId w:val="145"/>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i budowa nowych odcinków linii 106, na obszarze funkcjonalnym, szczególnie w kierunku stolicy województwa.</w:t>
            </w:r>
          </w:p>
          <w:p w14:paraId="2D74231A" w14:textId="77777777" w:rsidR="005F267C" w:rsidRPr="009B78DA" w:rsidRDefault="005F267C" w:rsidP="00C17C6C">
            <w:pPr>
              <w:pStyle w:val="Akapitzlist"/>
              <w:numPr>
                <w:ilvl w:val="0"/>
                <w:numId w:val="142"/>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Tarnobrzeg</w:t>
            </w:r>
          </w:p>
          <w:p w14:paraId="5B735996" w14:textId="77777777" w:rsidR="005F267C" w:rsidRPr="009B78DA" w:rsidRDefault="005F267C" w:rsidP="00C17C6C">
            <w:pPr>
              <w:pStyle w:val="Akapitzlist"/>
              <w:numPr>
                <w:ilvl w:val="0"/>
                <w:numId w:val="14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dla linii kolejowych:</w:t>
            </w:r>
          </w:p>
          <w:p w14:paraId="7340B1B8" w14:textId="77777777" w:rsidR="005F267C" w:rsidRPr="009B78DA" w:rsidRDefault="005F267C" w:rsidP="00C17C6C">
            <w:pPr>
              <w:pStyle w:val="Akapitzlist"/>
              <w:numPr>
                <w:ilvl w:val="0"/>
                <w:numId w:val="147"/>
              </w:numPr>
              <w:spacing w:line="276" w:lineRule="auto"/>
              <w:ind w:left="794" w:hanging="227"/>
              <w:rPr>
                <w:rFonts w:ascii="Arial" w:hAnsi="Arial" w:cs="Arial"/>
                <w:color w:val="000000" w:themeColor="text1"/>
                <w:sz w:val="21"/>
                <w:szCs w:val="21"/>
              </w:rPr>
            </w:pPr>
            <w:r w:rsidRPr="009B78DA">
              <w:rPr>
                <w:rFonts w:ascii="Arial" w:hAnsi="Arial" w:cs="Arial"/>
                <w:color w:val="000000" w:themeColor="text1"/>
                <w:sz w:val="21"/>
                <w:szCs w:val="21"/>
              </w:rPr>
              <w:t>74 – w kierunku Stalowej Woli;</w:t>
            </w:r>
          </w:p>
          <w:p w14:paraId="13EEE512" w14:textId="77777777" w:rsidR="005F267C" w:rsidRPr="009B78DA" w:rsidRDefault="005F267C" w:rsidP="00C17C6C">
            <w:pPr>
              <w:pStyle w:val="Akapitzlist"/>
              <w:numPr>
                <w:ilvl w:val="0"/>
                <w:numId w:val="147"/>
              </w:numPr>
              <w:spacing w:line="276" w:lineRule="auto"/>
              <w:ind w:left="794" w:hanging="227"/>
              <w:rPr>
                <w:rFonts w:ascii="Arial" w:hAnsi="Arial" w:cs="Arial"/>
                <w:color w:val="000000" w:themeColor="text1"/>
                <w:sz w:val="21"/>
                <w:szCs w:val="21"/>
              </w:rPr>
            </w:pPr>
            <w:r w:rsidRPr="009B78DA">
              <w:rPr>
                <w:rFonts w:ascii="Arial" w:hAnsi="Arial" w:cs="Arial"/>
                <w:color w:val="000000" w:themeColor="text1"/>
                <w:sz w:val="21"/>
                <w:szCs w:val="21"/>
              </w:rPr>
              <w:t>78 – w kierunku Sandomierza;</w:t>
            </w:r>
          </w:p>
          <w:p w14:paraId="4ED69584" w14:textId="0C396BAF" w:rsidR="005F267C" w:rsidRPr="009B78DA" w:rsidRDefault="005F267C" w:rsidP="00C17C6C">
            <w:pPr>
              <w:pStyle w:val="Akapitzlist"/>
              <w:numPr>
                <w:ilvl w:val="0"/>
                <w:numId w:val="147"/>
              </w:numPr>
              <w:spacing w:line="276" w:lineRule="auto"/>
              <w:ind w:left="794" w:hanging="227"/>
              <w:rPr>
                <w:rFonts w:ascii="Arial" w:hAnsi="Arial" w:cs="Arial"/>
                <w:color w:val="000000" w:themeColor="text1"/>
                <w:sz w:val="21"/>
                <w:szCs w:val="21"/>
              </w:rPr>
            </w:pPr>
            <w:r w:rsidRPr="009B78DA">
              <w:rPr>
                <w:rFonts w:ascii="Arial" w:hAnsi="Arial" w:cs="Arial"/>
                <w:color w:val="000000" w:themeColor="text1"/>
                <w:sz w:val="21"/>
                <w:szCs w:val="21"/>
              </w:rPr>
              <w:t xml:space="preserve">25 – stwarzająca relacje między gminami: Nowa Dęba, Baranów Sandomierski, </w:t>
            </w:r>
            <w:r w:rsidR="00A26349">
              <w:rPr>
                <w:rFonts w:ascii="Arial" w:hAnsi="Arial" w:cs="Arial"/>
                <w:color w:val="000000" w:themeColor="text1"/>
                <w:sz w:val="21"/>
                <w:szCs w:val="21"/>
              </w:rPr>
              <w:br/>
            </w:r>
            <w:r w:rsidRPr="009B78DA">
              <w:rPr>
                <w:rFonts w:ascii="Arial" w:hAnsi="Arial" w:cs="Arial"/>
                <w:color w:val="000000" w:themeColor="text1"/>
                <w:sz w:val="21"/>
                <w:szCs w:val="21"/>
              </w:rPr>
              <w:t>a rdzeniem obszaru;</w:t>
            </w:r>
          </w:p>
          <w:p w14:paraId="1932C8B7" w14:textId="77777777" w:rsidR="005F267C" w:rsidRPr="009B78DA" w:rsidRDefault="005F267C" w:rsidP="00C17C6C">
            <w:pPr>
              <w:pStyle w:val="Akapitzlist"/>
              <w:numPr>
                <w:ilvl w:val="0"/>
                <w:numId w:val="147"/>
              </w:numPr>
              <w:spacing w:line="276" w:lineRule="auto"/>
              <w:ind w:left="794" w:hanging="227"/>
              <w:rPr>
                <w:rFonts w:ascii="Arial" w:hAnsi="Arial" w:cs="Arial"/>
                <w:color w:val="000000" w:themeColor="text1"/>
                <w:sz w:val="21"/>
                <w:szCs w:val="21"/>
              </w:rPr>
            </w:pPr>
            <w:r w:rsidRPr="009B78DA">
              <w:rPr>
                <w:rFonts w:ascii="Arial" w:hAnsi="Arial" w:cs="Arial"/>
                <w:color w:val="000000" w:themeColor="text1"/>
                <w:sz w:val="21"/>
                <w:szCs w:val="21"/>
              </w:rPr>
              <w:t>70 – w kierunku woj. świętokrzyskiego;</w:t>
            </w:r>
          </w:p>
          <w:p w14:paraId="4C4ACD33" w14:textId="77777777" w:rsidR="005F267C" w:rsidRPr="009B78DA" w:rsidRDefault="005F267C" w:rsidP="00C17C6C">
            <w:pPr>
              <w:pStyle w:val="Akapitzlist"/>
              <w:numPr>
                <w:ilvl w:val="0"/>
                <w:numId w:val="147"/>
              </w:numPr>
              <w:spacing w:line="276" w:lineRule="auto"/>
              <w:ind w:left="794" w:hanging="227"/>
              <w:rPr>
                <w:rFonts w:ascii="Arial" w:hAnsi="Arial" w:cs="Arial"/>
                <w:color w:val="000000" w:themeColor="text1"/>
                <w:sz w:val="21"/>
                <w:szCs w:val="21"/>
              </w:rPr>
            </w:pPr>
            <w:r w:rsidRPr="009B78DA">
              <w:rPr>
                <w:rFonts w:ascii="Arial" w:hAnsi="Arial" w:cs="Arial"/>
                <w:color w:val="000000" w:themeColor="text1"/>
                <w:sz w:val="21"/>
                <w:szCs w:val="21"/>
              </w:rPr>
              <w:t>71 – istotna pod kątem relacji wewnątrz strefy zewnętrznej obszaru funkcjonalnego, łącząca gminę Nowa Dęba z rdzeniem;</w:t>
            </w:r>
          </w:p>
          <w:p w14:paraId="6CAF0A9F" w14:textId="77777777" w:rsidR="005F267C" w:rsidRPr="009B78DA" w:rsidRDefault="005F267C" w:rsidP="00C17C6C">
            <w:pPr>
              <w:pStyle w:val="Akapitzlist"/>
              <w:numPr>
                <w:ilvl w:val="0"/>
                <w:numId w:val="146"/>
              </w:numPr>
              <w:spacing w:line="276" w:lineRule="auto"/>
              <w:rPr>
                <w:rFonts w:ascii="Arial" w:hAnsi="Arial" w:cs="Arial"/>
                <w:color w:val="000000" w:themeColor="text1"/>
                <w:sz w:val="21"/>
                <w:szCs w:val="21"/>
              </w:rPr>
            </w:pPr>
            <w:r w:rsidRPr="009B78DA">
              <w:rPr>
                <w:rFonts w:ascii="Arial" w:hAnsi="Arial" w:cs="Arial"/>
                <w:color w:val="000000" w:themeColor="text1"/>
                <w:sz w:val="22"/>
                <w:szCs w:val="22"/>
              </w:rPr>
              <w:t>Układ linii kolejowych w północnej części województwa stwarza możliwość rozwoju kolei łączącej obszar inicjatywy Czwórmiasta.</w:t>
            </w:r>
          </w:p>
          <w:p w14:paraId="12376196" w14:textId="77777777" w:rsidR="005F267C" w:rsidRPr="009B78DA" w:rsidRDefault="005F267C" w:rsidP="00C17C6C">
            <w:pPr>
              <w:pStyle w:val="Akapitzlist"/>
              <w:numPr>
                <w:ilvl w:val="0"/>
                <w:numId w:val="142"/>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Stalowa Wola</w:t>
            </w:r>
          </w:p>
          <w:p w14:paraId="71A779A7" w14:textId="77777777" w:rsidR="005F267C" w:rsidRPr="009B78DA" w:rsidRDefault="005F267C" w:rsidP="00C17C6C">
            <w:pPr>
              <w:pStyle w:val="Akapitzlist"/>
              <w:numPr>
                <w:ilvl w:val="0"/>
                <w:numId w:val="148"/>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na terenie obszaru funkcjonalnego Stalowej Woli czterokierunkowego węzła kolejowego (linia 74 oraz 68 - łącząca gminy strefy zewnętrznej obszaru, a także linia 66 oraz 65 – fragment Linii Hutniczej Szerokotorowej w układzie równoleżnikowym).</w:t>
            </w:r>
          </w:p>
          <w:p w14:paraId="40F2E46B" w14:textId="77777777" w:rsidR="005F267C" w:rsidRPr="009B78DA" w:rsidRDefault="005F267C" w:rsidP="00C17C6C">
            <w:pPr>
              <w:pStyle w:val="Akapitzlist"/>
              <w:numPr>
                <w:ilvl w:val="0"/>
                <w:numId w:val="148"/>
              </w:numPr>
              <w:spacing w:line="276" w:lineRule="auto"/>
              <w:rPr>
                <w:rFonts w:ascii="Arial" w:hAnsi="Arial" w:cs="Arial"/>
                <w:color w:val="000000" w:themeColor="text1"/>
                <w:sz w:val="21"/>
                <w:szCs w:val="21"/>
              </w:rPr>
            </w:pPr>
            <w:r w:rsidRPr="009B78DA">
              <w:rPr>
                <w:rFonts w:ascii="Arial" w:hAnsi="Arial" w:cs="Arial"/>
                <w:color w:val="000000" w:themeColor="text1"/>
                <w:sz w:val="22"/>
                <w:szCs w:val="22"/>
              </w:rPr>
              <w:t>Układ linii kolejowych w północnej części województwa stwarza możliwość rozwoju kolei łączącej obszar inicjatywy Czwórmiasta.</w:t>
            </w:r>
          </w:p>
          <w:p w14:paraId="4131B450" w14:textId="77777777" w:rsidR="005F267C" w:rsidRPr="009B78DA" w:rsidRDefault="005F267C" w:rsidP="00C17C6C">
            <w:pPr>
              <w:pStyle w:val="Akapitzlist"/>
              <w:numPr>
                <w:ilvl w:val="0"/>
                <w:numId w:val="142"/>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Lubaczowa</w:t>
            </w:r>
          </w:p>
          <w:p w14:paraId="2ADF39EE" w14:textId="77777777" w:rsidR="005F267C" w:rsidRPr="009B78DA" w:rsidRDefault="005F267C" w:rsidP="00C17C6C">
            <w:pPr>
              <w:pStyle w:val="Akapitzlist"/>
              <w:numPr>
                <w:ilvl w:val="0"/>
                <w:numId w:val="14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Wsparcie przebiegającej przez rdzeń obszaru funkcjonalnego Lubaczów w kierunku północno-wschodnim linii kolejowej nr 101</w:t>
            </w:r>
          </w:p>
          <w:p w14:paraId="50BE2345" w14:textId="77777777" w:rsidR="005F267C" w:rsidRPr="009B78DA" w:rsidRDefault="005F267C" w:rsidP="00C17C6C">
            <w:pPr>
              <w:pStyle w:val="Akapitzlist"/>
              <w:numPr>
                <w:ilvl w:val="0"/>
                <w:numId w:val="142"/>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Mielec</w:t>
            </w:r>
          </w:p>
          <w:p w14:paraId="295BF6AB" w14:textId="77777777" w:rsidR="005F267C" w:rsidRPr="009B78DA" w:rsidRDefault="005F267C" w:rsidP="00C17C6C">
            <w:pPr>
              <w:pStyle w:val="Akapitzlist"/>
              <w:numPr>
                <w:ilvl w:val="0"/>
                <w:numId w:val="15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Rewitalizacja linii kolejowej nr 25 na obszarze funkcjonalnym, w kierunku na Dębice oraz na Padew Narodową.</w:t>
            </w:r>
          </w:p>
          <w:p w14:paraId="4812C77A" w14:textId="77777777" w:rsidR="005F267C" w:rsidRPr="009B78DA" w:rsidRDefault="005F267C" w:rsidP="00C17C6C">
            <w:pPr>
              <w:pStyle w:val="Akapitzlist"/>
              <w:numPr>
                <w:ilvl w:val="0"/>
                <w:numId w:val="142"/>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Dębica-Ropczyce</w:t>
            </w:r>
          </w:p>
          <w:p w14:paraId="137B667E" w14:textId="6B417077" w:rsidR="005F267C" w:rsidRPr="009B78DA" w:rsidRDefault="005F267C" w:rsidP="00C17C6C">
            <w:pPr>
              <w:pStyle w:val="Akapitzlist"/>
              <w:numPr>
                <w:ilvl w:val="0"/>
                <w:numId w:val="289"/>
              </w:numPr>
              <w:spacing w:line="276" w:lineRule="auto"/>
              <w:rPr>
                <w:rFonts w:ascii="Arial" w:hAnsi="Arial" w:cs="Arial"/>
                <w:b/>
                <w:color w:val="000000" w:themeColor="text1"/>
                <w:sz w:val="21"/>
                <w:szCs w:val="21"/>
              </w:rPr>
            </w:pPr>
            <w:r w:rsidRPr="009B78DA">
              <w:rPr>
                <w:rFonts w:ascii="Arial" w:hAnsi="Arial" w:cs="Arial"/>
                <w:color w:val="000000" w:themeColor="text1"/>
                <w:sz w:val="21"/>
                <w:szCs w:val="21"/>
              </w:rPr>
              <w:t xml:space="preserve">Inwestycje dotyczące wzmacniania </w:t>
            </w:r>
            <w:r w:rsidR="00B00AFA">
              <w:rPr>
                <w:rFonts w:ascii="Arial" w:hAnsi="Arial" w:cs="Arial"/>
                <w:color w:val="000000" w:themeColor="text1"/>
                <w:sz w:val="21"/>
                <w:szCs w:val="21"/>
              </w:rPr>
              <w:br/>
            </w:r>
            <w:r w:rsidRPr="009B78DA">
              <w:rPr>
                <w:rFonts w:ascii="Arial" w:hAnsi="Arial" w:cs="Arial"/>
                <w:color w:val="000000" w:themeColor="text1"/>
                <w:sz w:val="21"/>
                <w:szCs w:val="21"/>
              </w:rPr>
              <w:t>i rozbudowy Podmiejskiej Kolei Aglomeracyjnej – PKA. Zakres (linie kolejowe nr): 91, 71, 106, 626.</w:t>
            </w:r>
          </w:p>
          <w:p w14:paraId="0017BB15" w14:textId="77777777" w:rsidR="005F267C" w:rsidRPr="009B78DA" w:rsidRDefault="005F267C" w:rsidP="00C17C6C">
            <w:pPr>
              <w:pStyle w:val="Akapitzlist"/>
              <w:numPr>
                <w:ilvl w:val="0"/>
                <w:numId w:val="290"/>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Jarosław-Przeworsk</w:t>
            </w:r>
          </w:p>
          <w:p w14:paraId="2970B6CC" w14:textId="1468B4C8" w:rsidR="005F267C" w:rsidRPr="009B78DA" w:rsidRDefault="005F267C" w:rsidP="00C17C6C">
            <w:pPr>
              <w:pStyle w:val="Akapitzlist"/>
              <w:numPr>
                <w:ilvl w:val="0"/>
                <w:numId w:val="151"/>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Inwestycje dotyczące wzmacniania </w:t>
            </w:r>
            <w:r w:rsidR="00B00AFA">
              <w:rPr>
                <w:rFonts w:ascii="Arial" w:hAnsi="Arial" w:cs="Arial"/>
                <w:color w:val="000000" w:themeColor="text1"/>
                <w:sz w:val="21"/>
                <w:szCs w:val="21"/>
              </w:rPr>
              <w:br/>
            </w:r>
            <w:r w:rsidRPr="009B78DA">
              <w:rPr>
                <w:rFonts w:ascii="Arial" w:hAnsi="Arial" w:cs="Arial"/>
                <w:color w:val="000000" w:themeColor="text1"/>
                <w:sz w:val="21"/>
                <w:szCs w:val="21"/>
              </w:rPr>
              <w:t>i rozbudowy Podmiejskiej Kolei Aglomeracyjnej – PKA. Zakres (linie kolejowe nr): 91, 71, 106, 626.</w:t>
            </w:r>
          </w:p>
          <w:p w14:paraId="6421835B" w14:textId="77777777" w:rsidR="005F267C" w:rsidRPr="009B78DA" w:rsidRDefault="005F267C" w:rsidP="00C17C6C">
            <w:pPr>
              <w:pStyle w:val="Akapitzlist"/>
              <w:numPr>
                <w:ilvl w:val="0"/>
                <w:numId w:val="151"/>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ważnego elementu funkcjonowania obszaru funkcjonalnego jakim jest linia nr 91 (E30) </w:t>
            </w:r>
          </w:p>
          <w:p w14:paraId="74B919F7" w14:textId="77777777" w:rsidR="005F267C" w:rsidRPr="009B78DA" w:rsidRDefault="005F267C" w:rsidP="00C17C6C">
            <w:pPr>
              <w:pStyle w:val="Akapitzlist"/>
              <w:numPr>
                <w:ilvl w:val="0"/>
                <w:numId w:val="290"/>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Sanok-Lesko</w:t>
            </w:r>
          </w:p>
          <w:p w14:paraId="7C2605BF" w14:textId="77777777" w:rsidR="005F267C" w:rsidRPr="009B78DA" w:rsidRDefault="005F267C" w:rsidP="00C17C6C">
            <w:pPr>
              <w:pStyle w:val="Akapitzlist"/>
              <w:numPr>
                <w:ilvl w:val="0"/>
                <w:numId w:val="152"/>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transportu kolejowego w obrębie obszaru funkcjonalnego w ramach:</w:t>
            </w:r>
          </w:p>
          <w:p w14:paraId="59B77BAD" w14:textId="3E35BFB5" w:rsidR="005F267C" w:rsidRPr="009B78DA" w:rsidRDefault="005F267C" w:rsidP="00C17C6C">
            <w:pPr>
              <w:pStyle w:val="Akapitzlist"/>
              <w:numPr>
                <w:ilvl w:val="0"/>
                <w:numId w:val="153"/>
              </w:numPr>
              <w:spacing w:line="276" w:lineRule="auto"/>
              <w:ind w:left="924" w:hanging="357"/>
              <w:rPr>
                <w:rFonts w:ascii="Arial" w:hAnsi="Arial" w:cs="Arial"/>
                <w:color w:val="000000" w:themeColor="text1"/>
                <w:sz w:val="21"/>
                <w:szCs w:val="21"/>
              </w:rPr>
            </w:pPr>
            <w:r w:rsidRPr="009B78DA">
              <w:rPr>
                <w:rFonts w:ascii="Arial" w:hAnsi="Arial" w:cs="Arial"/>
                <w:color w:val="000000" w:themeColor="text1"/>
                <w:sz w:val="21"/>
                <w:szCs w:val="21"/>
              </w:rPr>
              <w:t xml:space="preserve">linii 108 – połączenie rdzenia w Sanoku </w:t>
            </w:r>
            <w:r w:rsidR="00B00AFA">
              <w:rPr>
                <w:rFonts w:ascii="Arial" w:hAnsi="Arial" w:cs="Arial"/>
                <w:color w:val="000000" w:themeColor="text1"/>
                <w:sz w:val="21"/>
                <w:szCs w:val="21"/>
              </w:rPr>
              <w:br/>
            </w:r>
            <w:r w:rsidRPr="009B78DA">
              <w:rPr>
                <w:rFonts w:ascii="Arial" w:hAnsi="Arial" w:cs="Arial"/>
                <w:color w:val="000000" w:themeColor="text1"/>
                <w:sz w:val="21"/>
                <w:szCs w:val="21"/>
              </w:rPr>
              <w:t xml:space="preserve">z Krosnem w kierunku zachodnim oraz przejściem granicznym w Krościenku </w:t>
            </w:r>
            <w:r w:rsidR="00B00AFA">
              <w:rPr>
                <w:rFonts w:ascii="Arial" w:hAnsi="Arial" w:cs="Arial"/>
                <w:color w:val="000000" w:themeColor="text1"/>
                <w:sz w:val="21"/>
                <w:szCs w:val="21"/>
              </w:rPr>
              <w:br/>
            </w:r>
            <w:r w:rsidRPr="009B78DA">
              <w:rPr>
                <w:rFonts w:ascii="Arial" w:hAnsi="Arial" w:cs="Arial"/>
                <w:color w:val="000000" w:themeColor="text1"/>
                <w:sz w:val="21"/>
                <w:szCs w:val="21"/>
              </w:rPr>
              <w:t>w stronę wschodnią.</w:t>
            </w:r>
          </w:p>
        </w:tc>
      </w:tr>
      <w:tr w:rsidR="005F267C" w:rsidRPr="009B78DA" w14:paraId="42D93A71" w14:textId="77777777" w:rsidTr="00C17C6C">
        <w:tc>
          <w:tcPr>
            <w:tcW w:w="551" w:type="pct"/>
            <w:vAlign w:val="center"/>
          </w:tcPr>
          <w:p w14:paraId="695C861E" w14:textId="77777777" w:rsidR="005F267C" w:rsidRPr="009B78DA" w:rsidRDefault="005F267C" w:rsidP="00C17C6C">
            <w:p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 xml:space="preserve">Kolejowy/ </w:t>
            </w:r>
            <w:r w:rsidRPr="009B78DA">
              <w:rPr>
                <w:rFonts w:ascii="Arial" w:hAnsi="Arial" w:cs="Arial"/>
                <w:b/>
                <w:color w:val="000000" w:themeColor="text1"/>
                <w:sz w:val="21"/>
                <w:szCs w:val="21"/>
              </w:rPr>
              <w:br/>
              <w:t>Priorytet B</w:t>
            </w:r>
          </w:p>
        </w:tc>
        <w:tc>
          <w:tcPr>
            <w:tcW w:w="1382" w:type="pct"/>
            <w:vAlign w:val="center"/>
          </w:tcPr>
          <w:p w14:paraId="1D922E9A" w14:textId="77777777" w:rsidR="005F267C" w:rsidRPr="009B78DA" w:rsidRDefault="005F267C" w:rsidP="00C17C6C">
            <w:p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Projekty krajowe:</w:t>
            </w:r>
          </w:p>
          <w:p w14:paraId="0C128D89" w14:textId="2216715A"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Dokumentacja przedprojektowa dla projektu pn. Prace na linii kolejowej nr 25,74,78 na odcinku Stalowa Wola-Tarnobr</w:t>
            </w:r>
            <w:r w:rsidR="00B00AFA">
              <w:rPr>
                <w:rFonts w:ascii="Arial" w:hAnsi="Arial" w:cs="Arial"/>
                <w:color w:val="000000" w:themeColor="text1"/>
                <w:sz w:val="21"/>
                <w:szCs w:val="21"/>
              </w:rPr>
              <w:t>zeg - Sandomierz-Ocice – Padew.</w:t>
            </w:r>
          </w:p>
          <w:p w14:paraId="3ECC6E1A" w14:textId="77777777"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Prace Inwestycyjne na przejściu granicznym Medyka - Mościska II Zakres (linie kolejowe nr): 120, 121, 123, 613</w:t>
            </w:r>
          </w:p>
          <w:p w14:paraId="43A8B12A" w14:textId="77777777"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Prace Inwestycyjne na przejściu granicznym Werchrata- Rawa Ruska, Zakres (linia kolejowa nr): 116.</w:t>
            </w:r>
          </w:p>
          <w:p w14:paraId="39A16A4E" w14:textId="52EDC043"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Prace na liniach kolejowych nr 68, 565 na odcinku Lublin – Stalowa Wola Rozwadów wraz </w:t>
            </w:r>
            <w:r w:rsidR="00B00AFA">
              <w:rPr>
                <w:rFonts w:ascii="Arial" w:hAnsi="Arial" w:cs="Arial"/>
                <w:color w:val="000000" w:themeColor="text1"/>
                <w:sz w:val="21"/>
                <w:szCs w:val="21"/>
              </w:rPr>
              <w:br/>
              <w:t>z elektryfikacją.</w:t>
            </w:r>
          </w:p>
          <w:p w14:paraId="00780835" w14:textId="77777777"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Prace na liniach kolejowych nr 25, 74, 78 na odcinku Stalowa Wola - Tarnobrzeg - Sandomierz - Ocice – Padew</w:t>
            </w:r>
          </w:p>
          <w:p w14:paraId="17DF92E0" w14:textId="77777777"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Prace na linii kolejowej nr 68 na odcinku Stalowa Wola Rozwadów – Przeworsk</w:t>
            </w:r>
          </w:p>
          <w:p w14:paraId="77126900" w14:textId="77777777"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Prace na ciągu E 30 - linie kolejowe nr 91 i 92 na odcinku Rzeszów - Medyka (granica państwa)</w:t>
            </w:r>
          </w:p>
          <w:p w14:paraId="1853113D" w14:textId="77777777"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Budowa linii Stary Garbów – Zbydniów – prace przygotowawcze </w:t>
            </w:r>
          </w:p>
          <w:p w14:paraId="45C90024" w14:textId="659B4663"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Prace na linii kolejowej nr 106 Rzeszów - Jasło wraz </w:t>
            </w:r>
            <w:r w:rsidR="00B00AFA">
              <w:rPr>
                <w:rFonts w:ascii="Arial" w:hAnsi="Arial" w:cs="Arial"/>
                <w:color w:val="000000" w:themeColor="text1"/>
                <w:sz w:val="21"/>
                <w:szCs w:val="21"/>
              </w:rPr>
              <w:br/>
            </w:r>
            <w:r w:rsidRPr="009B78DA">
              <w:rPr>
                <w:rFonts w:ascii="Arial" w:hAnsi="Arial" w:cs="Arial"/>
                <w:color w:val="000000" w:themeColor="text1"/>
                <w:sz w:val="21"/>
                <w:szCs w:val="21"/>
              </w:rPr>
              <w:t>z elektry</w:t>
            </w:r>
            <w:r w:rsidR="00B00AFA">
              <w:rPr>
                <w:rFonts w:ascii="Arial" w:hAnsi="Arial" w:cs="Arial"/>
                <w:color w:val="000000" w:themeColor="text1"/>
                <w:sz w:val="21"/>
                <w:szCs w:val="21"/>
              </w:rPr>
              <w:t>fikacją – prace przygotowawcze</w:t>
            </w:r>
          </w:p>
          <w:p w14:paraId="4B173AA5" w14:textId="77777777"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Kontynuacja przebudowy linii kolejowej nr 25 na odc. Kunów – Stary Garbów</w:t>
            </w:r>
          </w:p>
          <w:p w14:paraId="5531B66A" w14:textId="77777777"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Stary Garbów – Zbydniów: budowa nowej linii kolejowej nr 80 na odcinku Stary Garbów – Zbydniów (od km 217-237 linii kolejowej nr 25 do km 14 -18 linii kolejowej nr 74).</w:t>
            </w:r>
          </w:p>
          <w:p w14:paraId="6F2FDE9D" w14:textId="09580948" w:rsidR="005F267C" w:rsidRPr="009B78DA" w:rsidRDefault="00B00AFA" w:rsidP="00C17C6C">
            <w:pPr>
              <w:pStyle w:val="Akapitzlist"/>
              <w:numPr>
                <w:ilvl w:val="0"/>
                <w:numId w:val="154"/>
              </w:numPr>
              <w:spacing w:line="276" w:lineRule="auto"/>
              <w:ind w:left="584" w:hanging="357"/>
              <w:rPr>
                <w:rFonts w:ascii="Arial" w:hAnsi="Arial" w:cs="Arial"/>
                <w:color w:val="000000" w:themeColor="text1"/>
                <w:sz w:val="21"/>
                <w:szCs w:val="21"/>
              </w:rPr>
            </w:pPr>
            <w:r>
              <w:rPr>
                <w:rFonts w:ascii="Arial" w:hAnsi="Arial" w:cs="Arial"/>
                <w:color w:val="000000" w:themeColor="text1"/>
                <w:sz w:val="21"/>
                <w:szCs w:val="21"/>
              </w:rPr>
              <w:t>Łętownia-Rzeszów:</w:t>
            </w:r>
          </w:p>
          <w:p w14:paraId="1A7C32A3" w14:textId="77777777" w:rsidR="005F267C" w:rsidRPr="009B78DA" w:rsidRDefault="005F267C" w:rsidP="00C17C6C">
            <w:pPr>
              <w:pStyle w:val="Akapitzlist"/>
              <w:numPr>
                <w:ilvl w:val="0"/>
                <w:numId w:val="155"/>
              </w:numPr>
              <w:spacing w:line="276" w:lineRule="auto"/>
              <w:ind w:left="584" w:hanging="227"/>
              <w:rPr>
                <w:rFonts w:ascii="Arial" w:hAnsi="Arial" w:cs="Arial"/>
                <w:color w:val="000000" w:themeColor="text1"/>
                <w:sz w:val="21"/>
                <w:szCs w:val="21"/>
              </w:rPr>
            </w:pPr>
            <w:r w:rsidRPr="009B78DA">
              <w:rPr>
                <w:rFonts w:ascii="Arial" w:hAnsi="Arial" w:cs="Arial"/>
                <w:color w:val="000000" w:themeColor="text1"/>
                <w:sz w:val="21"/>
                <w:szCs w:val="21"/>
              </w:rPr>
              <w:t>budowa nowej linii kolejowej nr 58 na odcinku Łętownia – Rzeszów Główny (od km 130-134 linii kolejowej nr 68 do km 157-165 linii kolejowej nr 91)</w:t>
            </w:r>
          </w:p>
          <w:p w14:paraId="29AF4599" w14:textId="77777777" w:rsidR="005F267C" w:rsidRPr="009B78DA" w:rsidRDefault="005F267C" w:rsidP="00C17C6C">
            <w:pPr>
              <w:pStyle w:val="Akapitzlist"/>
              <w:numPr>
                <w:ilvl w:val="0"/>
                <w:numId w:val="155"/>
              </w:numPr>
              <w:spacing w:line="276" w:lineRule="auto"/>
              <w:ind w:left="584" w:hanging="227"/>
              <w:rPr>
                <w:rFonts w:ascii="Arial" w:hAnsi="Arial" w:cs="Arial"/>
                <w:color w:val="000000" w:themeColor="text1"/>
                <w:sz w:val="21"/>
                <w:szCs w:val="21"/>
              </w:rPr>
            </w:pPr>
            <w:r w:rsidRPr="009B78DA">
              <w:rPr>
                <w:rFonts w:ascii="Arial" w:hAnsi="Arial" w:cs="Arial"/>
                <w:color w:val="000000" w:themeColor="text1"/>
                <w:sz w:val="21"/>
                <w:szCs w:val="21"/>
              </w:rPr>
              <w:t>budowa nowej linii kolejowej nr 632 na odcinku (od linii kolejowej nr 58 do km 56-59 linii kolejowej nr 71 lub do km 147-149 linii kolejowej nr 91)</w:t>
            </w:r>
          </w:p>
          <w:p w14:paraId="440DC2C4" w14:textId="77777777" w:rsidR="005F267C" w:rsidRPr="009B78DA" w:rsidRDefault="005F267C" w:rsidP="00C17C6C">
            <w:pPr>
              <w:pStyle w:val="Akapitzlist"/>
              <w:numPr>
                <w:ilvl w:val="0"/>
                <w:numId w:val="154"/>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Rzeszów-Sanok:</w:t>
            </w:r>
          </w:p>
          <w:p w14:paraId="5EF5BE48" w14:textId="77777777" w:rsidR="005F267C" w:rsidRPr="009B78DA" w:rsidRDefault="005F267C" w:rsidP="00C17C6C">
            <w:pPr>
              <w:pStyle w:val="Akapitzlist"/>
              <w:numPr>
                <w:ilvl w:val="0"/>
                <w:numId w:val="156"/>
              </w:numPr>
              <w:spacing w:line="276" w:lineRule="auto"/>
              <w:ind w:left="584" w:hanging="227"/>
              <w:rPr>
                <w:rFonts w:ascii="Arial" w:hAnsi="Arial" w:cs="Arial"/>
                <w:color w:val="000000" w:themeColor="text1"/>
                <w:sz w:val="21"/>
                <w:szCs w:val="21"/>
              </w:rPr>
            </w:pPr>
            <w:r w:rsidRPr="009B78DA">
              <w:rPr>
                <w:rFonts w:ascii="Arial" w:hAnsi="Arial" w:cs="Arial"/>
                <w:color w:val="000000" w:themeColor="text1"/>
                <w:sz w:val="21"/>
                <w:szCs w:val="21"/>
              </w:rPr>
              <w:t>budowa nowej linii kolejowej nr 122 na odcinku Babica-Sanok (od km 13-15 linii kolejowej nr 106 do km 91-109 linii kolejowej nr 108)</w:t>
            </w:r>
          </w:p>
          <w:p w14:paraId="1491AB46" w14:textId="77777777" w:rsidR="005F267C" w:rsidRPr="009B78DA" w:rsidRDefault="005F267C" w:rsidP="00C17C6C">
            <w:pPr>
              <w:pStyle w:val="Akapitzlist"/>
              <w:numPr>
                <w:ilvl w:val="0"/>
                <w:numId w:val="15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Rzeszów-Jasło/Krosno:</w:t>
            </w:r>
          </w:p>
          <w:p w14:paraId="33644B1C" w14:textId="77777777" w:rsidR="005F267C" w:rsidRPr="009B78DA" w:rsidRDefault="005F267C" w:rsidP="00C17C6C">
            <w:pPr>
              <w:pStyle w:val="Akapitzlist"/>
              <w:numPr>
                <w:ilvl w:val="0"/>
                <w:numId w:val="157"/>
              </w:numPr>
              <w:spacing w:line="276" w:lineRule="auto"/>
              <w:ind w:left="584" w:hanging="227"/>
              <w:rPr>
                <w:rFonts w:ascii="Arial" w:hAnsi="Arial" w:cs="Arial"/>
                <w:color w:val="000000" w:themeColor="text1"/>
                <w:sz w:val="21"/>
                <w:szCs w:val="21"/>
              </w:rPr>
            </w:pPr>
            <w:r w:rsidRPr="009B78DA">
              <w:rPr>
                <w:rFonts w:ascii="Arial" w:hAnsi="Arial" w:cs="Arial"/>
                <w:color w:val="000000" w:themeColor="text1"/>
                <w:sz w:val="21"/>
                <w:szCs w:val="21"/>
              </w:rPr>
              <w:t>budowa nowych odcinków linii kolejowej nr 106 na odcinku Babica-Strzyżów-Wojaszówka (od km 13-15 przez km 29-32 do km 54-58 linii kolejowej nr 106)</w:t>
            </w:r>
          </w:p>
          <w:p w14:paraId="29A2513B" w14:textId="77777777" w:rsidR="005F267C" w:rsidRPr="009B78DA" w:rsidRDefault="005F267C" w:rsidP="00C17C6C">
            <w:pPr>
              <w:pStyle w:val="Akapitzlist"/>
              <w:numPr>
                <w:ilvl w:val="0"/>
                <w:numId w:val="15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Budowa nowej linii nr 632 Łukawiec – Rzeszów Jasionka Międzynarodowy Port Lotniczy.</w:t>
            </w:r>
          </w:p>
        </w:tc>
        <w:tc>
          <w:tcPr>
            <w:tcW w:w="1382" w:type="pct"/>
            <w:vAlign w:val="center"/>
          </w:tcPr>
          <w:p w14:paraId="53131907" w14:textId="77777777" w:rsidR="005F267C" w:rsidRPr="009B78DA" w:rsidRDefault="005F267C" w:rsidP="00C17C6C">
            <w:p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Projekty krajowe:</w:t>
            </w:r>
          </w:p>
          <w:p w14:paraId="1EB3FE28" w14:textId="77777777" w:rsidR="005F267C" w:rsidRPr="009B78DA" w:rsidRDefault="005F267C" w:rsidP="00C17C6C">
            <w:pPr>
              <w:pStyle w:val="Akapitzlist"/>
              <w:numPr>
                <w:ilvl w:val="0"/>
                <w:numId w:val="158"/>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Rewitalizacja linii kolejowej nr 108 na odcinku Jasło - Nowy Zagórz.</w:t>
            </w:r>
          </w:p>
          <w:p w14:paraId="7A2A0B7C" w14:textId="77D520E9" w:rsidR="005F267C" w:rsidRPr="009B78DA" w:rsidRDefault="005F267C" w:rsidP="00C17C6C">
            <w:pPr>
              <w:pStyle w:val="Akapitzlist"/>
              <w:numPr>
                <w:ilvl w:val="0"/>
                <w:numId w:val="158"/>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Rewitalizacja linii kolejow</w:t>
            </w:r>
            <w:r w:rsidR="00B00AFA">
              <w:rPr>
                <w:rFonts w:ascii="Arial" w:hAnsi="Arial" w:cs="Arial"/>
                <w:color w:val="000000" w:themeColor="text1"/>
                <w:sz w:val="21"/>
                <w:szCs w:val="21"/>
              </w:rPr>
              <w:t>ej nr 107 Nowy Zagórz – Łupków.</w:t>
            </w:r>
          </w:p>
          <w:p w14:paraId="3A0794C6" w14:textId="77777777" w:rsidR="005F267C" w:rsidRPr="009B78DA" w:rsidRDefault="005F267C" w:rsidP="00C17C6C">
            <w:pPr>
              <w:pStyle w:val="Akapitzlist"/>
              <w:numPr>
                <w:ilvl w:val="0"/>
                <w:numId w:val="158"/>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Prace na liniach kolejowych nr 91 i 92 na odcinku Rzeszów - Medyka (granica państwa) wraz z liniami przyległymi - opracowanie Studium Wykonalności. Zakres (linie kolejowe nr): 91, 92, 68, 101, 102, 119, 120, 121, 123, 124, 125, 612, 613, 614, 615, 861, 988, 989</w:t>
            </w:r>
          </w:p>
          <w:p w14:paraId="4FE34C2A" w14:textId="77777777" w:rsidR="005F267C" w:rsidRPr="009B78DA" w:rsidRDefault="005F267C" w:rsidP="00C17C6C">
            <w:pPr>
              <w:pStyle w:val="Akapitzlist"/>
              <w:numPr>
                <w:ilvl w:val="0"/>
                <w:numId w:val="158"/>
              </w:numPr>
              <w:spacing w:after="120"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Prace na linii kolejowej nr 71 Ocice – Rzeszów. </w:t>
            </w:r>
          </w:p>
          <w:p w14:paraId="5DEDD819" w14:textId="77777777" w:rsidR="005F267C" w:rsidRPr="009B78DA" w:rsidRDefault="005F267C" w:rsidP="00C17C6C">
            <w:p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Projekty regionalne (postulowane przez region):</w:t>
            </w:r>
          </w:p>
          <w:p w14:paraId="0888260E" w14:textId="77777777" w:rsidR="005F267C" w:rsidRPr="009B78DA" w:rsidRDefault="005F267C" w:rsidP="00C17C6C">
            <w:pPr>
              <w:pStyle w:val="Akapitzlist"/>
              <w:numPr>
                <w:ilvl w:val="0"/>
                <w:numId w:val="15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Rewitalizacja linii kolejowej nr 108 na odcinku Stróże – Jasło </w:t>
            </w:r>
          </w:p>
          <w:p w14:paraId="6A289AEF" w14:textId="77777777" w:rsidR="005F267C" w:rsidRPr="009B78DA" w:rsidRDefault="005F267C" w:rsidP="00C17C6C">
            <w:pPr>
              <w:pStyle w:val="Akapitzlist"/>
              <w:numPr>
                <w:ilvl w:val="0"/>
                <w:numId w:val="15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Rewitalizacja linii kolejowej nr 108 na odcinku Zagórz – Krościenko </w:t>
            </w:r>
          </w:p>
          <w:p w14:paraId="32CCB757" w14:textId="77777777" w:rsidR="005F267C" w:rsidRPr="009B78DA" w:rsidRDefault="005F267C" w:rsidP="00C17C6C">
            <w:pPr>
              <w:pStyle w:val="Akapitzlist"/>
              <w:numPr>
                <w:ilvl w:val="0"/>
                <w:numId w:val="15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Rewitalizacja połączenia Stalowa Wola - Zawada - Zamość – Hrubieszów</w:t>
            </w:r>
          </w:p>
          <w:p w14:paraId="72A24963" w14:textId="77777777" w:rsidR="005F267C" w:rsidRPr="009B78DA" w:rsidRDefault="005F267C" w:rsidP="00C17C6C">
            <w:pPr>
              <w:pStyle w:val="Akapitzlist"/>
              <w:numPr>
                <w:ilvl w:val="0"/>
                <w:numId w:val="15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Modernizacja linii kolejowej nr 75 Rytwiany - Połaniec wraz z przedłużeniem do Mielca</w:t>
            </w:r>
          </w:p>
          <w:p w14:paraId="56E6516D" w14:textId="25F99AF2" w:rsidR="005F267C" w:rsidRPr="009B78DA" w:rsidRDefault="005F267C" w:rsidP="00C17C6C">
            <w:pPr>
              <w:pStyle w:val="Akapitzlist"/>
              <w:numPr>
                <w:ilvl w:val="0"/>
                <w:numId w:val="159"/>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Elektryfikacja linii k</w:t>
            </w:r>
            <w:r w:rsidR="00B00AFA">
              <w:rPr>
                <w:rFonts w:ascii="Arial" w:hAnsi="Arial" w:cs="Arial"/>
                <w:color w:val="000000" w:themeColor="text1"/>
                <w:sz w:val="21"/>
                <w:szCs w:val="21"/>
              </w:rPr>
              <w:t>olejowej nr 106 Rzeszów – Jasło</w:t>
            </w:r>
          </w:p>
          <w:p w14:paraId="5CCEA32E"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Budowa nowej linii kolejowej łączącej Przemyśl i Zagórz</w:t>
            </w:r>
          </w:p>
          <w:p w14:paraId="7E56FAB7"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bookmarkStart w:id="356" w:name="_Hlk76101006"/>
            <w:r w:rsidRPr="009B78DA">
              <w:rPr>
                <w:rFonts w:ascii="Arial" w:hAnsi="Arial" w:cs="Arial"/>
                <w:color w:val="000000" w:themeColor="text1"/>
                <w:sz w:val="21"/>
                <w:szCs w:val="21"/>
              </w:rPr>
              <w:t>Budowa Karpackiej Kolei Euroregionalnej komunikującej województwo z regionami południowej Europy</w:t>
            </w:r>
          </w:p>
          <w:p w14:paraId="69DD4AF8"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Budowa kolei w ramach tzw. Czwórmiasta komunikującej północną część województwa z tzw. szprychą nr 6</w:t>
            </w:r>
          </w:p>
          <w:bookmarkEnd w:id="356"/>
          <w:p w14:paraId="6991FC1C"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Budowa nowych i modernizacja istniejących przystanków kolejowych na obszarze województwa podkarpackiego</w:t>
            </w:r>
          </w:p>
          <w:p w14:paraId="2081AD38"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Modernizacja przystanku/peronu, Łańcut, linia kolejowa nr 91, pow. łańcucki.</w:t>
            </w:r>
          </w:p>
          <w:p w14:paraId="29DEF82A"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 xml:space="preserve">Modernizacja przystanku/peronu, Ropczyce, linia kolejowa nr 91, pow. ropczycko-sędziszowski. </w:t>
            </w:r>
          </w:p>
          <w:p w14:paraId="69E32D49"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Budowa nowego przystanku/ peronu, Mielec/Rzochów, linia kolejowa nr 25, pow. mielecki.</w:t>
            </w:r>
          </w:p>
          <w:p w14:paraId="4B4D350B"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Budowa nowego przystanku/ peronu, Medyka, linia kolejowa nr 91, pow. przemyski.</w:t>
            </w:r>
          </w:p>
          <w:p w14:paraId="6BF8B392"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Modernizacja przystanku/peronu, Zaklików, linia kolejowa nr 68, pow. stalowowolski.</w:t>
            </w:r>
          </w:p>
          <w:p w14:paraId="3F0DDA4E" w14:textId="47C8DFE1"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 xml:space="preserve">Budowa dodatkowego przystanku </w:t>
            </w:r>
            <w:r w:rsidR="00B00AFA">
              <w:rPr>
                <w:rFonts w:ascii="Arial" w:hAnsi="Arial" w:cs="Arial"/>
                <w:color w:val="000000" w:themeColor="text1"/>
                <w:sz w:val="21"/>
                <w:szCs w:val="21"/>
              </w:rPr>
              <w:br/>
            </w:r>
            <w:r w:rsidRPr="009B78DA">
              <w:rPr>
                <w:rFonts w:ascii="Arial" w:hAnsi="Arial" w:cs="Arial"/>
                <w:color w:val="000000" w:themeColor="text1"/>
                <w:sz w:val="21"/>
                <w:szCs w:val="21"/>
              </w:rPr>
              <w:t>w rejonie stacji Stalowa Wola – Rozwadów Towarowa, linia kolejowa nr 74, pow. stalowowolski.</w:t>
            </w:r>
          </w:p>
          <w:p w14:paraId="117CBC54" w14:textId="5ADD2FBC"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 xml:space="preserve">Budowa dodatkowego przystanku </w:t>
            </w:r>
            <w:r w:rsidR="00B00AFA">
              <w:rPr>
                <w:rFonts w:ascii="Arial" w:hAnsi="Arial" w:cs="Arial"/>
                <w:color w:val="000000" w:themeColor="text1"/>
                <w:sz w:val="21"/>
                <w:szCs w:val="21"/>
              </w:rPr>
              <w:br/>
            </w:r>
            <w:r w:rsidRPr="009B78DA">
              <w:rPr>
                <w:rFonts w:ascii="Arial" w:hAnsi="Arial" w:cs="Arial"/>
                <w:color w:val="000000" w:themeColor="text1"/>
                <w:sz w:val="21"/>
                <w:szCs w:val="21"/>
              </w:rPr>
              <w:t xml:space="preserve">w rejonie Tarnobrzega – Jezioro, linia kolejowa nr 25, pow. tarnobrzeski. </w:t>
            </w:r>
          </w:p>
          <w:p w14:paraId="79519BC2" w14:textId="3431290E"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 xml:space="preserve">Budowa dodatkowego przystanku </w:t>
            </w:r>
            <w:r w:rsidR="00B00AFA">
              <w:rPr>
                <w:rFonts w:ascii="Arial" w:hAnsi="Arial" w:cs="Arial"/>
                <w:color w:val="000000" w:themeColor="text1"/>
                <w:sz w:val="21"/>
                <w:szCs w:val="21"/>
              </w:rPr>
              <w:br/>
            </w:r>
            <w:r w:rsidRPr="009B78DA">
              <w:rPr>
                <w:rFonts w:ascii="Arial" w:hAnsi="Arial" w:cs="Arial"/>
                <w:color w:val="000000" w:themeColor="text1"/>
                <w:sz w:val="21"/>
                <w:szCs w:val="21"/>
              </w:rPr>
              <w:t>w rejonie Tarnobrzeg Sobów, linia kolejowa nr 25, pow. tarnobrzeski.</w:t>
            </w:r>
          </w:p>
          <w:p w14:paraId="4AD158FD"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Budowa dodatkowego przystanku w rejonie Tarnobrzeg Olszynka, linia kolejowa nr 74, pow. tarnobrzeski.</w:t>
            </w:r>
          </w:p>
          <w:p w14:paraId="5C4FB0F5" w14:textId="010166DA"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 xml:space="preserve">Budowa dodatkowego przystanku kolejowego na linii kolejowej nr 108 Jasło-Nowy Zagórz </w:t>
            </w:r>
            <w:r w:rsidR="00B00AFA">
              <w:rPr>
                <w:rFonts w:ascii="Arial" w:hAnsi="Arial" w:cs="Arial"/>
                <w:color w:val="000000" w:themeColor="text1"/>
                <w:sz w:val="21"/>
                <w:szCs w:val="21"/>
              </w:rPr>
              <w:br/>
            </w:r>
            <w:r w:rsidRPr="009B78DA">
              <w:rPr>
                <w:rFonts w:ascii="Arial" w:hAnsi="Arial" w:cs="Arial"/>
                <w:color w:val="000000" w:themeColor="text1"/>
                <w:sz w:val="21"/>
                <w:szCs w:val="21"/>
              </w:rPr>
              <w:t>w miejscowościach Brzezówka oraz Jasło Sobniów.</w:t>
            </w:r>
          </w:p>
          <w:p w14:paraId="7844990B"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Budowa dodatkowych przystanków kolejowych w zakresie linii kolejowej nr 74 w miejscowościach Kępie Zaleszańskie oraz Wielowieś.</w:t>
            </w:r>
          </w:p>
          <w:p w14:paraId="7AB0265D"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Budowa peronu pasażerskiego w m. Brzezówka gm. Tarnowiec.</w:t>
            </w:r>
          </w:p>
          <w:p w14:paraId="52BCC93A"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Modernizacja przystanków Nisko – Moskale, Nisko – Osiedle, Nisko – Centrum, Nisko – Racławice, Nisko – Podwolina.</w:t>
            </w:r>
          </w:p>
          <w:p w14:paraId="2F809142"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 xml:space="preserve">Wzmocnienie konkurencyjności regionu poprzez poprawę i rozwój oferty Bieszczadzkiej Kolejki Leśnej eksponującej dziedzictwo kulturowe i przyrodnicze Podkarpacia </w:t>
            </w:r>
          </w:p>
          <w:p w14:paraId="72516CFC" w14:textId="77777777" w:rsidR="005F267C" w:rsidRPr="009B78DA" w:rsidRDefault="005F267C" w:rsidP="00C17C6C">
            <w:pPr>
              <w:pStyle w:val="Akapitzlist"/>
              <w:numPr>
                <w:ilvl w:val="0"/>
                <w:numId w:val="159"/>
              </w:numPr>
              <w:spacing w:line="276" w:lineRule="auto"/>
              <w:ind w:left="557" w:hanging="425"/>
              <w:rPr>
                <w:rFonts w:ascii="Arial" w:hAnsi="Arial" w:cs="Arial"/>
                <w:color w:val="000000" w:themeColor="text1"/>
                <w:sz w:val="21"/>
                <w:szCs w:val="21"/>
              </w:rPr>
            </w:pPr>
            <w:r w:rsidRPr="009B78DA">
              <w:rPr>
                <w:rFonts w:ascii="Arial" w:hAnsi="Arial" w:cs="Arial"/>
                <w:color w:val="000000" w:themeColor="text1"/>
                <w:sz w:val="21"/>
                <w:szCs w:val="21"/>
              </w:rPr>
              <w:t>Karpackie kolejki wąskotorowe - podróż śladami karpackich kolejek leśnych</w:t>
            </w:r>
          </w:p>
        </w:tc>
        <w:tc>
          <w:tcPr>
            <w:tcW w:w="1685" w:type="pct"/>
            <w:vAlign w:val="center"/>
          </w:tcPr>
          <w:p w14:paraId="38CF01D9" w14:textId="77777777" w:rsidR="005F267C" w:rsidRPr="009B78DA" w:rsidRDefault="005F267C" w:rsidP="00C17C6C">
            <w:pPr>
              <w:pStyle w:val="Akapitzlist"/>
              <w:numPr>
                <w:ilvl w:val="0"/>
                <w:numId w:val="160"/>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Rzeszowski Obszar Funkcjonalny</w:t>
            </w:r>
          </w:p>
          <w:p w14:paraId="7886B6DF" w14:textId="77777777" w:rsidR="005F267C" w:rsidRPr="009B78DA" w:rsidRDefault="005F267C" w:rsidP="00C17C6C">
            <w:pPr>
              <w:pStyle w:val="Akapitzlist"/>
              <w:numPr>
                <w:ilvl w:val="0"/>
                <w:numId w:val="161"/>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Opracowanie dokumentacji modernizacji stacji Rzeszów Główny. Zakres (linia kolejowa nr): 91</w:t>
            </w:r>
          </w:p>
          <w:p w14:paraId="63228F6E" w14:textId="77777777" w:rsidR="005F267C" w:rsidRPr="009B78DA" w:rsidRDefault="005F267C" w:rsidP="00C17C6C">
            <w:pPr>
              <w:pStyle w:val="Akapitzlist"/>
              <w:numPr>
                <w:ilvl w:val="0"/>
                <w:numId w:val="161"/>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Poprawa stanu technicznego infrastruktury obsługi podróżnych (w tym dostosowanie do wymagań TSI PRM), Etap III Rzeszów Główny. Zakres (linie kolejowe nr): 91, 71, 106, 611.</w:t>
            </w:r>
          </w:p>
          <w:p w14:paraId="3FE56A12" w14:textId="7FB50B01" w:rsidR="005F267C" w:rsidRPr="009B78DA" w:rsidRDefault="005F267C" w:rsidP="00C17C6C">
            <w:pPr>
              <w:pStyle w:val="Akapitzlist"/>
              <w:numPr>
                <w:ilvl w:val="0"/>
                <w:numId w:val="161"/>
              </w:numPr>
              <w:spacing w:line="276" w:lineRule="auto"/>
              <w:ind w:left="584" w:hanging="357"/>
              <w:rPr>
                <w:rFonts w:ascii="Arial" w:hAnsi="Arial" w:cs="Arial"/>
                <w:color w:val="000000" w:themeColor="text1"/>
                <w:sz w:val="21"/>
                <w:szCs w:val="21"/>
              </w:rPr>
            </w:pPr>
            <w:r w:rsidRPr="009B78DA">
              <w:rPr>
                <w:rFonts w:ascii="Arial" w:hAnsi="Arial" w:cs="Arial"/>
                <w:color w:val="000000" w:themeColor="text1"/>
                <w:sz w:val="21"/>
                <w:szCs w:val="21"/>
              </w:rPr>
              <w:t xml:space="preserve">Poprawa skomunikowania z obszarami usługowo - produkcyjnymi, inwestycyjnymi </w:t>
            </w:r>
            <w:r w:rsidR="00B00AFA">
              <w:rPr>
                <w:rFonts w:ascii="Arial" w:hAnsi="Arial" w:cs="Arial"/>
                <w:color w:val="000000" w:themeColor="text1"/>
                <w:sz w:val="21"/>
                <w:szCs w:val="21"/>
              </w:rPr>
              <w:br/>
            </w:r>
            <w:r w:rsidRPr="009B78DA">
              <w:rPr>
                <w:rFonts w:ascii="Arial" w:hAnsi="Arial" w:cs="Arial"/>
                <w:color w:val="000000" w:themeColor="text1"/>
                <w:sz w:val="21"/>
                <w:szCs w:val="21"/>
              </w:rPr>
              <w:t>w szczególności zlokalizowanymi na północy ROF-u (Jasionka, Rogoźnica).</w:t>
            </w:r>
          </w:p>
          <w:p w14:paraId="5F22F8B9" w14:textId="77777777" w:rsidR="005F267C" w:rsidRPr="009B78DA" w:rsidRDefault="005F267C" w:rsidP="00C17C6C">
            <w:pPr>
              <w:pStyle w:val="Akapitzlist"/>
              <w:numPr>
                <w:ilvl w:val="0"/>
                <w:numId w:val="160"/>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Przemyśl</w:t>
            </w:r>
          </w:p>
          <w:p w14:paraId="5BACB649" w14:textId="77777777" w:rsidR="005F267C" w:rsidRPr="009B78DA" w:rsidRDefault="005F267C" w:rsidP="00C17C6C">
            <w:pPr>
              <w:pStyle w:val="Akapitzlist"/>
              <w:numPr>
                <w:ilvl w:val="0"/>
                <w:numId w:val="162"/>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Wzmocnienie znaczenia linii nr 102, która ułatwia komunikację w kierunku obszaru przygranicznego i Chyrowa.</w:t>
            </w:r>
          </w:p>
          <w:p w14:paraId="0BD9E9A3" w14:textId="77777777" w:rsidR="005F267C" w:rsidRPr="009B78DA" w:rsidRDefault="005F267C" w:rsidP="00C17C6C">
            <w:pPr>
              <w:pStyle w:val="Akapitzlist"/>
              <w:numPr>
                <w:ilvl w:val="0"/>
                <w:numId w:val="160"/>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Krosno</w:t>
            </w:r>
          </w:p>
          <w:p w14:paraId="41E4C0E5" w14:textId="77777777" w:rsidR="005F267C" w:rsidRPr="009B78DA" w:rsidRDefault="005F267C" w:rsidP="00C17C6C">
            <w:pPr>
              <w:pStyle w:val="Akapitzlist"/>
              <w:numPr>
                <w:ilvl w:val="0"/>
                <w:numId w:val="163"/>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linii kolejowej nr 106 łączącej gminy Wojaszówka i Jedlicze</w:t>
            </w:r>
          </w:p>
          <w:p w14:paraId="7FC8F13F" w14:textId="77777777" w:rsidR="005F267C" w:rsidRPr="009B78DA" w:rsidRDefault="005F267C" w:rsidP="00C17C6C">
            <w:pPr>
              <w:pStyle w:val="Akapitzlist"/>
              <w:numPr>
                <w:ilvl w:val="0"/>
                <w:numId w:val="160"/>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Tarnobrzeg</w:t>
            </w:r>
          </w:p>
          <w:p w14:paraId="5ADBF8D8" w14:textId="77777777" w:rsidR="005F267C" w:rsidRPr="009B78DA" w:rsidRDefault="005F267C" w:rsidP="00C17C6C">
            <w:pPr>
              <w:pStyle w:val="Akapitzlist"/>
              <w:numPr>
                <w:ilvl w:val="0"/>
                <w:numId w:val="16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dla linii kolejowych :</w:t>
            </w:r>
          </w:p>
          <w:p w14:paraId="43E65328" w14:textId="77777777" w:rsidR="005F267C" w:rsidRPr="009B78DA" w:rsidRDefault="005F267C" w:rsidP="00C17C6C">
            <w:pPr>
              <w:pStyle w:val="Akapitzlist"/>
              <w:numPr>
                <w:ilvl w:val="0"/>
                <w:numId w:val="157"/>
              </w:numPr>
              <w:spacing w:line="276" w:lineRule="auto"/>
              <w:ind w:left="794" w:hanging="227"/>
              <w:rPr>
                <w:rFonts w:ascii="Arial" w:hAnsi="Arial" w:cs="Arial"/>
                <w:color w:val="000000" w:themeColor="text1"/>
                <w:sz w:val="21"/>
                <w:szCs w:val="21"/>
              </w:rPr>
            </w:pPr>
            <w:r w:rsidRPr="009B78DA">
              <w:rPr>
                <w:rFonts w:ascii="Arial" w:hAnsi="Arial" w:cs="Arial"/>
                <w:color w:val="000000" w:themeColor="text1"/>
                <w:sz w:val="21"/>
                <w:szCs w:val="21"/>
              </w:rPr>
              <w:t>65 – fragment Linii Hutniczej Szerokotorowej na osi wschód-zachód w gminie Baranów Sandomierski.</w:t>
            </w:r>
          </w:p>
          <w:p w14:paraId="7610F374" w14:textId="77777777" w:rsidR="005F267C" w:rsidRPr="009B78DA" w:rsidRDefault="005F267C" w:rsidP="00C17C6C">
            <w:pPr>
              <w:pStyle w:val="Akapitzlist"/>
              <w:numPr>
                <w:ilvl w:val="0"/>
                <w:numId w:val="164"/>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Rozwój systemów transportowych miasta powinien być rozpatrywany wspólnie z MOF Stalowa Wola oraz z miastem Sandomierzem.</w:t>
            </w:r>
          </w:p>
          <w:p w14:paraId="0358A5C0" w14:textId="77777777" w:rsidR="005F267C" w:rsidRPr="009B78DA" w:rsidRDefault="005F267C" w:rsidP="00C17C6C">
            <w:pPr>
              <w:pStyle w:val="Akapitzlist"/>
              <w:numPr>
                <w:ilvl w:val="0"/>
                <w:numId w:val="160"/>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Stalowa Wola</w:t>
            </w:r>
          </w:p>
          <w:p w14:paraId="7ADB6CEB" w14:textId="77777777" w:rsidR="005F267C" w:rsidRPr="009B78DA" w:rsidRDefault="005F267C" w:rsidP="00C17C6C">
            <w:pPr>
              <w:pStyle w:val="Akapitzlist"/>
              <w:numPr>
                <w:ilvl w:val="0"/>
                <w:numId w:val="165"/>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Układ kolejowy na terenie MOF wymaga poprawy, w kontekście połączeń w kierunku na Lublin i Sandomierz.</w:t>
            </w:r>
          </w:p>
          <w:p w14:paraId="4EEE8016" w14:textId="51A8F13F" w:rsidR="005F267C" w:rsidRPr="009B78DA" w:rsidRDefault="005F267C" w:rsidP="00C17C6C">
            <w:pPr>
              <w:pStyle w:val="Akapitzlist"/>
              <w:numPr>
                <w:ilvl w:val="0"/>
                <w:numId w:val="165"/>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Budowa bocznicy kolejowej prowadzącej </w:t>
            </w:r>
            <w:r w:rsidR="00B00AFA">
              <w:rPr>
                <w:rFonts w:ascii="Arial" w:hAnsi="Arial" w:cs="Arial"/>
                <w:color w:val="000000" w:themeColor="text1"/>
                <w:sz w:val="21"/>
                <w:szCs w:val="21"/>
              </w:rPr>
              <w:br/>
            </w:r>
            <w:r w:rsidRPr="009B78DA">
              <w:rPr>
                <w:rFonts w:ascii="Arial" w:hAnsi="Arial" w:cs="Arial"/>
                <w:color w:val="000000" w:themeColor="text1"/>
                <w:sz w:val="21"/>
                <w:szCs w:val="21"/>
              </w:rPr>
              <w:t xml:space="preserve">z rejonu stacji Stalowa Wola – Południe </w:t>
            </w:r>
            <w:r w:rsidR="00B00AFA">
              <w:rPr>
                <w:rFonts w:ascii="Arial" w:hAnsi="Arial" w:cs="Arial"/>
                <w:color w:val="000000" w:themeColor="text1"/>
                <w:sz w:val="21"/>
                <w:szCs w:val="21"/>
              </w:rPr>
              <w:br/>
            </w:r>
            <w:r w:rsidRPr="009B78DA">
              <w:rPr>
                <w:rFonts w:ascii="Arial" w:hAnsi="Arial" w:cs="Arial"/>
                <w:color w:val="000000" w:themeColor="text1"/>
                <w:sz w:val="21"/>
                <w:szCs w:val="21"/>
              </w:rPr>
              <w:t>w kierunku południowo-zachodnim, do powstającego Strategicznego Parku Inwestycyjnego.</w:t>
            </w:r>
          </w:p>
          <w:p w14:paraId="2EB4AAA1" w14:textId="77777777" w:rsidR="005F267C" w:rsidRPr="009B78DA" w:rsidRDefault="005F267C" w:rsidP="00C17C6C">
            <w:pPr>
              <w:pStyle w:val="Akapitzlist"/>
              <w:numPr>
                <w:ilvl w:val="0"/>
                <w:numId w:val="160"/>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Dębica-Ropczyce</w:t>
            </w:r>
          </w:p>
          <w:p w14:paraId="6402A5C6" w14:textId="77777777" w:rsidR="005F267C" w:rsidRPr="009B78DA" w:rsidRDefault="005F267C" w:rsidP="00C17C6C">
            <w:pPr>
              <w:pStyle w:val="Akapitzlist"/>
              <w:numPr>
                <w:ilvl w:val="0"/>
                <w:numId w:val="166"/>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Rewitalizacja linii kolejowej nr 25 na obszarze funkcjonalnym, w kierunku na Mielec </w:t>
            </w:r>
          </w:p>
          <w:p w14:paraId="549E7B1D" w14:textId="77777777" w:rsidR="005F267C" w:rsidRPr="009B78DA" w:rsidRDefault="005F267C" w:rsidP="00C17C6C">
            <w:pPr>
              <w:pStyle w:val="Akapitzlist"/>
              <w:numPr>
                <w:ilvl w:val="0"/>
                <w:numId w:val="160"/>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Jarosław-Przeworsk</w:t>
            </w:r>
          </w:p>
          <w:p w14:paraId="5EE5EDBC" w14:textId="77777777" w:rsidR="005F267C" w:rsidRPr="009B78DA" w:rsidRDefault="005F267C" w:rsidP="00C17C6C">
            <w:pPr>
              <w:pStyle w:val="Akapitzlist"/>
              <w:numPr>
                <w:ilvl w:val="0"/>
                <w:numId w:val="167"/>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Wsparcie linii nr 68 dochodzącej do węzła kolejowego w Przeworsku od strony północnej (Stalowa Wola)</w:t>
            </w:r>
          </w:p>
          <w:p w14:paraId="35DE3C36" w14:textId="77777777" w:rsidR="005F267C" w:rsidRPr="009B78DA" w:rsidRDefault="005F267C" w:rsidP="00C17C6C">
            <w:pPr>
              <w:pStyle w:val="Akapitzlist"/>
              <w:numPr>
                <w:ilvl w:val="0"/>
                <w:numId w:val="160"/>
              </w:num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Miejski Obszar Funkcjonalny Sanok-Lesko</w:t>
            </w:r>
          </w:p>
          <w:p w14:paraId="29B8A136" w14:textId="77777777" w:rsidR="005F267C" w:rsidRPr="009B78DA" w:rsidRDefault="005F267C" w:rsidP="00C17C6C">
            <w:pPr>
              <w:pStyle w:val="Akapitzlist"/>
              <w:numPr>
                <w:ilvl w:val="0"/>
                <w:numId w:val="168"/>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Wsparcie transportu kolejowego w obrębie obszaru funkcjonalnego w ramach: </w:t>
            </w:r>
          </w:p>
          <w:p w14:paraId="3959BDF5" w14:textId="1E016259" w:rsidR="005F267C" w:rsidRPr="00B00AFA" w:rsidRDefault="005F267C" w:rsidP="00B00AFA">
            <w:pPr>
              <w:pStyle w:val="Akapitzlist"/>
              <w:numPr>
                <w:ilvl w:val="0"/>
                <w:numId w:val="153"/>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linii 107 – w kierunku przejścia granicznego ze Słowacją w Łupkowie, łącząca gminę Zagórz z obszarem rdzeniowym w Sanoku (eksploatowana epizodycznie).</w:t>
            </w:r>
          </w:p>
        </w:tc>
      </w:tr>
      <w:tr w:rsidR="005F267C" w:rsidRPr="009B78DA" w14:paraId="644BDE08" w14:textId="77777777" w:rsidTr="00C17C6C">
        <w:tc>
          <w:tcPr>
            <w:tcW w:w="551" w:type="pct"/>
            <w:vAlign w:val="center"/>
          </w:tcPr>
          <w:p w14:paraId="22A3E41C" w14:textId="77777777" w:rsidR="005F267C" w:rsidRPr="009B78DA" w:rsidRDefault="005F267C" w:rsidP="00C17C6C">
            <w:p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 xml:space="preserve">Lotniczy/ </w:t>
            </w:r>
            <w:r w:rsidRPr="009B78DA">
              <w:rPr>
                <w:rFonts w:ascii="Arial" w:hAnsi="Arial" w:cs="Arial"/>
                <w:b/>
                <w:color w:val="000000" w:themeColor="text1"/>
                <w:sz w:val="21"/>
                <w:szCs w:val="21"/>
              </w:rPr>
              <w:br/>
              <w:t>Priorytet A</w:t>
            </w:r>
          </w:p>
        </w:tc>
        <w:tc>
          <w:tcPr>
            <w:tcW w:w="1382" w:type="pct"/>
            <w:vAlign w:val="center"/>
          </w:tcPr>
          <w:p w14:paraId="0472BE99" w14:textId="77777777" w:rsidR="005F267C" w:rsidRPr="009B78DA" w:rsidRDefault="005F267C" w:rsidP="00C17C6C">
            <w:pPr>
              <w:pStyle w:val="Akapitzlist"/>
              <w:numPr>
                <w:ilvl w:val="0"/>
                <w:numId w:val="169"/>
              </w:numPr>
              <w:tabs>
                <w:tab w:val="left" w:pos="3180"/>
              </w:tabs>
              <w:spacing w:line="276" w:lineRule="auto"/>
              <w:ind w:left="242" w:right="87" w:hanging="284"/>
              <w:rPr>
                <w:rFonts w:ascii="Arial" w:hAnsi="Arial" w:cs="Arial"/>
                <w:color w:val="000000" w:themeColor="text1"/>
                <w:sz w:val="21"/>
                <w:szCs w:val="21"/>
              </w:rPr>
            </w:pPr>
            <w:r w:rsidRPr="009B78DA">
              <w:rPr>
                <w:rFonts w:ascii="Arial" w:hAnsi="Arial" w:cs="Arial"/>
                <w:color w:val="000000" w:themeColor="text1"/>
                <w:sz w:val="21"/>
                <w:szCs w:val="21"/>
              </w:rPr>
              <w:t>Budowa terminala CARGO wraz z infrastrukturą towarzyszącą i wyposażeniem oraz z opracowaniem dokumentacji projektowej</w:t>
            </w:r>
          </w:p>
          <w:p w14:paraId="41069E71" w14:textId="77777777" w:rsidR="005F267C" w:rsidRPr="009B78DA" w:rsidRDefault="005F267C" w:rsidP="00C17C6C">
            <w:pPr>
              <w:pStyle w:val="Akapitzlist"/>
              <w:numPr>
                <w:ilvl w:val="0"/>
                <w:numId w:val="169"/>
              </w:numPr>
              <w:tabs>
                <w:tab w:val="left" w:pos="3180"/>
              </w:tabs>
              <w:spacing w:line="276" w:lineRule="auto"/>
              <w:ind w:left="242" w:right="87" w:hanging="284"/>
              <w:rPr>
                <w:rFonts w:ascii="Arial" w:hAnsi="Arial" w:cs="Arial"/>
                <w:color w:val="000000" w:themeColor="text1"/>
                <w:sz w:val="21"/>
                <w:szCs w:val="21"/>
              </w:rPr>
            </w:pPr>
            <w:r w:rsidRPr="009B78DA">
              <w:rPr>
                <w:rFonts w:ascii="Arial" w:hAnsi="Arial" w:cs="Arial"/>
                <w:color w:val="000000" w:themeColor="text1"/>
                <w:sz w:val="21"/>
                <w:szCs w:val="21"/>
              </w:rPr>
              <w:t>Ochrona obwodowa lotniska</w:t>
            </w:r>
          </w:p>
          <w:p w14:paraId="35F92AFF" w14:textId="77777777" w:rsidR="005F267C" w:rsidRPr="009B78DA" w:rsidRDefault="005F267C" w:rsidP="00C17C6C">
            <w:pPr>
              <w:pStyle w:val="Akapitzlist"/>
              <w:numPr>
                <w:ilvl w:val="0"/>
                <w:numId w:val="169"/>
              </w:numPr>
              <w:tabs>
                <w:tab w:val="left" w:pos="3180"/>
              </w:tabs>
              <w:spacing w:line="276" w:lineRule="auto"/>
              <w:ind w:left="242" w:right="87" w:hanging="284"/>
              <w:rPr>
                <w:rFonts w:ascii="Arial" w:hAnsi="Arial" w:cs="Arial"/>
                <w:color w:val="000000" w:themeColor="text1"/>
                <w:sz w:val="21"/>
                <w:szCs w:val="21"/>
              </w:rPr>
            </w:pPr>
            <w:r w:rsidRPr="009B78DA">
              <w:rPr>
                <w:rFonts w:ascii="Arial" w:hAnsi="Arial" w:cs="Arial"/>
                <w:color w:val="000000" w:themeColor="text1"/>
                <w:sz w:val="21"/>
                <w:szCs w:val="21"/>
              </w:rPr>
              <w:t>Rozbudowa zbiorników na paliwo lotnicze o 1000m3 (zbiornik naziemny) wraz z przebudową niezbędnej dokumentacji projektowej</w:t>
            </w:r>
          </w:p>
          <w:p w14:paraId="32F3393A" w14:textId="4F2DDCEE" w:rsidR="005F267C" w:rsidRPr="009B78DA" w:rsidRDefault="005F267C" w:rsidP="00C17C6C">
            <w:pPr>
              <w:pStyle w:val="Akapitzlist"/>
              <w:numPr>
                <w:ilvl w:val="0"/>
                <w:numId w:val="169"/>
              </w:numPr>
              <w:tabs>
                <w:tab w:val="left" w:pos="3180"/>
              </w:tabs>
              <w:spacing w:line="276" w:lineRule="auto"/>
              <w:ind w:left="242" w:right="87" w:hanging="284"/>
              <w:rPr>
                <w:rFonts w:ascii="Arial" w:hAnsi="Arial" w:cs="Arial"/>
                <w:color w:val="000000" w:themeColor="text1"/>
                <w:sz w:val="21"/>
                <w:szCs w:val="21"/>
              </w:rPr>
            </w:pPr>
            <w:r w:rsidRPr="009B78DA">
              <w:rPr>
                <w:rFonts w:ascii="Arial" w:hAnsi="Arial" w:cs="Arial"/>
                <w:color w:val="000000" w:themeColor="text1"/>
                <w:sz w:val="21"/>
                <w:szCs w:val="21"/>
              </w:rPr>
              <w:t xml:space="preserve">Rozbudowa terminala pasażerskiego (odlot pirs wschodni i zachodni oraz przylot strefa wschód) wraz </w:t>
            </w:r>
            <w:r w:rsidR="00B00AFA">
              <w:rPr>
                <w:rFonts w:ascii="Arial" w:hAnsi="Arial" w:cs="Arial"/>
                <w:color w:val="000000" w:themeColor="text1"/>
                <w:sz w:val="21"/>
                <w:szCs w:val="21"/>
              </w:rPr>
              <w:br/>
            </w:r>
            <w:r w:rsidRPr="009B78DA">
              <w:rPr>
                <w:rFonts w:ascii="Arial" w:hAnsi="Arial" w:cs="Arial"/>
                <w:color w:val="000000" w:themeColor="text1"/>
                <w:sz w:val="21"/>
                <w:szCs w:val="21"/>
              </w:rPr>
              <w:t>z opracowaniem dokumentacji projektowej</w:t>
            </w:r>
          </w:p>
          <w:p w14:paraId="37E72F93" w14:textId="77777777" w:rsidR="005F267C" w:rsidRPr="009B78DA" w:rsidRDefault="005F267C" w:rsidP="00C17C6C">
            <w:pPr>
              <w:pStyle w:val="Akapitzlist"/>
              <w:numPr>
                <w:ilvl w:val="0"/>
                <w:numId w:val="169"/>
              </w:numPr>
              <w:tabs>
                <w:tab w:val="left" w:pos="3180"/>
              </w:tabs>
              <w:spacing w:line="276" w:lineRule="auto"/>
              <w:ind w:left="242" w:right="87" w:hanging="284"/>
              <w:rPr>
                <w:rFonts w:ascii="Arial" w:hAnsi="Arial" w:cs="Arial"/>
                <w:color w:val="000000" w:themeColor="text1"/>
                <w:sz w:val="21"/>
                <w:szCs w:val="21"/>
              </w:rPr>
            </w:pPr>
            <w:r w:rsidRPr="009B78DA">
              <w:rPr>
                <w:rFonts w:ascii="Arial" w:hAnsi="Arial" w:cs="Arial"/>
                <w:color w:val="000000" w:themeColor="text1"/>
                <w:sz w:val="21"/>
                <w:szCs w:val="21"/>
              </w:rPr>
              <w:t>Budowa równoległej drogi kołowania po stronie wschodniej wraz z rozbudową drogi kołowania do progu 27 oraz drogą szybkiego zjazdu do kierunku 09</w:t>
            </w:r>
          </w:p>
          <w:p w14:paraId="3B18FB83" w14:textId="77777777" w:rsidR="005F267C" w:rsidRPr="009B78DA" w:rsidRDefault="005F267C" w:rsidP="00C17C6C">
            <w:pPr>
              <w:pStyle w:val="Akapitzlist"/>
              <w:numPr>
                <w:ilvl w:val="0"/>
                <w:numId w:val="169"/>
              </w:numPr>
              <w:tabs>
                <w:tab w:val="left" w:pos="3180"/>
              </w:tabs>
              <w:spacing w:line="276" w:lineRule="auto"/>
              <w:ind w:left="242" w:right="87" w:hanging="284"/>
              <w:rPr>
                <w:rFonts w:ascii="Arial" w:hAnsi="Arial" w:cs="Arial"/>
                <w:color w:val="000000" w:themeColor="text1"/>
                <w:sz w:val="21"/>
                <w:szCs w:val="21"/>
              </w:rPr>
            </w:pPr>
            <w:r w:rsidRPr="009B78DA">
              <w:rPr>
                <w:rFonts w:ascii="Arial" w:hAnsi="Arial" w:cs="Arial"/>
                <w:color w:val="000000" w:themeColor="text1"/>
                <w:sz w:val="21"/>
                <w:szCs w:val="21"/>
              </w:rPr>
              <w:t>Przebudowa drogi startowej w zakresie dostosowania jej nośności do zwiększonego ruchu lotniczego</w:t>
            </w:r>
          </w:p>
          <w:p w14:paraId="487593A7" w14:textId="0A780A80" w:rsidR="005F267C" w:rsidRPr="009B78DA" w:rsidRDefault="005F267C" w:rsidP="00C17C6C">
            <w:pPr>
              <w:pStyle w:val="Akapitzlist"/>
              <w:numPr>
                <w:ilvl w:val="0"/>
                <w:numId w:val="169"/>
              </w:numPr>
              <w:tabs>
                <w:tab w:val="left" w:pos="3180"/>
              </w:tabs>
              <w:spacing w:line="276" w:lineRule="auto"/>
              <w:ind w:left="242" w:right="87" w:hanging="284"/>
              <w:rPr>
                <w:rFonts w:ascii="Arial" w:hAnsi="Arial" w:cs="Arial"/>
                <w:color w:val="000000" w:themeColor="text1"/>
                <w:sz w:val="21"/>
                <w:szCs w:val="21"/>
              </w:rPr>
            </w:pPr>
            <w:r w:rsidRPr="009B78DA">
              <w:rPr>
                <w:rFonts w:ascii="Arial" w:hAnsi="Arial" w:cs="Arial"/>
                <w:color w:val="000000" w:themeColor="text1"/>
                <w:sz w:val="21"/>
                <w:szCs w:val="21"/>
              </w:rPr>
              <w:t>Wzmocnienie potencjału gospodarczego oraz wzmocnienie zmiany w kierunku tzw. zielonej gospodarki na terenie województwa podkarpackiego zrealizowane poprzez wymianę infrastruktury transportowej w Porcie Lotniczym „</w:t>
            </w:r>
            <w:r w:rsidR="00B00AFA">
              <w:rPr>
                <w:rFonts w:ascii="Arial" w:hAnsi="Arial" w:cs="Arial"/>
                <w:color w:val="000000" w:themeColor="text1"/>
                <w:sz w:val="21"/>
                <w:szCs w:val="21"/>
              </w:rPr>
              <w:t>Rzeszów – Jasionka” Sp. z o.o.</w:t>
            </w:r>
          </w:p>
          <w:p w14:paraId="61AE36F2" w14:textId="4239C199" w:rsidR="005F267C" w:rsidRPr="009B78DA" w:rsidRDefault="005F267C" w:rsidP="00C17C6C">
            <w:pPr>
              <w:pStyle w:val="Akapitzlist"/>
              <w:numPr>
                <w:ilvl w:val="0"/>
                <w:numId w:val="169"/>
              </w:numPr>
              <w:tabs>
                <w:tab w:val="left" w:pos="3180"/>
              </w:tabs>
              <w:spacing w:line="276" w:lineRule="auto"/>
              <w:ind w:left="242" w:right="87" w:hanging="284"/>
              <w:rPr>
                <w:rFonts w:ascii="Arial" w:hAnsi="Arial" w:cs="Arial"/>
                <w:color w:val="000000" w:themeColor="text1"/>
                <w:sz w:val="21"/>
                <w:szCs w:val="21"/>
              </w:rPr>
            </w:pPr>
            <w:r w:rsidRPr="009B78DA">
              <w:rPr>
                <w:rFonts w:ascii="Arial" w:hAnsi="Arial" w:cs="Arial"/>
                <w:color w:val="000000" w:themeColor="text1"/>
                <w:sz w:val="21"/>
                <w:szCs w:val="21"/>
              </w:rPr>
              <w:t>Wzmocnienie infrastruktury transportowej i wzrost wydajności poprze</w:t>
            </w:r>
            <w:r w:rsidR="00B00AFA">
              <w:rPr>
                <w:rFonts w:ascii="Arial" w:hAnsi="Arial" w:cs="Arial"/>
                <w:color w:val="000000" w:themeColor="text1"/>
                <w:sz w:val="21"/>
                <w:szCs w:val="21"/>
              </w:rPr>
              <w:t xml:space="preserve">z przebudowę drogi startowej </w:t>
            </w:r>
            <w:r w:rsidR="00B00AFA">
              <w:rPr>
                <w:rFonts w:ascii="Arial" w:hAnsi="Arial" w:cs="Arial"/>
                <w:color w:val="000000" w:themeColor="text1"/>
                <w:sz w:val="21"/>
                <w:szCs w:val="21"/>
              </w:rPr>
              <w:br/>
              <w:t xml:space="preserve">i </w:t>
            </w:r>
            <w:r w:rsidRPr="009B78DA">
              <w:rPr>
                <w:rFonts w:ascii="Arial" w:hAnsi="Arial" w:cs="Arial"/>
                <w:color w:val="000000" w:themeColor="text1"/>
                <w:sz w:val="21"/>
                <w:szCs w:val="21"/>
              </w:rPr>
              <w:t xml:space="preserve">budowę równoległej drogi kołowania </w:t>
            </w:r>
            <w:r w:rsidR="00B00AFA">
              <w:rPr>
                <w:rFonts w:ascii="Arial" w:hAnsi="Arial" w:cs="Arial"/>
                <w:color w:val="000000" w:themeColor="text1"/>
                <w:sz w:val="21"/>
                <w:szCs w:val="21"/>
              </w:rPr>
              <w:br/>
            </w:r>
            <w:r w:rsidRPr="009B78DA">
              <w:rPr>
                <w:rFonts w:ascii="Arial" w:hAnsi="Arial" w:cs="Arial"/>
                <w:color w:val="000000" w:themeColor="text1"/>
                <w:sz w:val="21"/>
                <w:szCs w:val="21"/>
              </w:rPr>
              <w:t>w Porcie Lotniczym „Rzeszów – Jasionka” Sp. z o.o.</w:t>
            </w:r>
          </w:p>
        </w:tc>
        <w:tc>
          <w:tcPr>
            <w:tcW w:w="1382" w:type="pct"/>
            <w:vAlign w:val="center"/>
          </w:tcPr>
          <w:p w14:paraId="737ED47A" w14:textId="77777777" w:rsidR="005F267C" w:rsidRPr="009B78DA" w:rsidRDefault="005F267C" w:rsidP="00C17C6C">
            <w:pPr>
              <w:pStyle w:val="Akapitzlist"/>
              <w:numPr>
                <w:ilvl w:val="0"/>
                <w:numId w:val="17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Green Avio - Sieć Awioturystyczna Województwa Podkarpackiego</w:t>
            </w:r>
          </w:p>
          <w:p w14:paraId="63AA421B" w14:textId="77777777" w:rsidR="005F267C" w:rsidRPr="009B78DA" w:rsidRDefault="005F267C" w:rsidP="00C17C6C">
            <w:pPr>
              <w:pStyle w:val="Akapitzlist"/>
              <w:numPr>
                <w:ilvl w:val="0"/>
                <w:numId w:val="17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Nowe lądowiska Lotniczego Pogotowia Ratunkowego,</w:t>
            </w:r>
          </w:p>
          <w:p w14:paraId="15B6F455" w14:textId="77777777" w:rsidR="005F267C" w:rsidRPr="009B78DA" w:rsidRDefault="005F267C" w:rsidP="00C17C6C">
            <w:pPr>
              <w:pStyle w:val="Akapitzlist"/>
              <w:numPr>
                <w:ilvl w:val="0"/>
                <w:numId w:val="170"/>
              </w:numPr>
              <w:spacing w:line="276" w:lineRule="auto"/>
              <w:rPr>
                <w:rFonts w:ascii="Arial" w:hAnsi="Arial" w:cs="Arial"/>
                <w:color w:val="000000" w:themeColor="text1"/>
                <w:sz w:val="21"/>
                <w:szCs w:val="21"/>
              </w:rPr>
            </w:pPr>
            <w:r w:rsidRPr="009B78DA">
              <w:rPr>
                <w:rFonts w:ascii="Arial" w:hAnsi="Arial" w:cs="Arial"/>
                <w:color w:val="000000" w:themeColor="text1"/>
                <w:sz w:val="21"/>
                <w:szCs w:val="21"/>
              </w:rPr>
              <w:t xml:space="preserve">Wydłużenie pasa startowego oraz budowa nowej drogi kołowania na lotnisku Krosno (EPKR).  </w:t>
            </w:r>
          </w:p>
        </w:tc>
        <w:tc>
          <w:tcPr>
            <w:tcW w:w="1685" w:type="pct"/>
            <w:vAlign w:val="center"/>
          </w:tcPr>
          <w:p w14:paraId="26C81149" w14:textId="77777777" w:rsidR="005F267C" w:rsidRPr="009B78DA" w:rsidRDefault="005F267C" w:rsidP="00C17C6C">
            <w:pPr>
              <w:spacing w:after="120" w:line="276" w:lineRule="auto"/>
              <w:rPr>
                <w:rFonts w:ascii="Arial" w:hAnsi="Arial" w:cs="Arial"/>
                <w:color w:val="000000" w:themeColor="text1"/>
                <w:sz w:val="21"/>
                <w:szCs w:val="21"/>
              </w:rPr>
            </w:pPr>
          </w:p>
        </w:tc>
      </w:tr>
      <w:tr w:rsidR="005F267C" w:rsidRPr="009B78DA" w14:paraId="49AD963D" w14:textId="77777777" w:rsidTr="00C17C6C">
        <w:tc>
          <w:tcPr>
            <w:tcW w:w="551" w:type="pct"/>
            <w:vAlign w:val="center"/>
          </w:tcPr>
          <w:p w14:paraId="4D91C1CE" w14:textId="77777777" w:rsidR="005F267C" w:rsidRPr="009B78DA" w:rsidRDefault="005F267C" w:rsidP="00C17C6C">
            <w:pPr>
              <w:spacing w:line="276" w:lineRule="auto"/>
              <w:rPr>
                <w:rFonts w:ascii="Arial" w:hAnsi="Arial" w:cs="Arial"/>
                <w:b/>
                <w:color w:val="000000" w:themeColor="text1"/>
                <w:sz w:val="20"/>
                <w:szCs w:val="20"/>
              </w:rPr>
            </w:pPr>
            <w:r w:rsidRPr="009B78DA">
              <w:rPr>
                <w:rFonts w:ascii="Arial" w:hAnsi="Arial" w:cs="Arial"/>
                <w:b/>
                <w:color w:val="000000" w:themeColor="text1"/>
                <w:sz w:val="20"/>
                <w:szCs w:val="20"/>
              </w:rPr>
              <w:t xml:space="preserve">Lotniczy/ </w:t>
            </w:r>
            <w:r w:rsidRPr="009B78DA">
              <w:rPr>
                <w:rFonts w:ascii="Arial" w:hAnsi="Arial" w:cs="Arial"/>
                <w:b/>
                <w:color w:val="000000" w:themeColor="text1"/>
                <w:sz w:val="20"/>
                <w:szCs w:val="20"/>
              </w:rPr>
              <w:br/>
              <w:t>Priorytet B</w:t>
            </w:r>
          </w:p>
        </w:tc>
        <w:tc>
          <w:tcPr>
            <w:tcW w:w="1382" w:type="pct"/>
            <w:vAlign w:val="center"/>
          </w:tcPr>
          <w:p w14:paraId="6BC4E110" w14:textId="77777777" w:rsidR="005F267C" w:rsidRPr="009B78DA" w:rsidRDefault="005F267C" w:rsidP="00C17C6C">
            <w:pPr>
              <w:pStyle w:val="Akapitzlist"/>
              <w:numPr>
                <w:ilvl w:val="0"/>
                <w:numId w:val="171"/>
              </w:numPr>
              <w:spacing w:line="276" w:lineRule="auto"/>
              <w:ind w:left="173" w:hanging="173"/>
              <w:rPr>
                <w:rFonts w:ascii="Arial" w:hAnsi="Arial" w:cs="Arial"/>
                <w:color w:val="000000" w:themeColor="text1"/>
                <w:sz w:val="21"/>
                <w:szCs w:val="21"/>
              </w:rPr>
            </w:pPr>
            <w:r w:rsidRPr="009B78DA">
              <w:rPr>
                <w:rFonts w:ascii="Arial" w:hAnsi="Arial" w:cs="Arial"/>
                <w:color w:val="000000" w:themeColor="text1"/>
                <w:sz w:val="21"/>
                <w:szCs w:val="21"/>
              </w:rPr>
              <w:t>Przebudowa i budowa parkingu dla samochodów osobowych wraz z towarzyszącą infrastrukturą z uwzględnieniem lokalizacji linii kolejowej oraz peronu przy terminalu pasażerskim.</w:t>
            </w:r>
          </w:p>
          <w:p w14:paraId="7AFB0BDC" w14:textId="77777777" w:rsidR="005F267C" w:rsidRPr="009B78DA" w:rsidRDefault="005F267C" w:rsidP="00C17C6C">
            <w:pPr>
              <w:pStyle w:val="Akapitzlist"/>
              <w:numPr>
                <w:ilvl w:val="0"/>
                <w:numId w:val="171"/>
              </w:numPr>
              <w:spacing w:line="276" w:lineRule="auto"/>
              <w:ind w:left="173" w:hanging="173"/>
              <w:rPr>
                <w:rFonts w:ascii="Arial" w:hAnsi="Arial" w:cs="Arial"/>
                <w:color w:val="000000" w:themeColor="text1"/>
                <w:sz w:val="21"/>
                <w:szCs w:val="21"/>
              </w:rPr>
            </w:pPr>
            <w:r w:rsidRPr="009B78DA">
              <w:rPr>
                <w:rFonts w:ascii="Arial" w:hAnsi="Arial" w:cs="Arial"/>
                <w:color w:val="000000" w:themeColor="text1"/>
                <w:sz w:val="21"/>
                <w:szCs w:val="21"/>
              </w:rPr>
              <w:t>Budowa kolektora wód deszczowych łączącego teren lotniska z rzeką Wisłok</w:t>
            </w:r>
          </w:p>
          <w:p w14:paraId="0C02EA3D" w14:textId="606D7871" w:rsidR="005F267C" w:rsidRPr="009B78DA" w:rsidRDefault="005F267C" w:rsidP="00C17C6C">
            <w:pPr>
              <w:pStyle w:val="Akapitzlist"/>
              <w:numPr>
                <w:ilvl w:val="0"/>
                <w:numId w:val="171"/>
              </w:numPr>
              <w:spacing w:line="276" w:lineRule="auto"/>
              <w:ind w:left="173" w:hanging="173"/>
              <w:rPr>
                <w:rFonts w:ascii="Arial" w:hAnsi="Arial" w:cs="Arial"/>
                <w:color w:val="000000" w:themeColor="text1"/>
                <w:sz w:val="21"/>
                <w:szCs w:val="21"/>
              </w:rPr>
            </w:pPr>
            <w:r w:rsidRPr="009B78DA">
              <w:rPr>
                <w:rFonts w:ascii="Arial" w:hAnsi="Arial" w:cs="Arial"/>
                <w:color w:val="000000" w:themeColor="text1"/>
                <w:sz w:val="21"/>
                <w:szCs w:val="21"/>
              </w:rPr>
              <w:t xml:space="preserve">Modernizacja systemów ogrzewania obiektów administracyjno-technicznych </w:t>
            </w:r>
            <w:r w:rsidR="00B00AFA">
              <w:rPr>
                <w:rFonts w:ascii="Arial" w:hAnsi="Arial" w:cs="Arial"/>
                <w:color w:val="000000" w:themeColor="text1"/>
                <w:sz w:val="21"/>
                <w:szCs w:val="21"/>
              </w:rPr>
              <w:br/>
            </w:r>
            <w:r w:rsidRPr="009B78DA">
              <w:rPr>
                <w:rFonts w:ascii="Arial" w:hAnsi="Arial" w:cs="Arial"/>
                <w:color w:val="000000" w:themeColor="text1"/>
                <w:sz w:val="21"/>
                <w:szCs w:val="21"/>
              </w:rPr>
              <w:t>w Porcie Lotniczym "Rzeszów Jasionka" Sp. z o.o. z wykorzystaniem energii ze środowiska naturalnego za pomocą pompy ciepła</w:t>
            </w:r>
          </w:p>
        </w:tc>
        <w:tc>
          <w:tcPr>
            <w:tcW w:w="1382" w:type="pct"/>
            <w:vAlign w:val="center"/>
          </w:tcPr>
          <w:p w14:paraId="66E0EE9D" w14:textId="77777777" w:rsidR="005F267C" w:rsidRPr="009B78DA" w:rsidRDefault="005F267C" w:rsidP="00C17C6C">
            <w:pPr>
              <w:spacing w:after="120" w:line="276" w:lineRule="auto"/>
              <w:rPr>
                <w:rFonts w:ascii="Arial" w:hAnsi="Arial" w:cs="Arial"/>
                <w:color w:val="000000" w:themeColor="text1"/>
                <w:sz w:val="20"/>
                <w:szCs w:val="20"/>
              </w:rPr>
            </w:pPr>
          </w:p>
        </w:tc>
        <w:tc>
          <w:tcPr>
            <w:tcW w:w="1685" w:type="pct"/>
            <w:vAlign w:val="center"/>
          </w:tcPr>
          <w:p w14:paraId="5E2EEFAD" w14:textId="77777777" w:rsidR="005F267C" w:rsidRPr="009B78DA" w:rsidRDefault="005F267C" w:rsidP="00C17C6C">
            <w:pPr>
              <w:spacing w:after="120" w:line="276" w:lineRule="auto"/>
              <w:rPr>
                <w:rFonts w:ascii="Arial" w:hAnsi="Arial" w:cs="Arial"/>
                <w:color w:val="000000" w:themeColor="text1"/>
                <w:sz w:val="20"/>
                <w:szCs w:val="20"/>
              </w:rPr>
            </w:pPr>
          </w:p>
        </w:tc>
      </w:tr>
      <w:tr w:rsidR="005F267C" w:rsidRPr="009B78DA" w14:paraId="4D4A6B3D" w14:textId="77777777" w:rsidTr="00C17C6C">
        <w:tc>
          <w:tcPr>
            <w:tcW w:w="551" w:type="pct"/>
            <w:vAlign w:val="center"/>
          </w:tcPr>
          <w:p w14:paraId="23698C8F" w14:textId="77777777" w:rsidR="005F267C" w:rsidRPr="009B78DA" w:rsidRDefault="005F267C" w:rsidP="00C17C6C">
            <w:pPr>
              <w:spacing w:line="264" w:lineRule="auto"/>
              <w:rPr>
                <w:rFonts w:ascii="Arial" w:hAnsi="Arial" w:cs="Arial"/>
                <w:b/>
                <w:color w:val="000000" w:themeColor="text1"/>
                <w:sz w:val="20"/>
                <w:szCs w:val="20"/>
              </w:rPr>
            </w:pPr>
            <w:r w:rsidRPr="009B78DA">
              <w:rPr>
                <w:rFonts w:ascii="Arial" w:hAnsi="Arial" w:cs="Arial"/>
                <w:b/>
                <w:color w:val="000000" w:themeColor="text1"/>
                <w:sz w:val="20"/>
                <w:szCs w:val="20"/>
              </w:rPr>
              <w:t>Alternatywny/ Priorytet A</w:t>
            </w:r>
          </w:p>
        </w:tc>
        <w:tc>
          <w:tcPr>
            <w:tcW w:w="1382" w:type="pct"/>
            <w:vAlign w:val="center"/>
          </w:tcPr>
          <w:p w14:paraId="23422118" w14:textId="77777777" w:rsidR="005F267C" w:rsidRPr="009B78DA" w:rsidRDefault="005F267C" w:rsidP="00C17C6C">
            <w:pPr>
              <w:pStyle w:val="Akapitzlist"/>
              <w:numPr>
                <w:ilvl w:val="0"/>
                <w:numId w:val="172"/>
              </w:numPr>
              <w:spacing w:line="264" w:lineRule="auto"/>
              <w:rPr>
                <w:rFonts w:ascii="Arial" w:hAnsi="Arial" w:cs="Arial"/>
                <w:color w:val="000000" w:themeColor="text1"/>
                <w:sz w:val="21"/>
                <w:szCs w:val="21"/>
              </w:rPr>
            </w:pPr>
            <w:r w:rsidRPr="009B78DA">
              <w:rPr>
                <w:rFonts w:ascii="Arial" w:hAnsi="Arial" w:cs="Arial"/>
                <w:color w:val="000000" w:themeColor="text1"/>
                <w:sz w:val="21"/>
                <w:szCs w:val="21"/>
              </w:rPr>
              <w:t>"Rowerstrada Solina - Zakopane"</w:t>
            </w:r>
          </w:p>
          <w:p w14:paraId="3AFC52B6" w14:textId="77777777" w:rsidR="005F267C" w:rsidRPr="009B78DA" w:rsidRDefault="005F267C" w:rsidP="00C17C6C">
            <w:pPr>
              <w:pStyle w:val="Akapitzlist"/>
              <w:numPr>
                <w:ilvl w:val="0"/>
                <w:numId w:val="172"/>
              </w:numPr>
              <w:spacing w:line="264" w:lineRule="auto"/>
              <w:rPr>
                <w:rFonts w:ascii="Arial" w:hAnsi="Arial" w:cs="Arial"/>
                <w:color w:val="000000" w:themeColor="text1"/>
                <w:sz w:val="21"/>
                <w:szCs w:val="21"/>
              </w:rPr>
            </w:pPr>
            <w:r w:rsidRPr="009B78DA">
              <w:rPr>
                <w:rFonts w:ascii="Arial" w:hAnsi="Arial" w:cs="Arial"/>
                <w:color w:val="000000" w:themeColor="text1"/>
                <w:sz w:val="21"/>
                <w:szCs w:val="21"/>
              </w:rPr>
              <w:t>„Green Velo – rozwój” - ponadregionalny produkt turystyczny w oparciu o trasy rowerowe Polski Wschodniej</w:t>
            </w:r>
          </w:p>
          <w:p w14:paraId="7CFDE468" w14:textId="77777777" w:rsidR="005F267C" w:rsidRPr="009B78DA" w:rsidRDefault="005F267C" w:rsidP="00C17C6C">
            <w:pPr>
              <w:pStyle w:val="Akapitzlist"/>
              <w:numPr>
                <w:ilvl w:val="0"/>
                <w:numId w:val="172"/>
              </w:numPr>
              <w:spacing w:line="264" w:lineRule="auto"/>
              <w:rPr>
                <w:rFonts w:ascii="Arial" w:hAnsi="Arial" w:cs="Arial"/>
                <w:color w:val="000000" w:themeColor="text1"/>
                <w:sz w:val="21"/>
                <w:szCs w:val="21"/>
              </w:rPr>
            </w:pPr>
            <w:r w:rsidRPr="009B78DA">
              <w:rPr>
                <w:rFonts w:ascii="Arial" w:hAnsi="Arial" w:cs="Arial"/>
                <w:color w:val="000000" w:themeColor="text1"/>
                <w:sz w:val="21"/>
                <w:szCs w:val="21"/>
              </w:rPr>
              <w:t>"Blue Valley - Wiślanym Szlakiem"</w:t>
            </w:r>
          </w:p>
          <w:p w14:paraId="3330773F" w14:textId="77777777" w:rsidR="005F267C" w:rsidRPr="009B78DA" w:rsidRDefault="005F267C" w:rsidP="00C17C6C">
            <w:pPr>
              <w:pStyle w:val="Akapitzlist"/>
              <w:numPr>
                <w:ilvl w:val="0"/>
                <w:numId w:val="172"/>
              </w:numPr>
              <w:spacing w:line="264" w:lineRule="auto"/>
              <w:rPr>
                <w:rFonts w:ascii="Arial" w:hAnsi="Arial" w:cs="Arial"/>
                <w:color w:val="000000" w:themeColor="text1"/>
                <w:sz w:val="21"/>
                <w:szCs w:val="21"/>
              </w:rPr>
            </w:pPr>
            <w:r w:rsidRPr="009B78DA">
              <w:rPr>
                <w:rFonts w:ascii="Arial" w:hAnsi="Arial" w:cs="Arial"/>
                <w:color w:val="000000" w:themeColor="text1"/>
                <w:sz w:val="21"/>
                <w:szCs w:val="21"/>
              </w:rPr>
              <w:t>"Trasy rowerowe w Bieszczadach z połączeniem do GreenVelo"</w:t>
            </w:r>
          </w:p>
          <w:p w14:paraId="655B8353" w14:textId="77777777" w:rsidR="005F267C" w:rsidRPr="009B78DA" w:rsidRDefault="005F267C" w:rsidP="00C17C6C">
            <w:pPr>
              <w:pStyle w:val="Akapitzlist"/>
              <w:numPr>
                <w:ilvl w:val="0"/>
                <w:numId w:val="172"/>
              </w:numPr>
              <w:spacing w:line="264" w:lineRule="auto"/>
              <w:rPr>
                <w:rFonts w:ascii="Arial" w:hAnsi="Arial" w:cs="Arial"/>
                <w:color w:val="000000" w:themeColor="text1"/>
                <w:sz w:val="21"/>
                <w:szCs w:val="21"/>
              </w:rPr>
            </w:pPr>
            <w:r w:rsidRPr="009B78DA">
              <w:rPr>
                <w:rFonts w:ascii="Arial" w:hAnsi="Arial" w:cs="Arial"/>
                <w:color w:val="000000" w:themeColor="text1"/>
                <w:sz w:val="21"/>
                <w:szCs w:val="21"/>
              </w:rPr>
              <w:t>Budowa trasy rowerowej EuroVelo 4 (400 km trasa krajowa nr 4 Roscoff-Kijów)</w:t>
            </w:r>
          </w:p>
          <w:p w14:paraId="02CA0662" w14:textId="77777777" w:rsidR="005F267C" w:rsidRPr="009B78DA" w:rsidRDefault="005F267C" w:rsidP="00C17C6C">
            <w:pPr>
              <w:pStyle w:val="Akapitzlist"/>
              <w:spacing w:line="264" w:lineRule="auto"/>
              <w:ind w:left="360"/>
              <w:rPr>
                <w:rFonts w:ascii="Arial" w:hAnsi="Arial" w:cs="Arial"/>
                <w:color w:val="000000" w:themeColor="text1"/>
                <w:sz w:val="21"/>
                <w:szCs w:val="21"/>
              </w:rPr>
            </w:pPr>
          </w:p>
        </w:tc>
        <w:tc>
          <w:tcPr>
            <w:tcW w:w="1382" w:type="pct"/>
            <w:vAlign w:val="center"/>
          </w:tcPr>
          <w:p w14:paraId="1B63A16A" w14:textId="46D84797" w:rsidR="005F267C" w:rsidRPr="009B78DA" w:rsidRDefault="005F267C" w:rsidP="00C17C6C">
            <w:pPr>
              <w:pStyle w:val="Akapitzlist"/>
              <w:numPr>
                <w:ilvl w:val="0"/>
                <w:numId w:val="173"/>
              </w:numPr>
              <w:spacing w:line="264" w:lineRule="auto"/>
              <w:ind w:left="177" w:hanging="283"/>
              <w:rPr>
                <w:rFonts w:ascii="Arial" w:hAnsi="Arial" w:cs="Arial"/>
                <w:color w:val="000000" w:themeColor="text1"/>
                <w:sz w:val="21"/>
                <w:szCs w:val="21"/>
              </w:rPr>
            </w:pPr>
            <w:r w:rsidRPr="009B78DA">
              <w:rPr>
                <w:rFonts w:ascii="Arial" w:hAnsi="Arial" w:cs="Arial"/>
                <w:color w:val="000000" w:themeColor="text1"/>
                <w:sz w:val="21"/>
                <w:szCs w:val="21"/>
              </w:rPr>
              <w:t xml:space="preserve">"Sieć regionalnych tras rowerowych </w:t>
            </w:r>
            <w:r w:rsidR="00B00AFA">
              <w:rPr>
                <w:rFonts w:ascii="Arial" w:hAnsi="Arial" w:cs="Arial"/>
                <w:color w:val="000000" w:themeColor="text1"/>
                <w:sz w:val="21"/>
                <w:szCs w:val="21"/>
              </w:rPr>
              <w:br/>
            </w:r>
            <w:r w:rsidRPr="009B78DA">
              <w:rPr>
                <w:rFonts w:ascii="Arial" w:hAnsi="Arial" w:cs="Arial"/>
                <w:color w:val="000000" w:themeColor="text1"/>
                <w:sz w:val="21"/>
                <w:szCs w:val="21"/>
              </w:rPr>
              <w:t>i szlaków Greenways"</w:t>
            </w:r>
          </w:p>
          <w:p w14:paraId="583421BF" w14:textId="77777777" w:rsidR="005F267C" w:rsidRPr="009B78DA" w:rsidRDefault="005F267C" w:rsidP="00C17C6C">
            <w:pPr>
              <w:pStyle w:val="Akapitzlist"/>
              <w:numPr>
                <w:ilvl w:val="0"/>
                <w:numId w:val="173"/>
              </w:numPr>
              <w:spacing w:line="264" w:lineRule="auto"/>
              <w:ind w:left="177" w:hanging="283"/>
              <w:rPr>
                <w:rFonts w:ascii="Arial" w:hAnsi="Arial" w:cs="Arial"/>
                <w:color w:val="000000" w:themeColor="text1"/>
                <w:sz w:val="21"/>
                <w:szCs w:val="21"/>
              </w:rPr>
            </w:pPr>
            <w:r w:rsidRPr="009B78DA">
              <w:rPr>
                <w:rFonts w:ascii="Arial" w:hAnsi="Arial" w:cs="Arial"/>
                <w:color w:val="000000" w:themeColor="text1"/>
                <w:sz w:val="21"/>
                <w:szCs w:val="21"/>
              </w:rPr>
              <w:t>Wsparcie rozwoju turystyki kajakowej na rzece San</w:t>
            </w:r>
          </w:p>
          <w:p w14:paraId="62FF7CBE" w14:textId="77777777" w:rsidR="005F267C" w:rsidRPr="009B78DA" w:rsidRDefault="005F267C" w:rsidP="00C17C6C">
            <w:pPr>
              <w:pStyle w:val="Akapitzlist"/>
              <w:numPr>
                <w:ilvl w:val="0"/>
                <w:numId w:val="173"/>
              </w:numPr>
              <w:spacing w:line="264" w:lineRule="auto"/>
              <w:ind w:left="177" w:hanging="283"/>
              <w:rPr>
                <w:rFonts w:ascii="Arial" w:hAnsi="Arial" w:cs="Arial"/>
                <w:color w:val="000000" w:themeColor="text1"/>
                <w:sz w:val="21"/>
                <w:szCs w:val="21"/>
              </w:rPr>
            </w:pPr>
            <w:r w:rsidRPr="009B78DA">
              <w:rPr>
                <w:rFonts w:ascii="Arial" w:hAnsi="Arial" w:cs="Arial"/>
                <w:color w:val="000000" w:themeColor="text1"/>
                <w:sz w:val="21"/>
                <w:szCs w:val="21"/>
              </w:rPr>
              <w:t>Budowa sieci głównych połączeń dla transportu rowerowego w województwie podkarpackim</w:t>
            </w:r>
          </w:p>
          <w:p w14:paraId="7E61757D" w14:textId="77777777" w:rsidR="005F267C" w:rsidRPr="009B78DA" w:rsidRDefault="005F267C" w:rsidP="00C17C6C">
            <w:pPr>
              <w:pStyle w:val="Akapitzlist"/>
              <w:numPr>
                <w:ilvl w:val="0"/>
                <w:numId w:val="173"/>
              </w:numPr>
              <w:spacing w:line="264" w:lineRule="auto"/>
              <w:ind w:left="177" w:hanging="283"/>
              <w:rPr>
                <w:rFonts w:ascii="Arial" w:hAnsi="Arial" w:cs="Arial"/>
                <w:color w:val="000000" w:themeColor="text1"/>
                <w:sz w:val="21"/>
                <w:szCs w:val="21"/>
              </w:rPr>
            </w:pPr>
            <w:r w:rsidRPr="009B78DA">
              <w:rPr>
                <w:rFonts w:ascii="Arial" w:hAnsi="Arial" w:cs="Arial"/>
                <w:color w:val="000000" w:themeColor="text1"/>
                <w:sz w:val="21"/>
                <w:szCs w:val="21"/>
              </w:rPr>
              <w:t xml:space="preserve">Szlak Rowerowy - Puszcza Sandomierska </w:t>
            </w:r>
          </w:p>
          <w:p w14:paraId="7BE52EE6" w14:textId="4D8446E9" w:rsidR="005F267C" w:rsidRPr="009B78DA" w:rsidRDefault="005F267C" w:rsidP="00C17C6C">
            <w:pPr>
              <w:pStyle w:val="Akapitzlist"/>
              <w:numPr>
                <w:ilvl w:val="0"/>
                <w:numId w:val="173"/>
              </w:numPr>
              <w:spacing w:line="264" w:lineRule="auto"/>
              <w:ind w:left="177" w:hanging="283"/>
              <w:rPr>
                <w:rFonts w:ascii="Arial" w:hAnsi="Arial" w:cs="Arial"/>
                <w:color w:val="000000" w:themeColor="text1"/>
                <w:sz w:val="21"/>
                <w:szCs w:val="21"/>
              </w:rPr>
            </w:pPr>
            <w:r w:rsidRPr="009B78DA">
              <w:rPr>
                <w:rFonts w:ascii="Arial" w:hAnsi="Arial" w:cs="Arial"/>
                <w:color w:val="000000" w:themeColor="text1"/>
                <w:sz w:val="21"/>
                <w:szCs w:val="21"/>
              </w:rPr>
              <w:t xml:space="preserve">Rozwój turystyki żeglarskiej </w:t>
            </w:r>
            <w:r w:rsidR="00B00AFA">
              <w:rPr>
                <w:rFonts w:ascii="Arial" w:hAnsi="Arial" w:cs="Arial"/>
                <w:color w:val="000000" w:themeColor="text1"/>
                <w:sz w:val="21"/>
                <w:szCs w:val="21"/>
              </w:rPr>
              <w:br/>
            </w:r>
            <w:r w:rsidRPr="009B78DA">
              <w:rPr>
                <w:rFonts w:ascii="Arial" w:hAnsi="Arial" w:cs="Arial"/>
                <w:color w:val="000000" w:themeColor="text1"/>
                <w:sz w:val="21"/>
                <w:szCs w:val="21"/>
              </w:rPr>
              <w:t xml:space="preserve">i infrastruktury turystycznej wokół Jeziora Solińskiego i Myczkowieckiego </w:t>
            </w:r>
          </w:p>
          <w:p w14:paraId="22451C60" w14:textId="77777777" w:rsidR="005F267C" w:rsidRPr="009B78DA" w:rsidRDefault="005F267C" w:rsidP="00C17C6C">
            <w:pPr>
              <w:pStyle w:val="Akapitzlist"/>
              <w:numPr>
                <w:ilvl w:val="0"/>
                <w:numId w:val="173"/>
              </w:numPr>
              <w:spacing w:line="264" w:lineRule="auto"/>
              <w:ind w:left="177" w:hanging="283"/>
              <w:rPr>
                <w:rFonts w:ascii="Arial" w:hAnsi="Arial" w:cs="Arial"/>
                <w:color w:val="000000" w:themeColor="text1"/>
                <w:sz w:val="21"/>
                <w:szCs w:val="21"/>
              </w:rPr>
            </w:pPr>
            <w:r w:rsidRPr="009B78DA">
              <w:rPr>
                <w:rFonts w:ascii="Arial" w:hAnsi="Arial" w:cs="Arial"/>
                <w:color w:val="000000" w:themeColor="text1"/>
                <w:sz w:val="21"/>
                <w:szCs w:val="21"/>
              </w:rPr>
              <w:t>Nadsańskie Bulwary – szlak pieszo rowerowy i wodny Projekt</w:t>
            </w:r>
          </w:p>
          <w:p w14:paraId="505E5B3A" w14:textId="69AEF936" w:rsidR="005F267C" w:rsidRPr="009B78DA" w:rsidRDefault="005F267C" w:rsidP="00C17C6C">
            <w:pPr>
              <w:pStyle w:val="Akapitzlist"/>
              <w:numPr>
                <w:ilvl w:val="0"/>
                <w:numId w:val="173"/>
              </w:numPr>
              <w:spacing w:line="264" w:lineRule="auto"/>
              <w:ind w:left="177" w:hanging="283"/>
              <w:rPr>
                <w:rFonts w:ascii="Arial" w:hAnsi="Arial" w:cs="Arial"/>
                <w:color w:val="000000" w:themeColor="text1"/>
                <w:sz w:val="21"/>
                <w:szCs w:val="21"/>
              </w:rPr>
            </w:pPr>
            <w:r w:rsidRPr="009B78DA">
              <w:rPr>
                <w:rFonts w:ascii="Arial" w:hAnsi="Arial" w:cs="Arial"/>
                <w:color w:val="000000" w:themeColor="text1"/>
                <w:sz w:val="21"/>
                <w:szCs w:val="21"/>
              </w:rPr>
              <w:t xml:space="preserve">Inwestycje w ścieżki rowerowe </w:t>
            </w:r>
            <w:r w:rsidR="00A26349">
              <w:rPr>
                <w:rFonts w:ascii="Arial" w:hAnsi="Arial" w:cs="Arial"/>
                <w:color w:val="000000" w:themeColor="text1"/>
                <w:sz w:val="21"/>
                <w:szCs w:val="21"/>
              </w:rPr>
              <w:br/>
            </w:r>
            <w:r w:rsidRPr="009B78DA">
              <w:rPr>
                <w:rFonts w:ascii="Arial" w:hAnsi="Arial" w:cs="Arial"/>
                <w:color w:val="000000" w:themeColor="text1"/>
                <w:sz w:val="21"/>
                <w:szCs w:val="21"/>
              </w:rPr>
              <w:t>w miastach</w:t>
            </w:r>
          </w:p>
        </w:tc>
        <w:tc>
          <w:tcPr>
            <w:tcW w:w="1685" w:type="pct"/>
            <w:vAlign w:val="center"/>
          </w:tcPr>
          <w:p w14:paraId="4EDE9D6E" w14:textId="77777777" w:rsidR="005F267C" w:rsidRPr="009B78DA" w:rsidRDefault="005F267C" w:rsidP="00C17C6C">
            <w:pPr>
              <w:pStyle w:val="Akapitzlist"/>
              <w:numPr>
                <w:ilvl w:val="0"/>
                <w:numId w:val="225"/>
              </w:numPr>
              <w:spacing w:line="264" w:lineRule="auto"/>
              <w:rPr>
                <w:rFonts w:ascii="Arial" w:hAnsi="Arial" w:cs="Arial"/>
                <w:color w:val="000000" w:themeColor="text1"/>
                <w:sz w:val="21"/>
                <w:szCs w:val="21"/>
              </w:rPr>
            </w:pPr>
            <w:r w:rsidRPr="009B78DA">
              <w:rPr>
                <w:rFonts w:ascii="Arial" w:hAnsi="Arial" w:cs="Arial"/>
                <w:color w:val="000000" w:themeColor="text1"/>
                <w:sz w:val="21"/>
                <w:szCs w:val="21"/>
              </w:rPr>
              <w:t>Inwestycje w ścieżki rowerowe w miastach poszczególnych biegunach wzrostu.</w:t>
            </w:r>
          </w:p>
        </w:tc>
      </w:tr>
      <w:tr w:rsidR="005F267C" w:rsidRPr="009B78DA" w14:paraId="111273E8" w14:textId="77777777" w:rsidTr="00C17C6C">
        <w:tc>
          <w:tcPr>
            <w:tcW w:w="551" w:type="pct"/>
            <w:vAlign w:val="center"/>
          </w:tcPr>
          <w:p w14:paraId="3B00DAAD" w14:textId="77777777" w:rsidR="005F267C" w:rsidRPr="009B78DA" w:rsidRDefault="005F267C" w:rsidP="00C17C6C">
            <w:pPr>
              <w:spacing w:line="276" w:lineRule="auto"/>
              <w:rPr>
                <w:rFonts w:ascii="Arial" w:hAnsi="Arial" w:cs="Arial"/>
                <w:b/>
                <w:color w:val="000000" w:themeColor="text1"/>
                <w:sz w:val="21"/>
                <w:szCs w:val="21"/>
              </w:rPr>
            </w:pPr>
            <w:r w:rsidRPr="009B78DA">
              <w:rPr>
                <w:rFonts w:ascii="Arial" w:hAnsi="Arial" w:cs="Arial"/>
                <w:b/>
                <w:color w:val="000000" w:themeColor="text1"/>
                <w:sz w:val="21"/>
                <w:szCs w:val="21"/>
              </w:rPr>
              <w:t>Alternatywny/ Priorytet B</w:t>
            </w:r>
          </w:p>
        </w:tc>
        <w:tc>
          <w:tcPr>
            <w:tcW w:w="1382" w:type="pct"/>
            <w:vAlign w:val="center"/>
          </w:tcPr>
          <w:p w14:paraId="55243F43" w14:textId="77777777" w:rsidR="005F267C" w:rsidRPr="009B78DA" w:rsidRDefault="005F267C" w:rsidP="00C17C6C">
            <w:pPr>
              <w:spacing w:after="120" w:line="276" w:lineRule="auto"/>
              <w:rPr>
                <w:rFonts w:ascii="Arial" w:hAnsi="Arial" w:cs="Arial"/>
                <w:b/>
                <w:color w:val="000000" w:themeColor="text1"/>
                <w:sz w:val="21"/>
                <w:szCs w:val="21"/>
              </w:rPr>
            </w:pPr>
          </w:p>
        </w:tc>
        <w:tc>
          <w:tcPr>
            <w:tcW w:w="1382" w:type="pct"/>
            <w:vAlign w:val="center"/>
          </w:tcPr>
          <w:p w14:paraId="6A9BD650" w14:textId="77777777" w:rsidR="005F267C" w:rsidRPr="009B78DA" w:rsidRDefault="005F267C" w:rsidP="00C17C6C">
            <w:pPr>
              <w:spacing w:after="120" w:line="276" w:lineRule="auto"/>
              <w:rPr>
                <w:rFonts w:ascii="Arial" w:hAnsi="Arial" w:cs="Arial"/>
                <w:color w:val="000000" w:themeColor="text1"/>
                <w:sz w:val="21"/>
                <w:szCs w:val="21"/>
              </w:rPr>
            </w:pPr>
          </w:p>
        </w:tc>
        <w:tc>
          <w:tcPr>
            <w:tcW w:w="1685" w:type="pct"/>
            <w:vAlign w:val="center"/>
          </w:tcPr>
          <w:p w14:paraId="7779A742" w14:textId="77777777" w:rsidR="005F267C" w:rsidRPr="009B78DA" w:rsidRDefault="005F267C" w:rsidP="00C17C6C">
            <w:pPr>
              <w:spacing w:after="120" w:line="276" w:lineRule="auto"/>
              <w:rPr>
                <w:rFonts w:ascii="Arial" w:hAnsi="Arial" w:cs="Arial"/>
                <w:color w:val="000000" w:themeColor="text1"/>
                <w:sz w:val="21"/>
                <w:szCs w:val="21"/>
              </w:rPr>
            </w:pPr>
          </w:p>
        </w:tc>
      </w:tr>
      <w:bookmarkEnd w:id="351"/>
    </w:tbl>
    <w:p w14:paraId="14C5639B" w14:textId="77777777" w:rsidR="00FC6CA4" w:rsidRPr="00B00AFA" w:rsidRDefault="00FC6CA4" w:rsidP="00F45E35">
      <w:pPr>
        <w:spacing w:after="0" w:line="276" w:lineRule="auto"/>
        <w:jc w:val="both"/>
        <w:rPr>
          <w:rFonts w:ascii="Arial" w:hAnsi="Arial" w:cs="Arial"/>
          <w:color w:val="000000" w:themeColor="text1"/>
          <w:sz w:val="2"/>
          <w:szCs w:val="2"/>
        </w:rPr>
      </w:pPr>
    </w:p>
    <w:tbl>
      <w:tblPr>
        <w:tblStyle w:val="Tabela-Siatka"/>
        <w:tblW w:w="5000" w:type="pct"/>
        <w:tblLook w:val="04A0" w:firstRow="1" w:lastRow="0" w:firstColumn="1" w:lastColumn="0" w:noHBand="0" w:noVBand="1"/>
        <w:tblCaption w:val="Tabela 19. Działania kierunkowe (inwestycje) w ramach celów i kierunków rozwoju regionalnego systemu transportowego"/>
        <w:tblDescription w:val="Tabela zawiera Cele horyzontalne, Kierunki horyzontalne/ Działania kierunkowe (inwestycje)"/>
      </w:tblPr>
      <w:tblGrid>
        <w:gridCol w:w="3822"/>
        <w:gridCol w:w="11566"/>
      </w:tblGrid>
      <w:tr w:rsidR="006F4FD2" w:rsidRPr="00B00AFA" w14:paraId="1FB75FF7" w14:textId="77777777" w:rsidTr="00B00AFA">
        <w:trPr>
          <w:trHeight w:val="340"/>
          <w:tblHeader/>
        </w:trPr>
        <w:tc>
          <w:tcPr>
            <w:tcW w:w="1242" w:type="pct"/>
            <w:shd w:val="clear" w:color="auto" w:fill="DEEAF6" w:themeFill="accent1" w:themeFillTint="33"/>
            <w:vAlign w:val="center"/>
          </w:tcPr>
          <w:p w14:paraId="56FABEFA" w14:textId="1D62E491" w:rsidR="00E27808" w:rsidRPr="00B00AFA" w:rsidRDefault="00B00AFA" w:rsidP="00B00AFA">
            <w:pPr>
              <w:spacing w:line="276" w:lineRule="auto"/>
              <w:rPr>
                <w:rFonts w:ascii="Arial" w:hAnsi="Arial" w:cs="Arial"/>
                <w:b/>
                <w:color w:val="000000" w:themeColor="text1"/>
                <w:sz w:val="22"/>
                <w:szCs w:val="22"/>
              </w:rPr>
            </w:pPr>
            <w:r w:rsidRPr="00B00AFA">
              <w:rPr>
                <w:rFonts w:ascii="Arial" w:hAnsi="Arial" w:cs="Arial"/>
                <w:b/>
                <w:color w:val="000000" w:themeColor="text1"/>
                <w:sz w:val="22"/>
                <w:szCs w:val="22"/>
              </w:rPr>
              <w:t>Cele horyzontalne</w:t>
            </w:r>
          </w:p>
        </w:tc>
        <w:tc>
          <w:tcPr>
            <w:tcW w:w="3758" w:type="pct"/>
            <w:shd w:val="clear" w:color="auto" w:fill="DEEAF6" w:themeFill="accent1" w:themeFillTint="33"/>
            <w:vAlign w:val="center"/>
          </w:tcPr>
          <w:p w14:paraId="6C7D5875" w14:textId="11F49244" w:rsidR="003631A7" w:rsidRPr="00B00AFA" w:rsidRDefault="003631A7" w:rsidP="00B00AFA">
            <w:pPr>
              <w:spacing w:line="276" w:lineRule="auto"/>
              <w:rPr>
                <w:rFonts w:ascii="Arial" w:hAnsi="Arial" w:cs="Arial"/>
                <w:b/>
                <w:color w:val="000000" w:themeColor="text1"/>
                <w:sz w:val="22"/>
                <w:szCs w:val="22"/>
              </w:rPr>
            </w:pPr>
            <w:r w:rsidRPr="00B00AFA">
              <w:rPr>
                <w:rFonts w:ascii="Arial" w:hAnsi="Arial" w:cs="Arial"/>
                <w:b/>
                <w:color w:val="000000" w:themeColor="text1"/>
                <w:sz w:val="22"/>
                <w:szCs w:val="22"/>
              </w:rPr>
              <w:t>Kierunki horyzontalne</w:t>
            </w:r>
            <w:r w:rsidR="0097345A" w:rsidRPr="00B00AFA">
              <w:rPr>
                <w:rFonts w:ascii="Arial" w:hAnsi="Arial" w:cs="Arial"/>
                <w:b/>
                <w:color w:val="000000" w:themeColor="text1"/>
                <w:sz w:val="22"/>
                <w:szCs w:val="22"/>
              </w:rPr>
              <w:t>/ inwestycje</w:t>
            </w:r>
          </w:p>
        </w:tc>
      </w:tr>
      <w:tr w:rsidR="006F4FD2" w:rsidRPr="00B00AFA" w14:paraId="7916319E" w14:textId="77777777" w:rsidTr="00B00AFA">
        <w:trPr>
          <w:trHeight w:val="340"/>
        </w:trPr>
        <w:tc>
          <w:tcPr>
            <w:tcW w:w="1242" w:type="pct"/>
            <w:vAlign w:val="center"/>
          </w:tcPr>
          <w:p w14:paraId="58E94A17" w14:textId="6109683F" w:rsidR="00FC6CA4" w:rsidRPr="00B00AFA" w:rsidRDefault="00B00AFA" w:rsidP="00B00AFA">
            <w:pPr>
              <w:spacing w:line="276" w:lineRule="auto"/>
              <w:rPr>
                <w:rFonts w:ascii="Arial" w:hAnsi="Arial" w:cs="Arial"/>
                <w:b/>
                <w:color w:val="000000" w:themeColor="text1"/>
                <w:sz w:val="22"/>
                <w:szCs w:val="22"/>
              </w:rPr>
            </w:pPr>
            <w:r>
              <w:rPr>
                <w:rFonts w:ascii="Arial" w:hAnsi="Arial" w:cs="Arial"/>
                <w:b/>
                <w:color w:val="000000" w:themeColor="text1"/>
                <w:sz w:val="22"/>
                <w:szCs w:val="22"/>
              </w:rPr>
              <w:t xml:space="preserve">Cel horyzontalny 1. </w:t>
            </w:r>
            <w:r>
              <w:rPr>
                <w:rFonts w:ascii="Arial" w:hAnsi="Arial" w:cs="Arial"/>
                <w:b/>
                <w:color w:val="000000" w:themeColor="text1"/>
                <w:sz w:val="22"/>
                <w:szCs w:val="22"/>
              </w:rPr>
              <w:br/>
            </w:r>
            <w:r w:rsidR="00FC6CA4" w:rsidRPr="00B00AFA">
              <w:rPr>
                <w:rFonts w:ascii="Arial" w:hAnsi="Arial" w:cs="Arial"/>
                <w:b/>
                <w:color w:val="000000" w:themeColor="text1"/>
                <w:sz w:val="22"/>
                <w:szCs w:val="22"/>
              </w:rPr>
              <w:t xml:space="preserve">Ograniczenie negatywnego oddziaływania sektora transportu na klimat oraz na regionalne środowisko naturalne / </w:t>
            </w:r>
            <w:r w:rsidR="00FC6CA4" w:rsidRPr="00B00AFA">
              <w:rPr>
                <w:rFonts w:ascii="Arial" w:hAnsi="Arial" w:cs="Arial"/>
                <w:b/>
                <w:color w:val="000000" w:themeColor="text1"/>
                <w:sz w:val="22"/>
                <w:szCs w:val="22"/>
              </w:rPr>
              <w:br/>
              <w:t>Priorytet A</w:t>
            </w:r>
          </w:p>
        </w:tc>
        <w:tc>
          <w:tcPr>
            <w:tcW w:w="3758" w:type="pct"/>
            <w:vAlign w:val="center"/>
          </w:tcPr>
          <w:p w14:paraId="5A79CB38" w14:textId="77777777" w:rsidR="00FC6CA4" w:rsidRPr="00B00AFA" w:rsidRDefault="00FC6CA4" w:rsidP="00B00AFA">
            <w:pPr>
              <w:pStyle w:val="Akapitzlist"/>
              <w:numPr>
                <w:ilvl w:val="0"/>
                <w:numId w:val="174"/>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Budowa i rozbudowa tras rowerowych na terenie województwa, także tych, które stanowić będą uzupełnienie/kontynuację Szlaku Green Velo.</w:t>
            </w:r>
          </w:p>
          <w:p w14:paraId="0D760C9F" w14:textId="77777777" w:rsidR="00FC6CA4" w:rsidRPr="00B00AFA" w:rsidRDefault="00FC6CA4" w:rsidP="00B00AFA">
            <w:pPr>
              <w:pStyle w:val="Akapitzlist"/>
              <w:numPr>
                <w:ilvl w:val="0"/>
                <w:numId w:val="174"/>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Wzmocnienie potencjału gospodarczego oraz wzmocnienie zmiany w kierunku tzw. zielonej gospodarki na terenie Województwa Podkarpackiego zrealizowane poprzez wymianę infrastruktury transportowej w Porcie Lotniczym „Rzeszów – Jasionka” Sp. z o.o.</w:t>
            </w:r>
          </w:p>
          <w:p w14:paraId="04CEEB1C" w14:textId="235A9258" w:rsidR="00FC6CA4" w:rsidRPr="00B00AFA" w:rsidRDefault="00FC6CA4" w:rsidP="00B00AFA">
            <w:pPr>
              <w:pStyle w:val="Akapitzlist"/>
              <w:numPr>
                <w:ilvl w:val="0"/>
                <w:numId w:val="174"/>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Systemy / narzędzia cyfrowe (np. ITS)</w:t>
            </w:r>
            <w:r w:rsidR="0046136A" w:rsidRPr="00B00AFA">
              <w:rPr>
                <w:rFonts w:ascii="Arial" w:hAnsi="Arial" w:cs="Arial"/>
                <w:color w:val="000000" w:themeColor="text1"/>
                <w:sz w:val="22"/>
                <w:szCs w:val="22"/>
              </w:rPr>
              <w:t>.</w:t>
            </w:r>
          </w:p>
          <w:p w14:paraId="1DC7124F" w14:textId="5E4284DA" w:rsidR="00FC6CA4" w:rsidRPr="00B00AFA" w:rsidRDefault="00FC6CA4" w:rsidP="00B00AFA">
            <w:pPr>
              <w:pStyle w:val="Akapitzlist"/>
              <w:numPr>
                <w:ilvl w:val="0"/>
                <w:numId w:val="174"/>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Infrastrukturę wykorzystującą alternatywne źródła energii (np. oświetlenie dróg, podświetlane znaki drogowe, urządzenia bezpieczeństwa ruchu drogowego wykorzystujące OZE)</w:t>
            </w:r>
            <w:r w:rsidR="0046136A" w:rsidRPr="00B00AFA">
              <w:rPr>
                <w:rFonts w:ascii="Arial" w:hAnsi="Arial" w:cs="Arial"/>
                <w:color w:val="000000" w:themeColor="text1"/>
                <w:sz w:val="22"/>
                <w:szCs w:val="22"/>
              </w:rPr>
              <w:t>.</w:t>
            </w:r>
          </w:p>
        </w:tc>
      </w:tr>
      <w:tr w:rsidR="006F4FD2" w:rsidRPr="00B00AFA" w14:paraId="4CC9EC7E" w14:textId="77777777" w:rsidTr="00B00AFA">
        <w:trPr>
          <w:trHeight w:val="340"/>
        </w:trPr>
        <w:tc>
          <w:tcPr>
            <w:tcW w:w="1242" w:type="pct"/>
            <w:vAlign w:val="center"/>
          </w:tcPr>
          <w:p w14:paraId="637A8131" w14:textId="5F0F74C7" w:rsidR="00FC6CA4" w:rsidRPr="00B00AFA" w:rsidRDefault="00B00AFA" w:rsidP="00B00AFA">
            <w:pPr>
              <w:spacing w:line="276" w:lineRule="auto"/>
              <w:rPr>
                <w:rFonts w:ascii="Arial" w:hAnsi="Arial" w:cs="Arial"/>
                <w:b/>
                <w:color w:val="000000" w:themeColor="text1"/>
                <w:sz w:val="22"/>
                <w:szCs w:val="22"/>
              </w:rPr>
            </w:pPr>
            <w:r>
              <w:rPr>
                <w:rFonts w:ascii="Arial" w:hAnsi="Arial" w:cs="Arial"/>
                <w:b/>
                <w:color w:val="000000" w:themeColor="text1"/>
                <w:sz w:val="22"/>
                <w:szCs w:val="22"/>
              </w:rPr>
              <w:t xml:space="preserve">Cel horyzontalny 1. </w:t>
            </w:r>
            <w:r>
              <w:rPr>
                <w:rFonts w:ascii="Arial" w:hAnsi="Arial" w:cs="Arial"/>
                <w:b/>
                <w:color w:val="000000" w:themeColor="text1"/>
                <w:sz w:val="22"/>
                <w:szCs w:val="22"/>
              </w:rPr>
              <w:br/>
            </w:r>
            <w:r w:rsidR="00FC6CA4" w:rsidRPr="00B00AFA">
              <w:rPr>
                <w:rFonts w:ascii="Arial" w:hAnsi="Arial" w:cs="Arial"/>
                <w:b/>
                <w:color w:val="000000" w:themeColor="text1"/>
                <w:sz w:val="22"/>
                <w:szCs w:val="22"/>
              </w:rPr>
              <w:t xml:space="preserve">Ograniczenie negatywnego oddziaływania sektora transportu na klimat oraz na regionalne środowisko naturalne / </w:t>
            </w:r>
            <w:r w:rsidR="00FC6CA4" w:rsidRPr="00B00AFA">
              <w:rPr>
                <w:rFonts w:ascii="Arial" w:hAnsi="Arial" w:cs="Arial"/>
                <w:b/>
                <w:color w:val="000000" w:themeColor="text1"/>
                <w:sz w:val="22"/>
                <w:szCs w:val="22"/>
              </w:rPr>
              <w:br/>
              <w:t>Priorytet B</w:t>
            </w:r>
          </w:p>
        </w:tc>
        <w:tc>
          <w:tcPr>
            <w:tcW w:w="3758" w:type="pct"/>
            <w:vAlign w:val="center"/>
          </w:tcPr>
          <w:p w14:paraId="4B1DC338" w14:textId="77777777" w:rsidR="00FC6CA4" w:rsidRPr="00B00AFA" w:rsidRDefault="00FC6CA4" w:rsidP="00B00AFA">
            <w:pPr>
              <w:pStyle w:val="Akapitzlist"/>
              <w:numPr>
                <w:ilvl w:val="0"/>
                <w:numId w:val="175"/>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Wymiana (przy budowie instalacja) oświetlenia jezdni, czy torowisk na takie, które jest energooszczędne lub/i wykorzystujące energię odnawialną.</w:t>
            </w:r>
          </w:p>
          <w:p w14:paraId="409FC80A" w14:textId="4FD7199A" w:rsidR="00FC6CA4" w:rsidRPr="00B00AFA" w:rsidRDefault="00FC6CA4" w:rsidP="00B00AFA">
            <w:pPr>
              <w:pStyle w:val="Akapitzlist"/>
              <w:numPr>
                <w:ilvl w:val="0"/>
                <w:numId w:val="175"/>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Elektryfikacja szeregu linii kolejowych na obszarze regionu dotychczas użytkowanych wyłącznie przez składy ciągnione przez lokomotywy spalinowe.</w:t>
            </w:r>
          </w:p>
        </w:tc>
      </w:tr>
      <w:tr w:rsidR="006F4FD2" w:rsidRPr="00B00AFA" w14:paraId="451F6A1D" w14:textId="77777777" w:rsidTr="00B00AFA">
        <w:trPr>
          <w:trHeight w:val="340"/>
        </w:trPr>
        <w:tc>
          <w:tcPr>
            <w:tcW w:w="1242" w:type="pct"/>
            <w:vAlign w:val="center"/>
          </w:tcPr>
          <w:p w14:paraId="798274D6" w14:textId="2F0D10E4" w:rsidR="00FC6CA4" w:rsidRPr="00B00AFA" w:rsidRDefault="00B00AFA" w:rsidP="00B00AFA">
            <w:pPr>
              <w:spacing w:line="276" w:lineRule="auto"/>
              <w:rPr>
                <w:rFonts w:ascii="Arial" w:hAnsi="Arial" w:cs="Arial"/>
                <w:b/>
                <w:color w:val="000000" w:themeColor="text1"/>
                <w:sz w:val="22"/>
                <w:szCs w:val="22"/>
              </w:rPr>
            </w:pPr>
            <w:r>
              <w:rPr>
                <w:rFonts w:ascii="Arial" w:hAnsi="Arial" w:cs="Arial"/>
                <w:b/>
                <w:color w:val="000000" w:themeColor="text1"/>
                <w:sz w:val="22"/>
                <w:szCs w:val="22"/>
              </w:rPr>
              <w:t xml:space="preserve">Cel horyzontalny 2. </w:t>
            </w:r>
            <w:r>
              <w:rPr>
                <w:rFonts w:ascii="Arial" w:hAnsi="Arial" w:cs="Arial"/>
                <w:b/>
                <w:color w:val="000000" w:themeColor="text1"/>
                <w:sz w:val="22"/>
                <w:szCs w:val="22"/>
              </w:rPr>
              <w:br/>
            </w:r>
            <w:r w:rsidR="00FC6CA4" w:rsidRPr="00B00AFA">
              <w:rPr>
                <w:rFonts w:ascii="Arial" w:hAnsi="Arial" w:cs="Arial"/>
                <w:b/>
                <w:color w:val="000000" w:themeColor="text1"/>
                <w:sz w:val="22"/>
                <w:szCs w:val="22"/>
              </w:rPr>
              <w:t xml:space="preserve">Wzmocnienie rozwiązań multimodalnych / </w:t>
            </w:r>
            <w:r w:rsidR="00FC6CA4" w:rsidRPr="00B00AFA">
              <w:rPr>
                <w:rFonts w:ascii="Arial" w:hAnsi="Arial" w:cs="Arial"/>
                <w:b/>
                <w:color w:val="000000" w:themeColor="text1"/>
                <w:sz w:val="22"/>
                <w:szCs w:val="22"/>
              </w:rPr>
              <w:br/>
              <w:t>Priorytet A</w:t>
            </w:r>
          </w:p>
        </w:tc>
        <w:tc>
          <w:tcPr>
            <w:tcW w:w="3758" w:type="pct"/>
            <w:vAlign w:val="center"/>
          </w:tcPr>
          <w:p w14:paraId="7C2790EF" w14:textId="2150EC35" w:rsidR="00FC6CA4" w:rsidRPr="00B00AFA" w:rsidRDefault="00FC6CA4" w:rsidP="00B00AFA">
            <w:pPr>
              <w:pStyle w:val="Akapitzlist"/>
              <w:numPr>
                <w:ilvl w:val="0"/>
                <w:numId w:val="176"/>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 xml:space="preserve">Rozbudowa systemu szybkiej kolei podmiejskiej - Podmiejskiej Kolei Aglomeracyjnej - PKA. Projekt ten zakłada budowę i modernizację linii kolejowych oraz infrastruktury przystankowej, a zakończenie realizacji zaplanowano na 2023 r. Jest on realizowany w ramach partnerstwa między Województwem Podkarpackim, piętnastoma jednostkami samorządu terytorialnego - gminami: Boguchwała, Czarna, Czudec, Głogów Małopolski, Kolbuszowa, Krasne, Łańcut, Przeworsk, Rzeszów, Sędziszów Małopolski, Strzyżów, Świlcza, Dębica </w:t>
            </w:r>
            <w:r w:rsidR="00B00AFA">
              <w:rPr>
                <w:rFonts w:ascii="Arial" w:hAnsi="Arial" w:cs="Arial"/>
                <w:color w:val="000000" w:themeColor="text1"/>
                <w:sz w:val="22"/>
                <w:szCs w:val="22"/>
              </w:rPr>
              <w:br/>
            </w:r>
            <w:r w:rsidRPr="00B00AFA">
              <w:rPr>
                <w:rFonts w:ascii="Arial" w:hAnsi="Arial" w:cs="Arial"/>
                <w:color w:val="000000" w:themeColor="text1"/>
                <w:sz w:val="22"/>
                <w:szCs w:val="22"/>
              </w:rPr>
              <w:t>i Trzebownisko oraz Spółką PKP PLK S.A. Dzięki realizowanemu projektowi możliwy będzie m.in. dojazd pociągiem na lotnisko w podrzeszowskiej Jasionce (budowa nowej linii kolejowej).</w:t>
            </w:r>
          </w:p>
          <w:p w14:paraId="1B8E820A" w14:textId="4A71AB18" w:rsidR="00FC6CA4" w:rsidRPr="00B00AFA" w:rsidRDefault="004E408E" w:rsidP="00B00AFA">
            <w:pPr>
              <w:pStyle w:val="Akapitzlist"/>
              <w:numPr>
                <w:ilvl w:val="0"/>
                <w:numId w:val="176"/>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Integracja funkcjonalności Dworca Autobusowego PKS z Rzeszowskim Centrum Komunikacyjnym (RCK), będącym inwestycją mającą na celu przede wszystkim łączenie transportu kolejowego z autobusowym (w kontekście przewozów pasażerskich). Centrum ma być miejscem, które łączyć będzie rożne rozdaje transportu – autobusy, samochody osobowe, taksówki i rowery.</w:t>
            </w:r>
          </w:p>
        </w:tc>
      </w:tr>
      <w:tr w:rsidR="006F4FD2" w:rsidRPr="00B00AFA" w14:paraId="7C40FFCB" w14:textId="77777777" w:rsidTr="00B00AFA">
        <w:trPr>
          <w:trHeight w:val="340"/>
        </w:trPr>
        <w:tc>
          <w:tcPr>
            <w:tcW w:w="1242" w:type="pct"/>
            <w:vAlign w:val="center"/>
          </w:tcPr>
          <w:p w14:paraId="07F2583C" w14:textId="4E6FA558" w:rsidR="00FC6CA4" w:rsidRPr="00B00AFA" w:rsidRDefault="00B00AFA" w:rsidP="00B00AFA">
            <w:pPr>
              <w:spacing w:line="276" w:lineRule="auto"/>
              <w:rPr>
                <w:rFonts w:ascii="Arial" w:hAnsi="Arial" w:cs="Arial"/>
                <w:b/>
                <w:color w:val="000000" w:themeColor="text1"/>
                <w:sz w:val="22"/>
                <w:szCs w:val="22"/>
              </w:rPr>
            </w:pPr>
            <w:r>
              <w:rPr>
                <w:rFonts w:ascii="Arial" w:hAnsi="Arial" w:cs="Arial"/>
                <w:b/>
                <w:color w:val="000000" w:themeColor="text1"/>
                <w:sz w:val="22"/>
                <w:szCs w:val="22"/>
              </w:rPr>
              <w:t xml:space="preserve">Cel horyzontalny 2. </w:t>
            </w:r>
            <w:r>
              <w:rPr>
                <w:rFonts w:ascii="Arial" w:hAnsi="Arial" w:cs="Arial"/>
                <w:b/>
                <w:color w:val="000000" w:themeColor="text1"/>
                <w:sz w:val="22"/>
                <w:szCs w:val="22"/>
              </w:rPr>
              <w:br/>
            </w:r>
            <w:r w:rsidR="00FC6CA4" w:rsidRPr="00B00AFA">
              <w:rPr>
                <w:rFonts w:ascii="Arial" w:hAnsi="Arial" w:cs="Arial"/>
                <w:b/>
                <w:color w:val="000000" w:themeColor="text1"/>
                <w:sz w:val="22"/>
                <w:szCs w:val="22"/>
              </w:rPr>
              <w:t xml:space="preserve">Wzmocnienie rozwiązań multimodalnych / </w:t>
            </w:r>
            <w:r w:rsidR="00FC6CA4" w:rsidRPr="00B00AFA">
              <w:rPr>
                <w:rFonts w:ascii="Arial" w:hAnsi="Arial" w:cs="Arial"/>
                <w:b/>
                <w:color w:val="000000" w:themeColor="text1"/>
                <w:sz w:val="22"/>
                <w:szCs w:val="22"/>
              </w:rPr>
              <w:br/>
              <w:t>Priorytet B</w:t>
            </w:r>
          </w:p>
        </w:tc>
        <w:tc>
          <w:tcPr>
            <w:tcW w:w="3758" w:type="pct"/>
            <w:vAlign w:val="center"/>
          </w:tcPr>
          <w:p w14:paraId="160A5FF3" w14:textId="05BDA32B" w:rsidR="00FC6CA4" w:rsidRPr="00B00AFA" w:rsidRDefault="00FC6CA4" w:rsidP="00B00AFA">
            <w:pPr>
              <w:pStyle w:val="Akapitzlist"/>
              <w:numPr>
                <w:ilvl w:val="0"/>
                <w:numId w:val="273"/>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Budowa Zintegrowanego Centrum Przesiadkowego w Dębicy</w:t>
            </w:r>
            <w:r w:rsidR="0046136A" w:rsidRPr="00B00AFA">
              <w:rPr>
                <w:rFonts w:ascii="Arial" w:hAnsi="Arial" w:cs="Arial"/>
                <w:color w:val="000000" w:themeColor="text1"/>
                <w:sz w:val="22"/>
                <w:szCs w:val="22"/>
              </w:rPr>
              <w:t>.</w:t>
            </w:r>
          </w:p>
          <w:p w14:paraId="772FB509" w14:textId="45B10FF5" w:rsidR="00FC6CA4" w:rsidRPr="00B00AFA" w:rsidRDefault="00FC6CA4" w:rsidP="00B00AFA">
            <w:pPr>
              <w:pStyle w:val="Akapitzlist"/>
              <w:numPr>
                <w:ilvl w:val="0"/>
                <w:numId w:val="273"/>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Budowa węzła komunikacyjnego uwzględniającego parkingi dla samochodów osobowych, parkingi rowerowe oraz zatokę autobusową przy stacji Stalowa Wola – Południe</w:t>
            </w:r>
            <w:r w:rsidR="0046136A" w:rsidRPr="00B00AFA">
              <w:rPr>
                <w:rFonts w:ascii="Arial" w:hAnsi="Arial" w:cs="Arial"/>
                <w:color w:val="000000" w:themeColor="text1"/>
                <w:sz w:val="22"/>
                <w:szCs w:val="22"/>
              </w:rPr>
              <w:t>.</w:t>
            </w:r>
          </w:p>
        </w:tc>
      </w:tr>
      <w:tr w:rsidR="006F4FD2" w:rsidRPr="00B00AFA" w14:paraId="48086FFA" w14:textId="77777777" w:rsidTr="00B00AFA">
        <w:trPr>
          <w:trHeight w:val="340"/>
        </w:trPr>
        <w:tc>
          <w:tcPr>
            <w:tcW w:w="1242" w:type="pct"/>
            <w:vAlign w:val="center"/>
          </w:tcPr>
          <w:p w14:paraId="64A213BE" w14:textId="432C14E9" w:rsidR="00FC6CA4" w:rsidRPr="00B00AFA" w:rsidRDefault="00B00AFA" w:rsidP="00B00AFA">
            <w:pPr>
              <w:spacing w:line="276" w:lineRule="auto"/>
              <w:rPr>
                <w:rFonts w:ascii="Arial" w:hAnsi="Arial" w:cs="Arial"/>
                <w:b/>
                <w:color w:val="000000" w:themeColor="text1"/>
                <w:sz w:val="22"/>
                <w:szCs w:val="22"/>
              </w:rPr>
            </w:pPr>
            <w:r>
              <w:rPr>
                <w:rFonts w:ascii="Arial" w:hAnsi="Arial" w:cs="Arial"/>
                <w:b/>
                <w:color w:val="000000" w:themeColor="text1"/>
                <w:sz w:val="22"/>
                <w:szCs w:val="22"/>
              </w:rPr>
              <w:t xml:space="preserve">Cel horyzontalny 3. </w:t>
            </w:r>
            <w:r>
              <w:rPr>
                <w:rFonts w:ascii="Arial" w:hAnsi="Arial" w:cs="Arial"/>
                <w:b/>
                <w:color w:val="000000" w:themeColor="text1"/>
                <w:sz w:val="22"/>
                <w:szCs w:val="22"/>
              </w:rPr>
              <w:br/>
            </w:r>
            <w:r w:rsidR="00157216" w:rsidRPr="00B00AFA">
              <w:rPr>
                <w:rFonts w:ascii="Arial" w:hAnsi="Arial" w:cs="Arial"/>
                <w:b/>
                <w:color w:val="000000" w:themeColor="text1"/>
                <w:sz w:val="22"/>
                <w:szCs w:val="22"/>
              </w:rPr>
              <w:t>Rozwój t</w:t>
            </w:r>
            <w:r w:rsidR="00FC6CA4" w:rsidRPr="00B00AFA">
              <w:rPr>
                <w:rFonts w:ascii="Arial" w:hAnsi="Arial" w:cs="Arial"/>
                <w:b/>
                <w:color w:val="000000" w:themeColor="text1"/>
                <w:sz w:val="22"/>
                <w:szCs w:val="22"/>
              </w:rPr>
              <w:t>ransport</w:t>
            </w:r>
            <w:r w:rsidR="00157216" w:rsidRPr="00B00AFA">
              <w:rPr>
                <w:rFonts w:ascii="Arial" w:hAnsi="Arial" w:cs="Arial"/>
                <w:b/>
                <w:color w:val="000000" w:themeColor="text1"/>
                <w:sz w:val="22"/>
                <w:szCs w:val="22"/>
              </w:rPr>
              <w:t>u</w:t>
            </w:r>
            <w:r w:rsidR="00FC6CA4" w:rsidRPr="00B00AFA">
              <w:rPr>
                <w:rFonts w:ascii="Arial" w:hAnsi="Arial" w:cs="Arial"/>
                <w:b/>
                <w:color w:val="000000" w:themeColor="text1"/>
                <w:sz w:val="22"/>
                <w:szCs w:val="22"/>
              </w:rPr>
              <w:t xml:space="preserve"> publiczn</w:t>
            </w:r>
            <w:r w:rsidR="00157216" w:rsidRPr="00B00AFA">
              <w:rPr>
                <w:rFonts w:ascii="Arial" w:hAnsi="Arial" w:cs="Arial"/>
                <w:b/>
                <w:color w:val="000000" w:themeColor="text1"/>
                <w:sz w:val="22"/>
                <w:szCs w:val="22"/>
              </w:rPr>
              <w:t>ego</w:t>
            </w:r>
            <w:r w:rsidR="00FC6CA4" w:rsidRPr="00B00AFA">
              <w:rPr>
                <w:rFonts w:ascii="Arial" w:hAnsi="Arial" w:cs="Arial"/>
                <w:b/>
                <w:color w:val="000000" w:themeColor="text1"/>
                <w:sz w:val="22"/>
                <w:szCs w:val="22"/>
              </w:rPr>
              <w:t xml:space="preserve">/ </w:t>
            </w:r>
            <w:r w:rsidR="00FC6CA4" w:rsidRPr="00B00AFA">
              <w:rPr>
                <w:rFonts w:ascii="Arial" w:hAnsi="Arial" w:cs="Arial"/>
                <w:b/>
                <w:color w:val="000000" w:themeColor="text1"/>
                <w:sz w:val="22"/>
                <w:szCs w:val="22"/>
              </w:rPr>
              <w:br/>
              <w:t>Priorytet A</w:t>
            </w:r>
          </w:p>
        </w:tc>
        <w:tc>
          <w:tcPr>
            <w:tcW w:w="3758" w:type="pct"/>
            <w:vAlign w:val="center"/>
          </w:tcPr>
          <w:p w14:paraId="4B79E2FA" w14:textId="4515E5F7" w:rsidR="00FC6CA4"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Infrastruktura transportu publicznego, w tym ograniczająca zmotoryzowany ruch indywidualny lub integrująca różne formy transportu oraz działania towarzyszące rozwojowi transportu publicznego (rozwiązania z zakresu organizacji ruchu, ułatwiające płynne poruszanie się pojazdów komunikacji zbiorowej, np. budowa, remont, przebudowa pętli, zatok, dworców lub wydzielenie pasów ruchu dla autobusów komunikacji zbiorowej; parkingi P&amp;R, obiekty typu B&amp;R, węzły przesiadkowe, infrastruktura paliw alternatywnych, inteligentne systemy transportowe, w tym systemy i urządzenia do liczenia rowerów w ruchu mieszanym)</w:t>
            </w:r>
            <w:r w:rsidR="0046136A" w:rsidRPr="00B00AFA">
              <w:rPr>
                <w:rFonts w:ascii="Arial" w:hAnsi="Arial" w:cs="Arial"/>
                <w:color w:val="000000" w:themeColor="text1"/>
                <w:sz w:val="22"/>
                <w:szCs w:val="22"/>
              </w:rPr>
              <w:t>.</w:t>
            </w:r>
          </w:p>
          <w:p w14:paraId="1E05736E" w14:textId="23F9E39D" w:rsidR="00FC6CA4"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Bezemisyjny lub niskoemisyjny tabor autobusowy (energia elektryczna, wodór, hybrydy, LNG, CNG), spełniający wymogi dla „ekologicznie czystych pojazdów” w rozumieniu dyrektywy 2009/33/WE w sprawie promowania ekologicznie czystych i energooszczędnych pojazdów transportu drogowego (z priorytetem dla pojazdów zeroemisyjnych)</w:t>
            </w:r>
            <w:r w:rsidR="0046136A" w:rsidRPr="00B00AFA">
              <w:rPr>
                <w:rFonts w:ascii="Arial" w:hAnsi="Arial" w:cs="Arial"/>
                <w:color w:val="000000" w:themeColor="text1"/>
                <w:sz w:val="22"/>
                <w:szCs w:val="22"/>
              </w:rPr>
              <w:t>.</w:t>
            </w:r>
          </w:p>
          <w:p w14:paraId="42F5324E" w14:textId="77777777" w:rsidR="000B55EA"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Bezemisyjny tabor kolejowy</w:t>
            </w:r>
            <w:r w:rsidR="0046136A" w:rsidRPr="00B00AFA">
              <w:rPr>
                <w:rFonts w:ascii="Arial" w:hAnsi="Arial" w:cs="Arial"/>
                <w:color w:val="000000" w:themeColor="text1"/>
                <w:sz w:val="22"/>
                <w:szCs w:val="22"/>
              </w:rPr>
              <w:t>.</w:t>
            </w:r>
          </w:p>
          <w:p w14:paraId="7F331FEE" w14:textId="77777777" w:rsidR="000B55EA" w:rsidRPr="00B00AFA" w:rsidRDefault="003D7E2B"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Budowa infrastruktury do tankowania pojazdów bez emisyjnych (stacji tankowania wodorem).</w:t>
            </w:r>
          </w:p>
          <w:p w14:paraId="7B332EC8" w14:textId="7596989A" w:rsidR="000B55EA" w:rsidRPr="00B00AFA" w:rsidRDefault="003D7E2B"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Rozbudowa infrastruktury obsługi pojazdów o punkty przeglądu technicznych pojazdów z napędem wodorowym.</w:t>
            </w:r>
          </w:p>
          <w:p w14:paraId="00038657" w14:textId="40716CC4" w:rsidR="003D7E2B" w:rsidRPr="00B00AFA" w:rsidRDefault="003D7E2B"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Budowa regionalnej infrastruktury do pozyskiwania i dystrybucji  tzw. wodoru zielonego z na</w:t>
            </w:r>
            <w:r w:rsidR="003E3056" w:rsidRPr="00B00AFA">
              <w:rPr>
                <w:rFonts w:ascii="Arial" w:hAnsi="Arial" w:cs="Arial"/>
                <w:color w:val="000000" w:themeColor="text1"/>
                <w:sz w:val="22"/>
                <w:szCs w:val="22"/>
              </w:rPr>
              <w:t>d</w:t>
            </w:r>
            <w:r w:rsidRPr="00B00AFA">
              <w:rPr>
                <w:rFonts w:ascii="Arial" w:hAnsi="Arial" w:cs="Arial"/>
                <w:color w:val="000000" w:themeColor="text1"/>
                <w:sz w:val="22"/>
                <w:szCs w:val="22"/>
              </w:rPr>
              <w:t>miarowej energii odnawialnej</w:t>
            </w:r>
            <w:r w:rsidR="00B00AFA">
              <w:rPr>
                <w:rFonts w:ascii="Arial" w:hAnsi="Arial" w:cs="Arial"/>
                <w:color w:val="000000" w:themeColor="text1"/>
                <w:sz w:val="22"/>
                <w:szCs w:val="22"/>
              </w:rPr>
              <w:t xml:space="preserve"> </w:t>
            </w:r>
            <w:r w:rsidR="003E3056" w:rsidRPr="00B00AFA">
              <w:rPr>
                <w:rFonts w:ascii="Arial" w:hAnsi="Arial" w:cs="Arial"/>
                <w:color w:val="000000" w:themeColor="text1"/>
                <w:sz w:val="22"/>
                <w:szCs w:val="22"/>
              </w:rPr>
              <w:t>- celem wykorzystywania na rzecz systemu transportowego.</w:t>
            </w:r>
          </w:p>
          <w:p w14:paraId="2F1975C6" w14:textId="38BEC8ED" w:rsidR="00FC6CA4"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Mikromobilność i aktywne formy mobilności (drogi/pasy/ścieżki/trasy rowerowe z infrastruktura towarzyszącą, systemy roweru miejskiego, systemy i urządzenia do zliczania rowerzystów, bike-sharing, hulajnogi, UTO, itp.)</w:t>
            </w:r>
            <w:r w:rsidR="0046136A" w:rsidRPr="00B00AFA">
              <w:rPr>
                <w:rFonts w:ascii="Arial" w:hAnsi="Arial" w:cs="Arial"/>
                <w:color w:val="000000" w:themeColor="text1"/>
                <w:sz w:val="22"/>
                <w:szCs w:val="22"/>
              </w:rPr>
              <w:t>.</w:t>
            </w:r>
          </w:p>
          <w:p w14:paraId="7EC8009F" w14:textId="77777777" w:rsidR="00FC6CA4"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Infrastruktura dla ruchu niezmotoryzowanego (np. w ramach stref wolnych od ruchu samochodowego, strefowe uspokojenie ruchu, likwidacja utrudnień i zagrożeń w ruchu pieszym i rowerowym, tworzenie bezkolizyjnych, ciągłych i bezpośrednich tras pieszych i rowerowych).</w:t>
            </w:r>
          </w:p>
          <w:p w14:paraId="59CCCFD7" w14:textId="77777777" w:rsidR="00FC6CA4"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Rozwój nowych rodzajów transportu zbiorowego (systemów współdzielenia środków transportu lub innowacyjnych środków transportu, np. transport na żądanie).</w:t>
            </w:r>
          </w:p>
          <w:p w14:paraId="214E6384" w14:textId="77777777" w:rsidR="00FC6CA4"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Inne środki transportu publicznego – autobusy i samochody w systemie car-sharing spełniające wymogi dyrektywy Parlamentu Europejskiego i Rady 2009/33/WE z dnia 23 kwietnia 2009 r. w sprawie promowania ekologicznie czystych i energooszczędnych pojazdów transportu drogowego.</w:t>
            </w:r>
          </w:p>
          <w:p w14:paraId="574C94D2" w14:textId="457182FC" w:rsidR="00FC6CA4"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Infrastruktura liniowa i punktowa publicznego transportu zbiorowego (m.in. węzły / miejsca przesiadkowe, parkingi, dworce, przystanki, zajezdnie i pętle autobusowe, stacje obsługi, infrastruktura ładowania / tankowania paliw alternatywnych, budowa nowych i modernizacja istniejących linii, bądź odcinków linii, inna infrastruktura towarzysząca), w tym dostosowanie do potrzeb osób o ograniczonej mobilności i z niepełnosprawnościami</w:t>
            </w:r>
            <w:r w:rsidR="0046136A" w:rsidRPr="00B00AFA">
              <w:rPr>
                <w:rFonts w:ascii="Arial" w:hAnsi="Arial" w:cs="Arial"/>
                <w:color w:val="000000" w:themeColor="text1"/>
                <w:sz w:val="22"/>
                <w:szCs w:val="22"/>
              </w:rPr>
              <w:t>.</w:t>
            </w:r>
          </w:p>
          <w:p w14:paraId="2FF61C46" w14:textId="77777777" w:rsidR="00FC6CA4"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Tabor autobusowy wykorzystywany w publicznym transporcie zbiorowym (na zasadzie użyteczności publicznej), spełniający wymogi dyrektywy Parlamentu Europejskiego i Rady 2009/33/WE z dnia 23 kwietnia 2009 r. w sprawie promowania ekologicznie czystych i energooszczędnych pojazdów transportu drogowego:</w:t>
            </w:r>
          </w:p>
          <w:p w14:paraId="0FA7770F" w14:textId="77777777" w:rsidR="00FC6CA4" w:rsidRPr="00B00AFA" w:rsidRDefault="00FC6CA4" w:rsidP="00B00AFA">
            <w:pPr>
              <w:pStyle w:val="Akapitzlist"/>
              <w:spacing w:line="276" w:lineRule="auto"/>
              <w:ind w:left="317" w:hanging="5"/>
              <w:rPr>
                <w:rFonts w:ascii="Arial" w:hAnsi="Arial" w:cs="Arial"/>
                <w:color w:val="000000" w:themeColor="text1"/>
                <w:sz w:val="22"/>
                <w:szCs w:val="22"/>
              </w:rPr>
            </w:pPr>
            <w:r w:rsidRPr="00B00AFA">
              <w:rPr>
                <w:rFonts w:ascii="Arial" w:hAnsi="Arial" w:cs="Arial"/>
                <w:color w:val="000000" w:themeColor="text1"/>
                <w:sz w:val="22"/>
                <w:szCs w:val="22"/>
              </w:rPr>
              <w:t>- małe autobusy - pojazdy mające max. 8 miejsc dla pasażerów siedzących i niemające miejsc dla pasażerów stojących, a także pojazdy pow. 8 miejsc dla pasażerów siedzących, jeżeli ich masa maksymalna nie przekracza 5 ton:</w:t>
            </w:r>
          </w:p>
          <w:p w14:paraId="268F34D2" w14:textId="51C038CF" w:rsidR="00FC6CA4" w:rsidRPr="00B00AFA" w:rsidRDefault="00FC6CA4" w:rsidP="00B00AFA">
            <w:pPr>
              <w:pStyle w:val="Akapitzlist"/>
              <w:spacing w:line="276" w:lineRule="auto"/>
              <w:ind w:left="317" w:hanging="5"/>
              <w:rPr>
                <w:rFonts w:ascii="Arial" w:hAnsi="Arial" w:cs="Arial"/>
                <w:color w:val="000000" w:themeColor="text1"/>
                <w:sz w:val="22"/>
                <w:szCs w:val="22"/>
              </w:rPr>
            </w:pPr>
            <w:r w:rsidRPr="00B00AFA">
              <w:rPr>
                <w:rFonts w:ascii="Arial" w:hAnsi="Arial" w:cs="Arial"/>
                <w:color w:val="000000" w:themeColor="text1"/>
                <w:sz w:val="22"/>
                <w:szCs w:val="22"/>
              </w:rPr>
              <w:t>- duże autobusy – pojazdy pow. 8 miejsc dla pasażerów siedzących, jeżeli ich masa maksymalna przekracza 5 ton: pojazdy napędzane paliwami alternatywnymi (BEV, FCV, PHEV, HEV, LNG, CNG, LPG)</w:t>
            </w:r>
            <w:r w:rsidR="0046136A" w:rsidRPr="00B00AFA">
              <w:rPr>
                <w:rFonts w:ascii="Arial" w:hAnsi="Arial" w:cs="Arial"/>
                <w:color w:val="000000" w:themeColor="text1"/>
                <w:sz w:val="22"/>
                <w:szCs w:val="22"/>
              </w:rPr>
              <w:t>.</w:t>
            </w:r>
          </w:p>
          <w:p w14:paraId="5EEA22DF" w14:textId="5D5997F1" w:rsidR="00FC6CA4"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Połączenia pierwszej / ostatniej mili (infrastruktura dla niezmotoryzowanych – drogi / pasy / ścieżki / trasy rowerowe oraz promocja ruchu pieszego i rowerowego zarówno w celach przejazdów i dojazdów codziennych, jak i turystycznych, systemy bike-sharing, parkingi P&amp;R, ciągi pieszo-rowerowe, urządzenia transportu osobistego, innowacyjne formy transportu, np. transport na żądanie itp.)</w:t>
            </w:r>
            <w:r w:rsidR="0046136A" w:rsidRPr="00B00AFA">
              <w:rPr>
                <w:rFonts w:ascii="Arial" w:hAnsi="Arial" w:cs="Arial"/>
                <w:color w:val="000000" w:themeColor="text1"/>
                <w:sz w:val="22"/>
                <w:szCs w:val="22"/>
              </w:rPr>
              <w:t>.</w:t>
            </w:r>
          </w:p>
          <w:p w14:paraId="5748A2E5" w14:textId="77777777" w:rsidR="00FC6CA4"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Poprawa stanu technicznego infrastruktury obsługi podróżnych (w tym dostosowanie do wymagań TSI PRM), Etap III Rzeszów Główny.</w:t>
            </w:r>
          </w:p>
          <w:p w14:paraId="189E1BE3" w14:textId="77777777" w:rsidR="00FC6CA4"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Zadanie mające na celu usunięcie zaniedbań i doprowadzenie do odpowiedniego stanu obiektu dworca autobusowego PKS w Rzeszowie pod względem estetycznym oraz funkcjonalnym.</w:t>
            </w:r>
          </w:p>
          <w:p w14:paraId="60A8D536" w14:textId="72C44E3A" w:rsidR="00E45C2C" w:rsidRPr="00B00AFA" w:rsidRDefault="00FC6CA4" w:rsidP="00B00AFA">
            <w:pPr>
              <w:pStyle w:val="Akapitzlist"/>
              <w:numPr>
                <w:ilvl w:val="0"/>
                <w:numId w:val="177"/>
              </w:numPr>
              <w:spacing w:line="276" w:lineRule="auto"/>
              <w:ind w:left="317" w:hanging="317"/>
              <w:rPr>
                <w:rFonts w:ascii="Arial" w:hAnsi="Arial" w:cs="Arial"/>
                <w:color w:val="000000" w:themeColor="text1"/>
                <w:sz w:val="22"/>
                <w:szCs w:val="22"/>
              </w:rPr>
            </w:pPr>
            <w:r w:rsidRPr="00B00AFA">
              <w:rPr>
                <w:rFonts w:ascii="Arial" w:hAnsi="Arial" w:cs="Arial"/>
                <w:color w:val="000000" w:themeColor="text1"/>
                <w:sz w:val="22"/>
                <w:szCs w:val="22"/>
              </w:rPr>
              <w:t>Uruchomienie przewozów w ramach kolei integrującej obszar Czwórmiasta.</w:t>
            </w:r>
          </w:p>
        </w:tc>
      </w:tr>
      <w:tr w:rsidR="006F4FD2" w:rsidRPr="00B00AFA" w14:paraId="7CF82A99" w14:textId="77777777" w:rsidTr="00B00AFA">
        <w:trPr>
          <w:trHeight w:val="340"/>
        </w:trPr>
        <w:tc>
          <w:tcPr>
            <w:tcW w:w="1242" w:type="pct"/>
            <w:vAlign w:val="center"/>
          </w:tcPr>
          <w:p w14:paraId="537ABF28" w14:textId="77777777" w:rsidR="00157216" w:rsidRPr="00B00AFA" w:rsidRDefault="00157216" w:rsidP="00B00AFA">
            <w:pPr>
              <w:spacing w:line="276" w:lineRule="auto"/>
              <w:rPr>
                <w:rFonts w:ascii="Arial" w:hAnsi="Arial" w:cs="Arial"/>
                <w:b/>
                <w:color w:val="000000" w:themeColor="text1"/>
                <w:sz w:val="22"/>
                <w:szCs w:val="22"/>
              </w:rPr>
            </w:pPr>
            <w:r w:rsidRPr="00B00AFA">
              <w:rPr>
                <w:rFonts w:ascii="Arial" w:hAnsi="Arial" w:cs="Arial"/>
                <w:b/>
                <w:color w:val="000000" w:themeColor="text1"/>
                <w:sz w:val="22"/>
                <w:szCs w:val="22"/>
              </w:rPr>
              <w:t xml:space="preserve">Cel horyzontalny 3. </w:t>
            </w:r>
          </w:p>
          <w:p w14:paraId="0FE7A4A9" w14:textId="281233C1" w:rsidR="00FC6CA4" w:rsidRPr="00B00AFA" w:rsidRDefault="00157216" w:rsidP="00B00AFA">
            <w:pPr>
              <w:spacing w:line="276" w:lineRule="auto"/>
              <w:rPr>
                <w:rFonts w:ascii="Arial" w:hAnsi="Arial" w:cs="Arial"/>
                <w:b/>
                <w:color w:val="000000" w:themeColor="text1"/>
                <w:sz w:val="22"/>
                <w:szCs w:val="22"/>
              </w:rPr>
            </w:pPr>
            <w:r w:rsidRPr="00B00AFA">
              <w:rPr>
                <w:rFonts w:ascii="Arial" w:hAnsi="Arial" w:cs="Arial"/>
                <w:b/>
                <w:color w:val="000000" w:themeColor="text1"/>
                <w:sz w:val="22"/>
                <w:szCs w:val="22"/>
              </w:rPr>
              <w:t>Rozwój transportu publicznego</w:t>
            </w:r>
            <w:r w:rsidR="00B00AFA">
              <w:rPr>
                <w:rFonts w:ascii="Arial" w:hAnsi="Arial" w:cs="Arial"/>
                <w:b/>
                <w:color w:val="000000" w:themeColor="text1"/>
                <w:sz w:val="22"/>
                <w:szCs w:val="22"/>
              </w:rPr>
              <w:t xml:space="preserve">/ </w:t>
            </w:r>
            <w:r w:rsidR="00B00AFA">
              <w:rPr>
                <w:rFonts w:ascii="Arial" w:hAnsi="Arial" w:cs="Arial"/>
                <w:b/>
                <w:color w:val="000000" w:themeColor="text1"/>
                <w:sz w:val="22"/>
                <w:szCs w:val="22"/>
              </w:rPr>
              <w:br/>
              <w:t>Priorytet B</w:t>
            </w:r>
          </w:p>
        </w:tc>
        <w:tc>
          <w:tcPr>
            <w:tcW w:w="3758" w:type="pct"/>
            <w:vAlign w:val="center"/>
          </w:tcPr>
          <w:p w14:paraId="390EA969" w14:textId="77777777" w:rsidR="00FC6CA4" w:rsidRPr="00B00AFA" w:rsidRDefault="00FC6CA4" w:rsidP="00B00AFA">
            <w:pPr>
              <w:pStyle w:val="Akapitzlist"/>
              <w:numPr>
                <w:ilvl w:val="0"/>
                <w:numId w:val="270"/>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Infrastruktura paliw alternatywnych (punkty tankowania / ładowania dla pojazdów o zerowej emisji, w tym dla pojazdów indywidualnych).</w:t>
            </w:r>
          </w:p>
          <w:p w14:paraId="0285E9D4" w14:textId="77777777" w:rsidR="00FC6CA4" w:rsidRPr="00B00AFA" w:rsidRDefault="00FC6CA4" w:rsidP="00B00AFA">
            <w:pPr>
              <w:pStyle w:val="Akapitzlist"/>
              <w:numPr>
                <w:ilvl w:val="0"/>
                <w:numId w:val="270"/>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Rozwiązania cyfrowe w transporcie miejskim (ITS, systemy organizacji przewozów, systemy informacji pasażerskiej, aplikacje planowania podróży, zakupu biletów, rozwiązania cyfrowe wykorzystywane dla aktywnych form mobilności i mikromobilności, itp.).</w:t>
            </w:r>
          </w:p>
          <w:p w14:paraId="44A4AFC6" w14:textId="666824D5" w:rsidR="00FC6CA4" w:rsidRPr="00B00AFA" w:rsidRDefault="00FC6CA4" w:rsidP="00B00AFA">
            <w:pPr>
              <w:pStyle w:val="Akapitzlist"/>
              <w:numPr>
                <w:ilvl w:val="0"/>
                <w:numId w:val="270"/>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Działania na rzecz taryfowej integracji transportu zbiorowego (np. systemy typu „wspólny bilet”).</w:t>
            </w:r>
          </w:p>
        </w:tc>
      </w:tr>
      <w:tr w:rsidR="006F4FD2" w:rsidRPr="00B00AFA" w14:paraId="0617C2D1" w14:textId="77777777" w:rsidTr="00B00AFA">
        <w:trPr>
          <w:trHeight w:val="340"/>
        </w:trPr>
        <w:tc>
          <w:tcPr>
            <w:tcW w:w="1242" w:type="pct"/>
            <w:vAlign w:val="center"/>
          </w:tcPr>
          <w:p w14:paraId="57873075" w14:textId="2C26A9B3" w:rsidR="00FC6CA4" w:rsidRPr="00B00AFA" w:rsidRDefault="00B00AFA" w:rsidP="00B00AFA">
            <w:pPr>
              <w:spacing w:line="276" w:lineRule="auto"/>
              <w:rPr>
                <w:rFonts w:ascii="Arial" w:hAnsi="Arial" w:cs="Arial"/>
                <w:b/>
                <w:color w:val="000000" w:themeColor="text1"/>
                <w:sz w:val="22"/>
                <w:szCs w:val="22"/>
              </w:rPr>
            </w:pPr>
            <w:r>
              <w:rPr>
                <w:rFonts w:ascii="Arial" w:hAnsi="Arial" w:cs="Arial"/>
                <w:b/>
                <w:color w:val="000000" w:themeColor="text1"/>
                <w:sz w:val="22"/>
                <w:szCs w:val="22"/>
              </w:rPr>
              <w:t xml:space="preserve">Cel horyzontalny 4. </w:t>
            </w:r>
            <w:r>
              <w:rPr>
                <w:rFonts w:ascii="Arial" w:hAnsi="Arial" w:cs="Arial"/>
                <w:b/>
                <w:color w:val="000000" w:themeColor="text1"/>
                <w:sz w:val="22"/>
                <w:szCs w:val="22"/>
              </w:rPr>
              <w:br/>
            </w:r>
            <w:r w:rsidR="00FC6CA4" w:rsidRPr="00B00AFA">
              <w:rPr>
                <w:rFonts w:ascii="Arial" w:hAnsi="Arial" w:cs="Arial"/>
                <w:b/>
                <w:color w:val="000000" w:themeColor="text1"/>
                <w:sz w:val="22"/>
                <w:szCs w:val="22"/>
              </w:rPr>
              <w:t xml:space="preserve">Poprawa bezpieczeństwa </w:t>
            </w:r>
            <w:r>
              <w:rPr>
                <w:rFonts w:ascii="Arial" w:hAnsi="Arial" w:cs="Arial"/>
                <w:b/>
                <w:color w:val="000000" w:themeColor="text1"/>
                <w:sz w:val="22"/>
                <w:szCs w:val="22"/>
              </w:rPr>
              <w:br/>
              <w:t xml:space="preserve">w transporcie / </w:t>
            </w:r>
            <w:r w:rsidR="00FC6CA4" w:rsidRPr="00B00AFA">
              <w:rPr>
                <w:rFonts w:ascii="Arial" w:hAnsi="Arial" w:cs="Arial"/>
                <w:b/>
                <w:color w:val="000000" w:themeColor="text1"/>
                <w:sz w:val="22"/>
                <w:szCs w:val="22"/>
              </w:rPr>
              <w:t>Priorytet A</w:t>
            </w:r>
          </w:p>
        </w:tc>
        <w:tc>
          <w:tcPr>
            <w:tcW w:w="3758" w:type="pct"/>
            <w:vAlign w:val="center"/>
          </w:tcPr>
          <w:p w14:paraId="46285866" w14:textId="77777777" w:rsidR="00FC6CA4" w:rsidRPr="00B00AFA" w:rsidRDefault="00FC6CA4" w:rsidP="00B00AFA">
            <w:pPr>
              <w:pStyle w:val="Akapitzlist"/>
              <w:numPr>
                <w:ilvl w:val="0"/>
                <w:numId w:val="178"/>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Działania na rzecz poprawy bezpieczeństwa, w tym również działania edukacyjno-promocyjne oraz wdrażanie rozwiązań egzekwujących przestrzeganie dopuszczalnej prędkości oraz z zakresu infrastruktury niechronionych użytkowników drogi.</w:t>
            </w:r>
          </w:p>
          <w:p w14:paraId="14D41A5F" w14:textId="77777777" w:rsidR="00FC6CA4" w:rsidRPr="00B00AFA" w:rsidRDefault="00FC6CA4" w:rsidP="00B00AFA">
            <w:pPr>
              <w:pStyle w:val="Akapitzlist"/>
              <w:numPr>
                <w:ilvl w:val="0"/>
                <w:numId w:val="178"/>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Inwestycje drogowe służące poprawie bezpieczeństwa poprzez likwidację miejsc niebezpiecznych lub zmniejszeniu ruchu samochodowego w centrach miast.</w:t>
            </w:r>
          </w:p>
          <w:p w14:paraId="280475C5" w14:textId="77777777" w:rsidR="00FC6CA4" w:rsidRPr="00B00AFA" w:rsidRDefault="00FC6CA4" w:rsidP="00B00AFA">
            <w:pPr>
              <w:pStyle w:val="Akapitzlist"/>
              <w:numPr>
                <w:ilvl w:val="0"/>
                <w:numId w:val="178"/>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 xml:space="preserve">Poprawa bezpieczeństwa i likwidacja zagrożeń eksploatacyjnych na sieci kolejowej. </w:t>
            </w:r>
          </w:p>
          <w:p w14:paraId="4E26D670" w14:textId="77777777" w:rsidR="00FC6CA4" w:rsidRPr="00B00AFA" w:rsidRDefault="00FC6CA4" w:rsidP="00B00AFA">
            <w:pPr>
              <w:pStyle w:val="Akapitzlist"/>
              <w:numPr>
                <w:ilvl w:val="0"/>
                <w:numId w:val="178"/>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Wyposażanie dróg, ulic, torowisk w obiekty inżynieryjne i niezbędne urządzenia służące bezpieczeństwu ruchu pojazdów transportu publicznego także wykorzystujące rozwiązania elektroniczne (inteligentne drogi, zbierające sygnały o potencjalnych punktach zagrożonych np. przeciążeniach i wypadkach celem ostrzeżenia innych via Internet, radio, tablice, etc.).</w:t>
            </w:r>
          </w:p>
          <w:p w14:paraId="42FD78A7" w14:textId="5761573A" w:rsidR="00FC6CA4" w:rsidRPr="00B00AFA" w:rsidRDefault="00FC6CA4" w:rsidP="00B00AFA">
            <w:pPr>
              <w:pStyle w:val="Akapitzlist"/>
              <w:numPr>
                <w:ilvl w:val="0"/>
                <w:numId w:val="178"/>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Budowa systemów oświetlenia przeznaczonych do poprawy warunków bezpiecznego korzystania z jezdni, torowisk, ścieżek rowerowych (etc.)  (natężenie ruchu powyżej 5 tys. pojazdów na dobę)</w:t>
            </w:r>
            <w:r w:rsidR="0046136A" w:rsidRPr="00B00AFA">
              <w:rPr>
                <w:rFonts w:ascii="Arial" w:hAnsi="Arial" w:cs="Arial"/>
                <w:color w:val="000000" w:themeColor="text1"/>
                <w:sz w:val="22"/>
                <w:szCs w:val="22"/>
              </w:rPr>
              <w:t>.</w:t>
            </w:r>
          </w:p>
          <w:p w14:paraId="110A8313" w14:textId="77777777" w:rsidR="00FC6CA4" w:rsidRPr="00B00AFA" w:rsidRDefault="00FC6CA4" w:rsidP="00B00AFA">
            <w:pPr>
              <w:pStyle w:val="Akapitzlist"/>
              <w:numPr>
                <w:ilvl w:val="0"/>
                <w:numId w:val="178"/>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 xml:space="preserve">Budowa bezpiecznych przejść dla pieszych (etc.) (natężenie ruchu powyżej 5 tys. pojazdów na dobę). </w:t>
            </w:r>
          </w:p>
          <w:p w14:paraId="5B5332AA" w14:textId="77777777" w:rsidR="00FC6CA4" w:rsidRPr="00B00AFA" w:rsidRDefault="00FC6CA4" w:rsidP="00B00AFA">
            <w:pPr>
              <w:pStyle w:val="Akapitzlist"/>
              <w:numPr>
                <w:ilvl w:val="0"/>
                <w:numId w:val="178"/>
              </w:numPr>
              <w:tabs>
                <w:tab w:val="left" w:pos="2879"/>
              </w:tabs>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Wkomponowywanie w infrastrukturę dróg, ulic elementów służących zwiększeniu bezpieczeństwa transportu publicznego (np. kocie oczy, karbowanie nawierzchni jezdni w newralgicznych miejscach, stosowanie charakterystycznego wzoru płytek i krawężników w miejscach przesiadek i przejść, lampy, znaki i elementy przystankowe z wyświetlaczami lub głosem lektora informującym o zasadach bezpieczeństwa – uruchamiane przez fotokomórki, lub ciepło ciała); ponadto wzbogacanie dróg (pod kątem pojazdów) w podstawowe zatoki, podjazdy, zjazdy oraz (pod kątem pasażerów) w przystanki, wyspy, przejścia naziemne i podziemne pozwalające bezpiecznie docierać do przystanków i bezpiecznie je opuszczać.</w:t>
            </w:r>
          </w:p>
          <w:p w14:paraId="21CB7788" w14:textId="77777777" w:rsidR="00FC6CA4" w:rsidRPr="00B00AFA" w:rsidRDefault="00FC6CA4" w:rsidP="00B00AFA">
            <w:pPr>
              <w:pStyle w:val="Akapitzlist"/>
              <w:numPr>
                <w:ilvl w:val="0"/>
                <w:numId w:val="178"/>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Poprawa bezpieczeństwa poprzez budowę m.in. chodników, azyli centralnych, zatok autobusowych, wydzielenie obszaru dla ruchu lekkiego, instalację barier ochronnych na terenie województwa podkarpackiego (natężenie ruchu powyżej 5 tys. pojazdów na dobę).</w:t>
            </w:r>
          </w:p>
          <w:p w14:paraId="689A64BE" w14:textId="4C5C2C34" w:rsidR="00FC6CA4" w:rsidRPr="00B00AFA" w:rsidRDefault="00FC6CA4" w:rsidP="00B00AFA">
            <w:pPr>
              <w:pStyle w:val="Akapitzlist"/>
              <w:numPr>
                <w:ilvl w:val="0"/>
                <w:numId w:val="178"/>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Poprawa bezpieczeństwa na obszarach atrakcyjnych turystycznie (Bieszczady, Beskid Niski, Roztocze)</w:t>
            </w:r>
            <w:r w:rsidR="0046136A" w:rsidRPr="00B00AFA">
              <w:rPr>
                <w:rFonts w:ascii="Arial" w:hAnsi="Arial" w:cs="Arial"/>
                <w:color w:val="000000" w:themeColor="text1"/>
                <w:sz w:val="22"/>
                <w:szCs w:val="22"/>
              </w:rPr>
              <w:t>.</w:t>
            </w:r>
          </w:p>
        </w:tc>
      </w:tr>
      <w:tr w:rsidR="00FC6CA4" w:rsidRPr="00B00AFA" w14:paraId="57B604DA" w14:textId="77777777" w:rsidTr="00B00AFA">
        <w:trPr>
          <w:trHeight w:val="340"/>
        </w:trPr>
        <w:tc>
          <w:tcPr>
            <w:tcW w:w="1242" w:type="pct"/>
            <w:vAlign w:val="center"/>
          </w:tcPr>
          <w:p w14:paraId="58996DB8" w14:textId="585B5C92" w:rsidR="00FC6CA4" w:rsidRPr="00B00AFA" w:rsidRDefault="00B00AFA" w:rsidP="00B00AFA">
            <w:pPr>
              <w:spacing w:line="276" w:lineRule="auto"/>
              <w:rPr>
                <w:rFonts w:ascii="Arial" w:hAnsi="Arial" w:cs="Arial"/>
                <w:b/>
                <w:color w:val="000000" w:themeColor="text1"/>
                <w:sz w:val="22"/>
                <w:szCs w:val="22"/>
              </w:rPr>
            </w:pPr>
            <w:r>
              <w:rPr>
                <w:rFonts w:ascii="Arial" w:hAnsi="Arial" w:cs="Arial"/>
                <w:b/>
                <w:color w:val="000000" w:themeColor="text1"/>
                <w:sz w:val="22"/>
                <w:szCs w:val="22"/>
              </w:rPr>
              <w:t xml:space="preserve">Cel horyzontalny 4. </w:t>
            </w:r>
            <w:r>
              <w:rPr>
                <w:rFonts w:ascii="Arial" w:hAnsi="Arial" w:cs="Arial"/>
                <w:b/>
                <w:color w:val="000000" w:themeColor="text1"/>
                <w:sz w:val="22"/>
                <w:szCs w:val="22"/>
              </w:rPr>
              <w:br/>
            </w:r>
            <w:r w:rsidR="00FC6CA4" w:rsidRPr="00B00AFA">
              <w:rPr>
                <w:rFonts w:ascii="Arial" w:hAnsi="Arial" w:cs="Arial"/>
                <w:b/>
                <w:color w:val="000000" w:themeColor="text1"/>
                <w:sz w:val="22"/>
                <w:szCs w:val="22"/>
              </w:rPr>
              <w:t>Poprawa b</w:t>
            </w:r>
            <w:r>
              <w:rPr>
                <w:rFonts w:ascii="Arial" w:hAnsi="Arial" w:cs="Arial"/>
                <w:b/>
                <w:color w:val="000000" w:themeColor="text1"/>
                <w:sz w:val="22"/>
                <w:szCs w:val="22"/>
              </w:rPr>
              <w:t xml:space="preserve">ezpieczeństwa </w:t>
            </w:r>
            <w:r>
              <w:rPr>
                <w:rFonts w:ascii="Arial" w:hAnsi="Arial" w:cs="Arial"/>
                <w:b/>
                <w:color w:val="000000" w:themeColor="text1"/>
                <w:sz w:val="22"/>
                <w:szCs w:val="22"/>
              </w:rPr>
              <w:br/>
              <w:t xml:space="preserve">w transporcie / </w:t>
            </w:r>
            <w:r w:rsidR="00FC6CA4" w:rsidRPr="00B00AFA">
              <w:rPr>
                <w:rFonts w:ascii="Arial" w:hAnsi="Arial" w:cs="Arial"/>
                <w:b/>
                <w:color w:val="000000" w:themeColor="text1"/>
                <w:sz w:val="22"/>
                <w:szCs w:val="22"/>
              </w:rPr>
              <w:t>Priorytet B</w:t>
            </w:r>
          </w:p>
        </w:tc>
        <w:tc>
          <w:tcPr>
            <w:tcW w:w="3758" w:type="pct"/>
            <w:vAlign w:val="center"/>
          </w:tcPr>
          <w:p w14:paraId="65BF9744" w14:textId="77777777" w:rsidR="00FC6CA4" w:rsidRPr="00B00AFA" w:rsidRDefault="00FC6CA4" w:rsidP="00B00AFA">
            <w:pPr>
              <w:pStyle w:val="Akapitzlist"/>
              <w:numPr>
                <w:ilvl w:val="0"/>
                <w:numId w:val="179"/>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Odbudowa infrastruktury po powodziach m.in. zabezpieczenie osuwisk, poboczy itp. w regionie.</w:t>
            </w:r>
          </w:p>
          <w:p w14:paraId="021AEBD7" w14:textId="77777777" w:rsidR="00FC6CA4" w:rsidRPr="00B00AFA" w:rsidRDefault="00FC6CA4" w:rsidP="00B00AFA">
            <w:pPr>
              <w:pStyle w:val="Akapitzlist"/>
              <w:numPr>
                <w:ilvl w:val="0"/>
                <w:numId w:val="179"/>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Poprawa bezpieczeństwa poprzez budowę m.in. chodników, azyli centralnych, zatok autobusowych, wydzielenie obszaru dla ruchu lekkiego, instalację barier ochronnych na terenie województwa podkarpackiego (natężenie ruchu poniżej 5 tys. pojazdów na dobę).</w:t>
            </w:r>
          </w:p>
          <w:p w14:paraId="5DD64C4E" w14:textId="77777777" w:rsidR="00FC6CA4" w:rsidRPr="00B00AFA" w:rsidRDefault="00FC6CA4" w:rsidP="00B00AFA">
            <w:pPr>
              <w:pStyle w:val="Akapitzlist"/>
              <w:numPr>
                <w:ilvl w:val="0"/>
                <w:numId w:val="179"/>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Budowa systemów oświetlenia przeznaczonych do poprawy warunków bezpiecznego korzystania z jezdni, torowisk, ścieżek rowerowych (etc.)  (natężenie ruchu poniżej 5 tys. pojazdów na dobę).</w:t>
            </w:r>
          </w:p>
          <w:p w14:paraId="1DC2DD71" w14:textId="013A24D5" w:rsidR="00FC6CA4" w:rsidRPr="00B00AFA" w:rsidRDefault="00FC6CA4" w:rsidP="00B00AFA">
            <w:pPr>
              <w:pStyle w:val="Akapitzlist"/>
              <w:numPr>
                <w:ilvl w:val="0"/>
                <w:numId w:val="179"/>
              </w:numPr>
              <w:spacing w:line="276" w:lineRule="auto"/>
              <w:rPr>
                <w:rFonts w:ascii="Arial" w:hAnsi="Arial" w:cs="Arial"/>
                <w:color w:val="000000" w:themeColor="text1"/>
                <w:sz w:val="22"/>
                <w:szCs w:val="22"/>
              </w:rPr>
            </w:pPr>
            <w:r w:rsidRPr="00B00AFA">
              <w:rPr>
                <w:rFonts w:ascii="Arial" w:hAnsi="Arial" w:cs="Arial"/>
                <w:color w:val="000000" w:themeColor="text1"/>
                <w:sz w:val="22"/>
                <w:szCs w:val="22"/>
              </w:rPr>
              <w:t>Budowa bezpiecznych przejść dla pieszych (etc.) (natężenie ruchu poniżej 5 tys. pojazdów na dobę).</w:t>
            </w:r>
          </w:p>
        </w:tc>
      </w:tr>
    </w:tbl>
    <w:p w14:paraId="7731A5EF" w14:textId="77777777" w:rsidR="00E612B3" w:rsidRPr="009B78DA" w:rsidRDefault="00E612B3" w:rsidP="00F45E35">
      <w:pPr>
        <w:spacing w:after="120" w:line="276" w:lineRule="auto"/>
        <w:ind w:right="656"/>
        <w:jc w:val="both"/>
        <w:rPr>
          <w:rFonts w:ascii="Arial" w:hAnsi="Arial" w:cs="Arial"/>
          <w:b/>
          <w:color w:val="000000" w:themeColor="text1"/>
          <w:sz w:val="22"/>
          <w:szCs w:val="22"/>
        </w:rPr>
      </w:pPr>
    </w:p>
    <w:p w14:paraId="193DA0E2" w14:textId="77777777" w:rsidR="00BD3B7C" w:rsidRPr="009B78DA" w:rsidRDefault="00BD3B7C">
      <w:pPr>
        <w:rPr>
          <w:rFonts w:ascii="Arial" w:hAnsi="Arial" w:cs="Arial"/>
          <w:b/>
          <w:color w:val="000000" w:themeColor="text1"/>
          <w:sz w:val="22"/>
          <w:szCs w:val="22"/>
        </w:rPr>
        <w:sectPr w:rsidR="00BD3B7C" w:rsidRPr="009B78DA" w:rsidSect="0097537A">
          <w:pgSz w:w="16838" w:h="11906" w:orient="landscape" w:code="9"/>
          <w:pgMar w:top="720" w:right="720" w:bottom="720" w:left="720" w:header="708" w:footer="708" w:gutter="0"/>
          <w:cols w:space="708"/>
          <w:docGrid w:linePitch="360"/>
        </w:sectPr>
      </w:pPr>
    </w:p>
    <w:p w14:paraId="235470B4" w14:textId="6FEC670E" w:rsidR="00323DA3" w:rsidRPr="009B78DA" w:rsidRDefault="00323DA3" w:rsidP="003C017F">
      <w:pPr>
        <w:pStyle w:val="Legenda"/>
        <w:keepNext/>
        <w:rPr>
          <w:rFonts w:ascii="Arial" w:hAnsi="Arial" w:cs="Arial"/>
          <w:i w:val="0"/>
          <w:color w:val="000000" w:themeColor="text1"/>
          <w:sz w:val="22"/>
          <w:szCs w:val="22"/>
        </w:rPr>
      </w:pPr>
      <w:bookmarkStart w:id="357" w:name="_Toc146785704"/>
      <w:bookmarkStart w:id="358" w:name="_Hlk88637504"/>
      <w:bookmarkStart w:id="359" w:name="_Hlk90295679"/>
      <w:bookmarkEnd w:id="349"/>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75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Mapa sieci transportowej w województwie podkarpackim do 2030 roku.</w:t>
      </w:r>
      <w:bookmarkEnd w:id="357"/>
    </w:p>
    <w:p w14:paraId="5137EDCA" w14:textId="21BAFD70" w:rsidR="003F55A6" w:rsidRPr="009B78DA" w:rsidRDefault="00433523" w:rsidP="003C017F">
      <w:pPr>
        <w:pStyle w:val="Legenda"/>
        <w:keepNext/>
        <w:tabs>
          <w:tab w:val="left" w:pos="1725"/>
        </w:tabs>
        <w:rPr>
          <w:color w:val="000000" w:themeColor="text1"/>
        </w:rPr>
      </w:pPr>
      <w:r w:rsidRPr="009B78DA">
        <w:rPr>
          <w:noProof/>
          <w:color w:val="000000" w:themeColor="text1"/>
        </w:rPr>
        <w:drawing>
          <wp:inline distT="0" distB="0" distL="0" distR="0" wp14:anchorId="66675855" wp14:editId="3DFDE456">
            <wp:extent cx="12073255" cy="8871156"/>
            <wp:effectExtent l="0" t="0" r="4445" b="6350"/>
            <wp:docPr id="1463137527" name="Obraz 2" descr="Sieci transportowe w województwie podkarpackim do 2030 roku. Mapa szczegółowa zawierająca wszystkie planowane i zrealizowane inwestycje drogowe i kolejowe. Zawiera wszystkie elementy, które zostały wyjaśnione w poprzednich rysunkach 61 i 62. " title="Rysunek 75 Mapa sieci transportowej w województwie podkarpackim do 2030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137527" name="Obraz 2" descr="Obraz zawierający tekst, mapa, diagram, atlas&#10;&#10;Opis wygenerowany automatyczni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2116843" cy="8903184"/>
                    </a:xfrm>
                    <a:prstGeom prst="rect">
                      <a:avLst/>
                    </a:prstGeom>
                  </pic:spPr>
                </pic:pic>
              </a:graphicData>
            </a:graphic>
          </wp:inline>
        </w:drawing>
      </w:r>
    </w:p>
    <w:p w14:paraId="543AB2CA" w14:textId="23C78195" w:rsidR="00E612B3" w:rsidRPr="009B78DA" w:rsidRDefault="00E612B3" w:rsidP="004B4E32">
      <w:pPr>
        <w:spacing w:before="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Źródło: </w:t>
      </w:r>
      <w:bookmarkEnd w:id="358"/>
      <w:r w:rsidR="004A0168" w:rsidRPr="009B78DA">
        <w:rPr>
          <w:rFonts w:ascii="Arial" w:hAnsi="Arial" w:cs="Arial"/>
          <w:color w:val="000000" w:themeColor="text1"/>
          <w:sz w:val="22"/>
          <w:szCs w:val="22"/>
        </w:rPr>
        <w:t xml:space="preserve">Opracowanie </w:t>
      </w:r>
      <w:r w:rsidR="007C58D4" w:rsidRPr="009B78DA">
        <w:rPr>
          <w:rFonts w:ascii="Arial" w:hAnsi="Arial" w:cs="Arial"/>
          <w:color w:val="000000" w:themeColor="text1"/>
          <w:sz w:val="22"/>
          <w:szCs w:val="22"/>
        </w:rPr>
        <w:t>własne.</w:t>
      </w:r>
      <w:r w:rsidRPr="009B78DA">
        <w:rPr>
          <w:rFonts w:ascii="Arial" w:hAnsi="Arial" w:cs="Arial"/>
          <w:b/>
          <w:color w:val="000000" w:themeColor="text1"/>
          <w:sz w:val="22"/>
          <w:szCs w:val="22"/>
        </w:rPr>
        <w:br w:type="page"/>
      </w:r>
    </w:p>
    <w:p w14:paraId="04BBF784" w14:textId="6AE9D775" w:rsidR="00E612B3" w:rsidRPr="009B78DA" w:rsidRDefault="00E612B3" w:rsidP="00E612B3">
      <w:pPr>
        <w:rPr>
          <w:rFonts w:ascii="Arial" w:hAnsi="Arial" w:cs="Arial"/>
          <w:b/>
          <w:color w:val="000000" w:themeColor="text1"/>
          <w:sz w:val="22"/>
          <w:szCs w:val="22"/>
        </w:rPr>
        <w:sectPr w:rsidR="00E612B3" w:rsidRPr="009B78DA" w:rsidSect="00BD3B7C">
          <w:pgSz w:w="23811" w:h="16838" w:orient="landscape" w:code="8"/>
          <w:pgMar w:top="720" w:right="720" w:bottom="720" w:left="720" w:header="708" w:footer="708" w:gutter="0"/>
          <w:cols w:space="708"/>
          <w:docGrid w:linePitch="360"/>
        </w:sectPr>
      </w:pPr>
    </w:p>
    <w:bookmarkEnd w:id="359"/>
    <w:p w14:paraId="7B2A3094" w14:textId="35F6A316" w:rsidR="004D5393" w:rsidRPr="009B78DA" w:rsidRDefault="004D5393" w:rsidP="009848C6">
      <w:pPr>
        <w:spacing w:after="120" w:line="276" w:lineRule="auto"/>
        <w:ind w:right="656"/>
        <w:rPr>
          <w:rFonts w:ascii="Arial" w:hAnsi="Arial" w:cs="Arial"/>
          <w:b/>
          <w:color w:val="000000" w:themeColor="text1"/>
          <w:sz w:val="22"/>
          <w:szCs w:val="22"/>
        </w:rPr>
      </w:pPr>
      <w:r w:rsidRPr="009B78DA">
        <w:rPr>
          <w:rFonts w:ascii="Arial" w:hAnsi="Arial" w:cs="Arial"/>
          <w:b/>
          <w:color w:val="000000" w:themeColor="text1"/>
          <w:sz w:val="22"/>
          <w:szCs w:val="22"/>
        </w:rPr>
        <w:t>Priorytetowe inwestycje transportowe (</w:t>
      </w:r>
      <w:bookmarkStart w:id="360" w:name="_Hlk92699524"/>
      <w:r w:rsidR="00010A79" w:rsidRPr="009B78DA">
        <w:rPr>
          <w:rFonts w:ascii="Arial" w:hAnsi="Arial" w:cs="Arial"/>
          <w:b/>
          <w:color w:val="000000" w:themeColor="text1"/>
          <w:sz w:val="22"/>
          <w:szCs w:val="22"/>
        </w:rPr>
        <w:t>aktualizacja</w:t>
      </w:r>
      <w:r w:rsidR="00925FCC" w:rsidRPr="009B78DA">
        <w:rPr>
          <w:rFonts w:ascii="Arial" w:hAnsi="Arial" w:cs="Arial"/>
          <w:b/>
          <w:color w:val="000000" w:themeColor="text1"/>
          <w:sz w:val="22"/>
          <w:szCs w:val="22"/>
        </w:rPr>
        <w:t xml:space="preserve"> </w:t>
      </w:r>
      <w:bookmarkEnd w:id="360"/>
      <w:r w:rsidR="00925FCC" w:rsidRPr="009B78DA">
        <w:rPr>
          <w:rFonts w:ascii="Arial" w:hAnsi="Arial" w:cs="Arial"/>
          <w:b/>
          <w:color w:val="000000" w:themeColor="text1"/>
          <w:sz w:val="22"/>
          <w:szCs w:val="22"/>
        </w:rPr>
        <w:t>priorytetów inwestycyjnych)</w:t>
      </w:r>
    </w:p>
    <w:p w14:paraId="1C96A829" w14:textId="4705100C" w:rsidR="004D5393" w:rsidRPr="009B78DA" w:rsidRDefault="004D5393" w:rsidP="009848C6">
      <w:pPr>
        <w:tabs>
          <w:tab w:val="left" w:pos="9072"/>
        </w:tabs>
        <w:spacing w:after="12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Konkretne zadania inwestycyjne na okres do roku 2030 wynikają zarówno </w:t>
      </w:r>
      <w:r w:rsidR="009848C6">
        <w:rPr>
          <w:rFonts w:ascii="Arial" w:hAnsi="Arial" w:cs="Arial"/>
          <w:color w:val="000000" w:themeColor="text1"/>
          <w:sz w:val="22"/>
          <w:szCs w:val="22"/>
        </w:rPr>
        <w:br/>
      </w:r>
      <w:r w:rsidRPr="009B78DA">
        <w:rPr>
          <w:rFonts w:ascii="Arial" w:hAnsi="Arial" w:cs="Arial"/>
          <w:color w:val="000000" w:themeColor="text1"/>
          <w:sz w:val="22"/>
          <w:szCs w:val="22"/>
        </w:rPr>
        <w:t xml:space="preserve">z potrzeby usprawniania powiązań zewnętrznych, jak też z istniejących luk infrastrukturalnych oraz z dążenia do przeciwdziałania wykluczeniu transportowemu. Znaczenie mają także cele polityki regionalnej i polityk sektorowych (w tym utrzymanie części ludności w miejscach ich zamieszkania poprzez zapewnienie sprawnych dojazdów do pracy i usług – podniesienie jakości życia). Biorąc to wszystko pod uwagę możliwe jest wylistowanie inwestycji, z podziałem na dwa priorytety: A oraz B. Obie kategorie nie obejmują inwestycji, których realizacja przewidziana jest do końca bieżącej perspektywy finansowej, a zatem do końca roku 2023. </w:t>
      </w:r>
      <w:bookmarkStart w:id="361" w:name="_Hlk92710608"/>
      <w:r w:rsidRPr="009B78DA">
        <w:rPr>
          <w:rFonts w:ascii="Arial" w:hAnsi="Arial" w:cs="Arial"/>
          <w:color w:val="000000" w:themeColor="text1"/>
          <w:sz w:val="22"/>
          <w:szCs w:val="22"/>
        </w:rPr>
        <w:t xml:space="preserve">Pierwszy z dwóch proponowanych zestawów zadań inwestycyjnych (priorytet A) to działania, które powinny znaleźć się w </w:t>
      </w:r>
      <w:r w:rsidR="00693E0B" w:rsidRPr="009B78DA">
        <w:rPr>
          <w:rFonts w:ascii="Arial" w:hAnsi="Arial" w:cs="Arial"/>
          <w:color w:val="000000" w:themeColor="text1"/>
          <w:sz w:val="22"/>
          <w:szCs w:val="22"/>
        </w:rPr>
        <w:t xml:space="preserve">programach </w:t>
      </w:r>
      <w:r w:rsidR="009848C6">
        <w:rPr>
          <w:rFonts w:ascii="Arial" w:hAnsi="Arial" w:cs="Arial"/>
          <w:color w:val="000000" w:themeColor="text1"/>
          <w:sz w:val="22"/>
          <w:szCs w:val="22"/>
        </w:rPr>
        <w:br/>
      </w:r>
      <w:r w:rsidR="00693E0B" w:rsidRPr="009B78DA">
        <w:rPr>
          <w:rFonts w:ascii="Arial" w:hAnsi="Arial" w:cs="Arial"/>
          <w:color w:val="000000" w:themeColor="text1"/>
          <w:sz w:val="22"/>
          <w:szCs w:val="22"/>
        </w:rPr>
        <w:t xml:space="preserve">z </w:t>
      </w:r>
      <w:r w:rsidR="00D52B9E" w:rsidRPr="009B78DA">
        <w:rPr>
          <w:rFonts w:ascii="Arial" w:hAnsi="Arial" w:cs="Arial"/>
          <w:color w:val="000000" w:themeColor="text1"/>
          <w:sz w:val="22"/>
          <w:szCs w:val="22"/>
        </w:rPr>
        <w:t>fundusz</w:t>
      </w:r>
      <w:r w:rsidR="00693E0B" w:rsidRPr="009B78DA">
        <w:rPr>
          <w:rFonts w:ascii="Arial" w:hAnsi="Arial" w:cs="Arial"/>
          <w:color w:val="000000" w:themeColor="text1"/>
          <w:sz w:val="22"/>
          <w:szCs w:val="22"/>
        </w:rPr>
        <w:t>y</w:t>
      </w:r>
      <w:r w:rsidR="00D52B9E" w:rsidRPr="009B78DA">
        <w:rPr>
          <w:rFonts w:ascii="Arial" w:hAnsi="Arial" w:cs="Arial"/>
          <w:color w:val="000000" w:themeColor="text1"/>
          <w:sz w:val="22"/>
          <w:szCs w:val="22"/>
        </w:rPr>
        <w:t xml:space="preserve"> europejskich</w:t>
      </w:r>
      <w:r w:rsidRPr="009B78DA">
        <w:rPr>
          <w:rFonts w:ascii="Arial" w:hAnsi="Arial" w:cs="Arial"/>
          <w:color w:val="000000" w:themeColor="text1"/>
          <w:sz w:val="22"/>
          <w:szCs w:val="22"/>
        </w:rPr>
        <w:t xml:space="preserve"> na okres finansowy UE 2021-2027 </w:t>
      </w:r>
      <w:bookmarkEnd w:id="361"/>
      <w:r w:rsidRPr="009B78DA">
        <w:rPr>
          <w:rFonts w:ascii="Arial" w:hAnsi="Arial" w:cs="Arial"/>
          <w:color w:val="000000" w:themeColor="text1"/>
          <w:sz w:val="22"/>
          <w:szCs w:val="22"/>
        </w:rPr>
        <w:t>(w sensie planowania, niezależnie od ostatecznego pochodzenia środków na finansowanie). Priorytet B to działania, które mogą być wykonane w drugim etapie (zgodnie z obecną wiedzą na temat istniejących i prognozowanych powiązań funkcjonalnych). Podział na dwie kategorie jest istotny ponieważ odzwierciedla ewentualne etapowanie inwestycji, np. w sytuacjach gdy pełna realizacja nie jest możliwa z uwagi na sytuację makroekonomiczną, lub na skutek innych czynników (np. brak współpracy z partnerami po drugiej stronie granicy).</w:t>
      </w:r>
      <w:r w:rsidR="00CB230A" w:rsidRPr="009B78DA">
        <w:rPr>
          <w:rFonts w:ascii="Arial" w:hAnsi="Arial" w:cs="Arial"/>
          <w:color w:val="000000" w:themeColor="text1"/>
          <w:sz w:val="22"/>
          <w:szCs w:val="22"/>
        </w:rPr>
        <w:t xml:space="preserve"> Umieszczenie działania w planie transportowym jest warunkiem jego późniejszego finansowania ze środków UE.</w:t>
      </w:r>
    </w:p>
    <w:p w14:paraId="5ABDF340" w14:textId="77777777" w:rsidR="00466122" w:rsidRPr="009B78DA" w:rsidRDefault="0024555B" w:rsidP="009848C6">
      <w:pPr>
        <w:tabs>
          <w:tab w:val="left" w:pos="9072"/>
        </w:tabs>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Weryfikacja priorytetów inwestycyjnych </w:t>
      </w:r>
      <w:r w:rsidR="009F07E3" w:rsidRPr="009B78DA">
        <w:rPr>
          <w:rFonts w:ascii="Arial" w:hAnsi="Arial" w:cs="Arial"/>
          <w:color w:val="000000" w:themeColor="text1"/>
          <w:sz w:val="22"/>
          <w:szCs w:val="22"/>
        </w:rPr>
        <w:t>zawiera</w:t>
      </w:r>
      <w:r w:rsidR="00466122" w:rsidRPr="009B78DA">
        <w:rPr>
          <w:rFonts w:ascii="Arial" w:hAnsi="Arial" w:cs="Arial"/>
          <w:color w:val="000000" w:themeColor="text1"/>
          <w:sz w:val="22"/>
          <w:szCs w:val="22"/>
        </w:rPr>
        <w:t>:</w:t>
      </w:r>
    </w:p>
    <w:p w14:paraId="4429CD98" w14:textId="77777777" w:rsidR="00466122" w:rsidRPr="009B78DA" w:rsidRDefault="00466122" w:rsidP="009848C6">
      <w:pPr>
        <w:pStyle w:val="Akapitzlist"/>
        <w:numPr>
          <w:ilvl w:val="0"/>
          <w:numId w:val="153"/>
        </w:numPr>
        <w:tabs>
          <w:tab w:val="left" w:pos="9072"/>
        </w:tabs>
        <w:spacing w:after="0" w:line="276" w:lineRule="auto"/>
        <w:ind w:left="426" w:hanging="142"/>
        <w:rPr>
          <w:rFonts w:ascii="Arial" w:hAnsi="Arial" w:cs="Arial"/>
          <w:color w:val="000000" w:themeColor="text1"/>
          <w:sz w:val="22"/>
          <w:szCs w:val="22"/>
        </w:rPr>
      </w:pPr>
      <w:r w:rsidRPr="009B78DA">
        <w:rPr>
          <w:rFonts w:ascii="Arial" w:hAnsi="Arial" w:cs="Arial"/>
          <w:color w:val="000000" w:themeColor="text1"/>
          <w:sz w:val="22"/>
          <w:szCs w:val="22"/>
        </w:rPr>
        <w:t>Kwalifikacje nowych inwestycji / działań do Priorytetu A i B</w:t>
      </w:r>
    </w:p>
    <w:p w14:paraId="12C116EA" w14:textId="77777777" w:rsidR="00925FCC" w:rsidRPr="009B78DA" w:rsidRDefault="00466122" w:rsidP="009848C6">
      <w:pPr>
        <w:pStyle w:val="Akapitzlist"/>
        <w:numPr>
          <w:ilvl w:val="0"/>
          <w:numId w:val="153"/>
        </w:numPr>
        <w:tabs>
          <w:tab w:val="left" w:pos="9072"/>
        </w:tabs>
        <w:spacing w:after="0" w:line="276" w:lineRule="auto"/>
        <w:ind w:left="426" w:hanging="142"/>
        <w:rPr>
          <w:rFonts w:ascii="Arial" w:hAnsi="Arial" w:cs="Arial"/>
          <w:color w:val="000000" w:themeColor="text1"/>
          <w:sz w:val="22"/>
          <w:szCs w:val="22"/>
        </w:rPr>
      </w:pPr>
      <w:r w:rsidRPr="009B78DA">
        <w:rPr>
          <w:rFonts w:ascii="Arial" w:hAnsi="Arial" w:cs="Arial"/>
          <w:color w:val="000000" w:themeColor="text1"/>
          <w:sz w:val="22"/>
          <w:szCs w:val="22"/>
        </w:rPr>
        <w:t>Ranking inwestycyjny w ramach grup priorytet / gałąź transportu</w:t>
      </w:r>
    </w:p>
    <w:p w14:paraId="1498C88E" w14:textId="77777777" w:rsidR="009F07E3" w:rsidRPr="009B78DA" w:rsidRDefault="00466122" w:rsidP="009848C6">
      <w:pPr>
        <w:tabs>
          <w:tab w:val="left" w:pos="9072"/>
        </w:tabs>
        <w:spacing w:after="0" w:line="276" w:lineRule="auto"/>
        <w:rPr>
          <w:rFonts w:ascii="Arial" w:hAnsi="Arial" w:cs="Arial"/>
          <w:bCs/>
          <w:color w:val="000000" w:themeColor="text1"/>
          <w:sz w:val="22"/>
          <w:szCs w:val="22"/>
        </w:rPr>
      </w:pPr>
      <w:r w:rsidRPr="009B78DA">
        <w:rPr>
          <w:rFonts w:ascii="Arial" w:hAnsi="Arial" w:cs="Arial"/>
          <w:bCs/>
          <w:color w:val="000000" w:themeColor="text1"/>
          <w:sz w:val="22"/>
          <w:szCs w:val="22"/>
        </w:rPr>
        <w:t xml:space="preserve">Kryteria w ramach </w:t>
      </w:r>
      <w:r w:rsidR="0024555B" w:rsidRPr="009B78DA">
        <w:rPr>
          <w:rFonts w:ascii="Arial" w:hAnsi="Arial" w:cs="Arial"/>
          <w:color w:val="000000" w:themeColor="text1"/>
          <w:sz w:val="22"/>
          <w:szCs w:val="22"/>
        </w:rPr>
        <w:t>weryfikacji priorytetów inwestycyjnych</w:t>
      </w:r>
      <w:r w:rsidRPr="009B78DA">
        <w:rPr>
          <w:rFonts w:ascii="Arial" w:hAnsi="Arial" w:cs="Arial"/>
          <w:bCs/>
          <w:color w:val="000000" w:themeColor="text1"/>
          <w:sz w:val="22"/>
          <w:szCs w:val="22"/>
        </w:rPr>
        <w:t>:</w:t>
      </w:r>
    </w:p>
    <w:p w14:paraId="4452B63E" w14:textId="77777777" w:rsidR="00466122" w:rsidRPr="009B78DA" w:rsidRDefault="00466122" w:rsidP="009848C6">
      <w:pPr>
        <w:pStyle w:val="Akapitzlist"/>
        <w:numPr>
          <w:ilvl w:val="0"/>
          <w:numId w:val="226"/>
        </w:numPr>
        <w:tabs>
          <w:tab w:val="left" w:pos="9072"/>
        </w:tabs>
        <w:spacing w:after="0" w:line="276" w:lineRule="auto"/>
        <w:ind w:left="426" w:hanging="142"/>
        <w:rPr>
          <w:rFonts w:ascii="Arial" w:hAnsi="Arial" w:cs="Arial"/>
          <w:bCs/>
          <w:color w:val="000000" w:themeColor="text1"/>
          <w:sz w:val="22"/>
          <w:szCs w:val="22"/>
        </w:rPr>
      </w:pPr>
      <w:r w:rsidRPr="009B78DA">
        <w:rPr>
          <w:rFonts w:ascii="Arial" w:hAnsi="Arial" w:cs="Arial"/>
          <w:bCs/>
          <w:color w:val="000000" w:themeColor="text1"/>
          <w:sz w:val="22"/>
          <w:szCs w:val="22"/>
        </w:rPr>
        <w:t xml:space="preserve">Stopień zaawansowania inwestycji (stopień przygotowania dokumentacji oraz </w:t>
      </w:r>
      <w:r w:rsidR="00942A5F" w:rsidRPr="009B78DA">
        <w:rPr>
          <w:rFonts w:ascii="Arial" w:hAnsi="Arial" w:cs="Arial"/>
          <w:color w:val="000000" w:themeColor="text1"/>
          <w:sz w:val="22"/>
          <w:szCs w:val="22"/>
        </w:rPr>
        <w:t>gotowość zadania do realizacji</w:t>
      </w:r>
      <w:r w:rsidRPr="009B78DA">
        <w:rPr>
          <w:rFonts w:ascii="Arial" w:hAnsi="Arial" w:cs="Arial"/>
          <w:bCs/>
          <w:color w:val="000000" w:themeColor="text1"/>
          <w:sz w:val="22"/>
          <w:szCs w:val="22"/>
        </w:rPr>
        <w:t>).</w:t>
      </w:r>
    </w:p>
    <w:p w14:paraId="34264D61" w14:textId="4A5F5C1B" w:rsidR="00466122" w:rsidRPr="009B78DA" w:rsidRDefault="00466122" w:rsidP="009848C6">
      <w:pPr>
        <w:pStyle w:val="Akapitzlist"/>
        <w:numPr>
          <w:ilvl w:val="0"/>
          <w:numId w:val="226"/>
        </w:numPr>
        <w:tabs>
          <w:tab w:val="left" w:pos="9072"/>
        </w:tabs>
        <w:spacing w:after="0" w:line="276" w:lineRule="auto"/>
        <w:ind w:left="426" w:hanging="142"/>
        <w:rPr>
          <w:rFonts w:ascii="Arial" w:hAnsi="Arial" w:cs="Arial"/>
          <w:bCs/>
          <w:color w:val="000000" w:themeColor="text1"/>
          <w:sz w:val="22"/>
          <w:szCs w:val="22"/>
        </w:rPr>
      </w:pPr>
      <w:r w:rsidRPr="009B78DA">
        <w:rPr>
          <w:rFonts w:ascii="Arial" w:hAnsi="Arial" w:cs="Arial"/>
          <w:bCs/>
          <w:color w:val="000000" w:themeColor="text1"/>
          <w:sz w:val="22"/>
          <w:szCs w:val="22"/>
        </w:rPr>
        <w:t>Symulacj</w:t>
      </w:r>
      <w:r w:rsidR="00076B24" w:rsidRPr="009B78DA">
        <w:rPr>
          <w:rFonts w:ascii="Arial" w:hAnsi="Arial" w:cs="Arial"/>
          <w:bCs/>
          <w:color w:val="000000" w:themeColor="text1"/>
          <w:sz w:val="22"/>
          <w:szCs w:val="22"/>
        </w:rPr>
        <w:t>ę</w:t>
      </w:r>
      <w:r w:rsidRPr="009B78DA">
        <w:rPr>
          <w:rFonts w:ascii="Arial" w:hAnsi="Arial" w:cs="Arial"/>
          <w:bCs/>
          <w:color w:val="000000" w:themeColor="text1"/>
          <w:sz w:val="22"/>
          <w:szCs w:val="22"/>
        </w:rPr>
        <w:t xml:space="preserve"> zmian dostępności potencjałowej</w:t>
      </w:r>
      <w:r w:rsidR="009848C6">
        <w:rPr>
          <w:rFonts w:ascii="Arial" w:hAnsi="Arial" w:cs="Arial"/>
          <w:bCs/>
          <w:color w:val="000000" w:themeColor="text1"/>
          <w:sz w:val="22"/>
          <w:szCs w:val="22"/>
        </w:rPr>
        <w:t xml:space="preserve"> w wyniku realizacji inwestycji</w:t>
      </w:r>
    </w:p>
    <w:p w14:paraId="3C734872" w14:textId="65597936" w:rsidR="0024555B" w:rsidRPr="009B78DA" w:rsidRDefault="00466122" w:rsidP="009848C6">
      <w:pPr>
        <w:pStyle w:val="Akapitzlist"/>
        <w:numPr>
          <w:ilvl w:val="0"/>
          <w:numId w:val="226"/>
        </w:numPr>
        <w:tabs>
          <w:tab w:val="left" w:pos="9072"/>
        </w:tabs>
        <w:spacing w:after="0" w:line="276" w:lineRule="auto"/>
        <w:ind w:left="426" w:hanging="142"/>
        <w:rPr>
          <w:rFonts w:ascii="Arial" w:hAnsi="Arial" w:cs="Arial"/>
          <w:bCs/>
          <w:color w:val="000000" w:themeColor="text1"/>
          <w:sz w:val="22"/>
          <w:szCs w:val="22"/>
        </w:rPr>
      </w:pPr>
      <w:r w:rsidRPr="009B78DA">
        <w:rPr>
          <w:rFonts w:ascii="Arial" w:hAnsi="Arial" w:cs="Arial"/>
          <w:bCs/>
          <w:color w:val="000000" w:themeColor="text1"/>
          <w:sz w:val="22"/>
          <w:szCs w:val="22"/>
        </w:rPr>
        <w:t>Ocen</w:t>
      </w:r>
      <w:r w:rsidR="00076B24" w:rsidRPr="009B78DA">
        <w:rPr>
          <w:rFonts w:ascii="Arial" w:hAnsi="Arial" w:cs="Arial"/>
          <w:bCs/>
          <w:color w:val="000000" w:themeColor="text1"/>
          <w:sz w:val="22"/>
          <w:szCs w:val="22"/>
        </w:rPr>
        <w:t>ę</w:t>
      </w:r>
      <w:r w:rsidRPr="009B78DA">
        <w:rPr>
          <w:rFonts w:ascii="Arial" w:hAnsi="Arial" w:cs="Arial"/>
          <w:bCs/>
          <w:color w:val="000000" w:themeColor="text1"/>
          <w:sz w:val="22"/>
          <w:szCs w:val="22"/>
        </w:rPr>
        <w:t xml:space="preserve"> ekspercka działania / projektu pod k</w:t>
      </w:r>
      <w:r w:rsidR="009848C6">
        <w:rPr>
          <w:rFonts w:ascii="Arial" w:hAnsi="Arial" w:cs="Arial"/>
          <w:bCs/>
          <w:color w:val="000000" w:themeColor="text1"/>
          <w:sz w:val="22"/>
          <w:szCs w:val="22"/>
        </w:rPr>
        <w:t xml:space="preserve">ątem jego wpływu na realizację </w:t>
      </w:r>
      <w:r w:rsidRPr="009B78DA">
        <w:rPr>
          <w:rFonts w:ascii="Arial" w:hAnsi="Arial" w:cs="Arial"/>
          <w:bCs/>
          <w:color w:val="000000" w:themeColor="text1"/>
          <w:sz w:val="22"/>
          <w:szCs w:val="22"/>
        </w:rPr>
        <w:t>celów podstawowych oraz celów horyzontalnych dokumentu</w:t>
      </w:r>
      <w:r w:rsidR="0024555B" w:rsidRPr="009B78DA">
        <w:rPr>
          <w:rFonts w:ascii="Arial" w:hAnsi="Arial" w:cs="Arial"/>
          <w:bCs/>
          <w:color w:val="000000" w:themeColor="text1"/>
          <w:sz w:val="22"/>
          <w:szCs w:val="22"/>
        </w:rPr>
        <w:t>.</w:t>
      </w:r>
    </w:p>
    <w:p w14:paraId="2DAF1ED3" w14:textId="77777777" w:rsidR="00175BA6" w:rsidRPr="009B78DA" w:rsidRDefault="0024555B" w:rsidP="009848C6">
      <w:pPr>
        <w:tabs>
          <w:tab w:val="left" w:pos="9072"/>
        </w:tabs>
        <w:spacing w:after="0" w:line="276" w:lineRule="auto"/>
        <w:ind w:firstLine="851"/>
        <w:rPr>
          <w:rFonts w:ascii="Arial" w:hAnsi="Arial" w:cs="Arial"/>
          <w:bCs/>
          <w:color w:val="000000" w:themeColor="text1"/>
          <w:sz w:val="22"/>
          <w:szCs w:val="22"/>
        </w:rPr>
      </w:pPr>
      <w:r w:rsidRPr="009B78DA">
        <w:rPr>
          <w:rFonts w:ascii="Arial" w:hAnsi="Arial" w:cs="Arial"/>
          <w:color w:val="000000" w:themeColor="text1"/>
          <w:sz w:val="22"/>
          <w:szCs w:val="22"/>
        </w:rPr>
        <w:t>Weryfikacja priorytetów inwestycyjnych umożliwia umieszcz</w:t>
      </w:r>
      <w:r w:rsidR="006014D4" w:rsidRPr="009B78DA">
        <w:rPr>
          <w:rFonts w:ascii="Arial" w:hAnsi="Arial" w:cs="Arial"/>
          <w:color w:val="000000" w:themeColor="text1"/>
          <w:sz w:val="22"/>
          <w:szCs w:val="22"/>
        </w:rPr>
        <w:t xml:space="preserve">enie inwestycji </w:t>
      </w:r>
      <w:r w:rsidR="006014D4" w:rsidRPr="009B78DA">
        <w:rPr>
          <w:rFonts w:ascii="Arial" w:hAnsi="Arial" w:cs="Arial"/>
          <w:color w:val="000000" w:themeColor="text1"/>
          <w:sz w:val="22"/>
          <w:szCs w:val="22"/>
        </w:rPr>
        <w:br/>
      </w:r>
      <w:r w:rsidRPr="009B78DA">
        <w:rPr>
          <w:rFonts w:ascii="Arial" w:hAnsi="Arial" w:cs="Arial"/>
          <w:color w:val="000000" w:themeColor="text1"/>
          <w:sz w:val="22"/>
          <w:szCs w:val="22"/>
        </w:rPr>
        <w:t>w dokumencie, nie wskazuje jednak jej ostatecznego finansowania (o czym decydują kryteria wyboru projektów zamieszczone w dalszej części dokumentu).</w:t>
      </w:r>
      <w:r w:rsidR="00175BA6" w:rsidRPr="009B78DA">
        <w:rPr>
          <w:rFonts w:ascii="Arial" w:hAnsi="Arial" w:cs="Arial"/>
          <w:b/>
          <w:color w:val="000000" w:themeColor="text1"/>
          <w:sz w:val="22"/>
          <w:szCs w:val="22"/>
        </w:rPr>
        <w:br w:type="page"/>
      </w:r>
    </w:p>
    <w:p w14:paraId="36E32B96" w14:textId="10BFA444" w:rsidR="00B148C4" w:rsidRPr="009848C6" w:rsidRDefault="00175BA6" w:rsidP="009848C6">
      <w:pPr>
        <w:pStyle w:val="Nagwek1"/>
        <w:numPr>
          <w:ilvl w:val="0"/>
          <w:numId w:val="283"/>
        </w:numPr>
        <w:spacing w:after="120"/>
        <w:ind w:left="714" w:hanging="357"/>
        <w:contextualSpacing w:val="0"/>
        <w:rPr>
          <w:rFonts w:cs="Arial"/>
          <w:b/>
          <w:bCs/>
          <w:color w:val="000000" w:themeColor="text1"/>
          <w:sz w:val="26"/>
          <w:szCs w:val="26"/>
        </w:rPr>
      </w:pPr>
      <w:bookmarkStart w:id="362" w:name="_Toc100335078"/>
      <w:bookmarkStart w:id="363" w:name="_Hlk85625145"/>
      <w:bookmarkStart w:id="364" w:name="_Toc146785804"/>
      <w:r w:rsidRPr="009B78DA">
        <w:rPr>
          <w:rFonts w:cs="Arial"/>
          <w:b/>
          <w:bCs/>
          <w:color w:val="000000" w:themeColor="text1"/>
          <w:sz w:val="26"/>
          <w:szCs w:val="26"/>
        </w:rPr>
        <w:t>System wdrażania i realizacji</w:t>
      </w:r>
      <w:bookmarkStart w:id="365" w:name="_Hlk86231454"/>
      <w:bookmarkEnd w:id="362"/>
      <w:bookmarkEnd w:id="363"/>
      <w:bookmarkEnd w:id="364"/>
    </w:p>
    <w:p w14:paraId="1599D0D6" w14:textId="08C1F6A5" w:rsidR="008D3E7F" w:rsidRPr="009B78DA" w:rsidRDefault="008D3E7F" w:rsidP="009848C6">
      <w:pPr>
        <w:pStyle w:val="Nagwek2"/>
        <w:numPr>
          <w:ilvl w:val="0"/>
          <w:numId w:val="265"/>
        </w:numPr>
        <w:spacing w:before="0" w:after="0" w:line="276" w:lineRule="auto"/>
        <w:rPr>
          <w:rFonts w:cs="Arial"/>
          <w:b w:val="0"/>
          <w:bCs/>
          <w:sz w:val="24"/>
          <w:szCs w:val="24"/>
        </w:rPr>
      </w:pPr>
      <w:bookmarkStart w:id="366" w:name="_Toc100335079"/>
      <w:bookmarkStart w:id="367" w:name="_Toc146785805"/>
      <w:bookmarkStart w:id="368" w:name="_Toc85803991"/>
      <w:r w:rsidRPr="009B78DA">
        <w:rPr>
          <w:rFonts w:cs="Arial"/>
          <w:bCs/>
          <w:sz w:val="24"/>
          <w:szCs w:val="24"/>
        </w:rPr>
        <w:t>System realizacji</w:t>
      </w:r>
      <w:r w:rsidR="00B66EF7" w:rsidRPr="009B78DA">
        <w:rPr>
          <w:rFonts w:cs="Arial"/>
          <w:bCs/>
          <w:sz w:val="24"/>
          <w:szCs w:val="24"/>
        </w:rPr>
        <w:t xml:space="preserve"> – założenia ogólne</w:t>
      </w:r>
      <w:bookmarkEnd w:id="366"/>
      <w:bookmarkEnd w:id="367"/>
      <w:r w:rsidR="00B66EF7" w:rsidRPr="009B78DA">
        <w:rPr>
          <w:rFonts w:cs="Arial"/>
          <w:bCs/>
          <w:sz w:val="24"/>
          <w:szCs w:val="24"/>
        </w:rPr>
        <w:t xml:space="preserve"> </w:t>
      </w:r>
    </w:p>
    <w:p w14:paraId="48ED5657" w14:textId="14E42852"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i/>
          <w:color w:val="000000" w:themeColor="text1"/>
          <w:sz w:val="22"/>
          <w:szCs w:val="22"/>
        </w:rPr>
        <w:t>Program Strategiczn</w:t>
      </w:r>
      <w:r w:rsidR="00C63EDF" w:rsidRPr="009B78DA">
        <w:rPr>
          <w:rFonts w:ascii="Arial" w:hAnsi="Arial" w:cs="Arial"/>
          <w:i/>
          <w:color w:val="000000" w:themeColor="text1"/>
          <w:sz w:val="22"/>
          <w:szCs w:val="22"/>
        </w:rPr>
        <w:t>y</w:t>
      </w:r>
      <w:r w:rsidRPr="009B78DA">
        <w:rPr>
          <w:rFonts w:ascii="Arial" w:hAnsi="Arial" w:cs="Arial"/>
          <w:i/>
          <w:color w:val="000000" w:themeColor="text1"/>
          <w:sz w:val="22"/>
          <w:szCs w:val="22"/>
        </w:rPr>
        <w:t xml:space="preserve"> Rozwoju Transportu Województwa Podkarpackiego do roku 2030</w:t>
      </w:r>
      <w:r w:rsidRPr="009B78DA">
        <w:rPr>
          <w:rFonts w:ascii="Arial" w:hAnsi="Arial" w:cs="Arial"/>
          <w:color w:val="000000" w:themeColor="text1"/>
          <w:sz w:val="22"/>
          <w:szCs w:val="22"/>
        </w:rPr>
        <w:t xml:space="preserve"> sporządzony został zgodnie z wymogami obowiązującego prawa oraz z zachowaniem odpowiedniej przejrzystości i należytej staranności, niezbędnej przy realizacji wieloletnich programów finansowanych ze środków publicznych. Program stanowi spełnienie warunkowości </w:t>
      </w:r>
      <w:r w:rsidR="00FE7FE8" w:rsidRPr="009B78DA">
        <w:rPr>
          <w:rFonts w:ascii="Arial" w:hAnsi="Arial" w:cs="Arial"/>
          <w:iCs/>
          <w:color w:val="000000" w:themeColor="text1"/>
          <w:sz w:val="22"/>
          <w:szCs w:val="22"/>
        </w:rPr>
        <w:t xml:space="preserve">podstawowej w zakresie unijnego Celu Polityki 3 pn. </w:t>
      </w:r>
      <w:r w:rsidR="00FE7FE8" w:rsidRPr="009B78DA">
        <w:rPr>
          <w:rFonts w:ascii="Arial" w:hAnsi="Arial" w:cs="Arial"/>
          <w:i/>
          <w:color w:val="000000" w:themeColor="text1"/>
          <w:sz w:val="22"/>
          <w:szCs w:val="22"/>
        </w:rPr>
        <w:t>Lepiej połączona Europa</w:t>
      </w:r>
      <w:r w:rsidR="006B152F" w:rsidRPr="009B78DA">
        <w:rPr>
          <w:rFonts w:ascii="Arial" w:hAnsi="Arial" w:cs="Arial"/>
          <w:i/>
          <w:color w:val="000000" w:themeColor="text1"/>
          <w:sz w:val="22"/>
          <w:szCs w:val="22"/>
        </w:rPr>
        <w:t>.</w:t>
      </w:r>
    </w:p>
    <w:p w14:paraId="54163513" w14:textId="5F15AB08"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Realizacja</w:t>
      </w:r>
      <w:r w:rsidR="006E5498" w:rsidRPr="009B78DA">
        <w:rPr>
          <w:rFonts w:ascii="Arial" w:hAnsi="Arial" w:cs="Arial"/>
          <w:color w:val="000000" w:themeColor="text1"/>
          <w:sz w:val="22"/>
          <w:szCs w:val="22"/>
        </w:rPr>
        <w:t xml:space="preserve"> </w:t>
      </w:r>
      <w:r w:rsidRPr="009B78DA">
        <w:rPr>
          <w:rFonts w:ascii="Arial" w:hAnsi="Arial" w:cs="Arial"/>
          <w:i/>
          <w:color w:val="000000" w:themeColor="text1"/>
          <w:sz w:val="22"/>
          <w:szCs w:val="22"/>
        </w:rPr>
        <w:t>Programu Strategicznego Rozwoju Transportu Województwa Podkarpackiego do roku 2030</w:t>
      </w:r>
      <w:r w:rsidRPr="009B78DA">
        <w:rPr>
          <w:rFonts w:ascii="Arial" w:hAnsi="Arial" w:cs="Arial"/>
          <w:color w:val="000000" w:themeColor="text1"/>
          <w:sz w:val="22"/>
          <w:szCs w:val="22"/>
        </w:rPr>
        <w:t xml:space="preserve"> będzie wymagała podjęcia wielu działań z wykorzystaniem zróżnicowanych środków.</w:t>
      </w:r>
    </w:p>
    <w:p w14:paraId="72FF0233" w14:textId="0DE275CC"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Zakres przewidywanej interwencji, określony w Programie zakłada konieczność współpracy ze sobą różnych podmiotów, w tym przede wszystkim: władz państwowych, jednostek samorządu terytorialnego i zarządców infrastruktury transportowej, które będą współuczestniczyły w realizacji inwestycji z dziedziny transportu drogowego, kolejowego oraz lotniczego.</w:t>
      </w:r>
    </w:p>
    <w:p w14:paraId="43CDBEDE" w14:textId="3A47640B" w:rsidR="00DE397E" w:rsidRPr="009B78DA" w:rsidRDefault="00DE397E"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Zakres planowanej interwencji, która będzie realizowana w ujęciu terytorialnym, możliwym do objęcia kontraktem sektorowym</w:t>
      </w:r>
      <w:r w:rsidR="006511CD" w:rsidRPr="009B78DA">
        <w:rPr>
          <w:rFonts w:ascii="Arial" w:hAnsi="Arial" w:cs="Arial"/>
          <w:color w:val="000000" w:themeColor="text1"/>
          <w:sz w:val="22"/>
          <w:szCs w:val="22"/>
        </w:rPr>
        <w:t xml:space="preserve"> dotyczy wszystkich celów podstawowych </w:t>
      </w:r>
      <w:r w:rsidR="009848C6">
        <w:rPr>
          <w:rFonts w:ascii="Arial" w:hAnsi="Arial" w:cs="Arial"/>
          <w:color w:val="000000" w:themeColor="text1"/>
          <w:sz w:val="22"/>
          <w:szCs w:val="22"/>
        </w:rPr>
        <w:br/>
        <w:t>i horyzontalnych w dokumencie.</w:t>
      </w:r>
    </w:p>
    <w:p w14:paraId="3C0458BC" w14:textId="0FEBA0D7"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Szczególną rolę w procesie realizacji PSRT WP odgrywa Samorząd Województwa Podkarpackiego (wraz z jednostkami organizacyjnymi oraz samorządowymi osobami prawnymi) jako podmiot odpowiedzialny za realizację zadań z zakresu systemów transportowych. Rola samorządu województwa, reprezentowanego przez Dyrektora Departamentu Dróg i Publicznego Transportu Zbiorowego (na podstawie stosownych umocowań prawnych), ma tutaj charakter nie tylko wykonawczy, ale przede wszystkim kreacyjny, inspirujący, motywujący, a także koordynacyjny i kontrolny. Samorząd regionalny stanowi węzeł sieci tworzonej przez wszystkie podmioty zaangażowane w realizację PSRT WP, określającego niezbędne inwestycje transportowe, w kontekście realizowanych w nowej perspektywie finansowej </w:t>
      </w:r>
      <w:r w:rsidR="00D52B9E" w:rsidRPr="009B78DA">
        <w:rPr>
          <w:rFonts w:ascii="Arial" w:hAnsi="Arial" w:cs="Arial"/>
          <w:color w:val="000000" w:themeColor="text1"/>
          <w:sz w:val="22"/>
          <w:szCs w:val="22"/>
        </w:rPr>
        <w:t>funduszy europejskich</w:t>
      </w:r>
      <w:r w:rsidRPr="009B78DA">
        <w:rPr>
          <w:rFonts w:ascii="Arial" w:hAnsi="Arial" w:cs="Arial"/>
          <w:color w:val="000000" w:themeColor="text1"/>
          <w:sz w:val="22"/>
          <w:szCs w:val="22"/>
        </w:rPr>
        <w:t xml:space="preserve">, zarówno na poziomie regionalnym jak </w:t>
      </w:r>
      <w:r w:rsidRPr="009B78DA">
        <w:rPr>
          <w:rFonts w:ascii="Arial" w:hAnsi="Arial" w:cs="Arial"/>
          <w:color w:val="000000" w:themeColor="text1"/>
          <w:sz w:val="22"/>
          <w:szCs w:val="22"/>
        </w:rPr>
        <w:br/>
        <w:t>i krajowym.</w:t>
      </w:r>
      <w:r w:rsidR="001527B0" w:rsidRPr="009B78DA">
        <w:rPr>
          <w:color w:val="000000" w:themeColor="text1"/>
        </w:rPr>
        <w:t xml:space="preserve"> </w:t>
      </w:r>
      <w:r w:rsidR="001527B0" w:rsidRPr="009B78DA">
        <w:rPr>
          <w:rFonts w:ascii="Arial" w:hAnsi="Arial" w:cs="Arial"/>
          <w:color w:val="000000" w:themeColor="text1"/>
          <w:sz w:val="22"/>
          <w:szCs w:val="22"/>
        </w:rPr>
        <w:t xml:space="preserve">Czynnikiem, pozwalającym efektywnie wdrażać PSRT WP jest jakość zasobów ludzkich w instytucjach – interesariuszach, a przede wszystkim w Urzędzie Marszałkowskim Województwa Podkarpackiego, w którym zlokalizowana jest funkcja koordynacyjna </w:t>
      </w:r>
      <w:r w:rsidR="009848C6">
        <w:rPr>
          <w:rFonts w:ascii="Arial" w:hAnsi="Arial" w:cs="Arial"/>
          <w:color w:val="000000" w:themeColor="text1"/>
          <w:sz w:val="22"/>
          <w:szCs w:val="22"/>
        </w:rPr>
        <w:br/>
      </w:r>
      <w:r w:rsidR="001527B0" w:rsidRPr="009B78DA">
        <w:rPr>
          <w:rFonts w:ascii="Arial" w:hAnsi="Arial" w:cs="Arial"/>
          <w:color w:val="000000" w:themeColor="text1"/>
          <w:sz w:val="22"/>
          <w:szCs w:val="22"/>
        </w:rPr>
        <w:t>i kontrolna.</w:t>
      </w:r>
    </w:p>
    <w:p w14:paraId="0DCD0808" w14:textId="7E179B06"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Znaczna część inwestycji transportowych będzie realizowana w ramach regionalnego oraz krajowych </w:t>
      </w:r>
      <w:bookmarkStart w:id="369" w:name="_Hlk92710673"/>
      <w:r w:rsidR="00693E0B" w:rsidRPr="009B78DA">
        <w:rPr>
          <w:rFonts w:ascii="Arial" w:hAnsi="Arial" w:cs="Arial"/>
          <w:color w:val="000000" w:themeColor="text1"/>
          <w:sz w:val="22"/>
          <w:szCs w:val="22"/>
        </w:rPr>
        <w:t xml:space="preserve">programów z </w:t>
      </w:r>
      <w:r w:rsidR="005A48AD" w:rsidRPr="009B78DA">
        <w:rPr>
          <w:rFonts w:ascii="Arial" w:hAnsi="Arial" w:cs="Arial"/>
          <w:color w:val="000000" w:themeColor="text1"/>
          <w:sz w:val="22"/>
          <w:szCs w:val="22"/>
        </w:rPr>
        <w:t xml:space="preserve">funduszy </w:t>
      </w:r>
      <w:bookmarkEnd w:id="369"/>
      <w:r w:rsidR="005A48AD" w:rsidRPr="009B78DA">
        <w:rPr>
          <w:rFonts w:ascii="Arial" w:hAnsi="Arial" w:cs="Arial"/>
          <w:color w:val="000000" w:themeColor="text1"/>
          <w:sz w:val="22"/>
          <w:szCs w:val="22"/>
        </w:rPr>
        <w:t>europejskich</w:t>
      </w:r>
      <w:r w:rsidRPr="009B78DA">
        <w:rPr>
          <w:rFonts w:ascii="Arial" w:hAnsi="Arial" w:cs="Arial"/>
          <w:color w:val="000000" w:themeColor="text1"/>
          <w:sz w:val="22"/>
          <w:szCs w:val="22"/>
        </w:rPr>
        <w:t xml:space="preserve"> i współfinansowana ze środków unijnych</w:t>
      </w:r>
      <w:r w:rsidR="006B152F" w:rsidRPr="009B78DA">
        <w:rPr>
          <w:rFonts w:ascii="Arial" w:hAnsi="Arial" w:cs="Arial"/>
          <w:color w:val="000000" w:themeColor="text1"/>
          <w:sz w:val="22"/>
          <w:szCs w:val="22"/>
        </w:rPr>
        <w:t>, m.in.</w:t>
      </w:r>
      <w:r w:rsidR="009848C6">
        <w:rPr>
          <w:rFonts w:ascii="Arial" w:hAnsi="Arial" w:cs="Arial"/>
          <w:color w:val="000000" w:themeColor="text1"/>
          <w:sz w:val="22"/>
          <w:szCs w:val="22"/>
        </w:rPr>
        <w:t>:</w:t>
      </w:r>
    </w:p>
    <w:p w14:paraId="0DB9C552" w14:textId="13F00F02" w:rsidR="008D3E7F" w:rsidRPr="009B78DA" w:rsidRDefault="008D3E7F" w:rsidP="009848C6">
      <w:pPr>
        <w:pStyle w:val="Akapitzlist"/>
        <w:numPr>
          <w:ilvl w:val="0"/>
          <w:numId w:val="185"/>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 xml:space="preserve">Fundusze Europejskie </w:t>
      </w:r>
      <w:r w:rsidR="00C26276" w:rsidRPr="009B78DA">
        <w:rPr>
          <w:rFonts w:ascii="Arial" w:hAnsi="Arial" w:cs="Arial"/>
          <w:color w:val="000000" w:themeColor="text1"/>
          <w:sz w:val="22"/>
          <w:szCs w:val="22"/>
        </w:rPr>
        <w:t>na Infrastrukturę, Klimat, Środowisko 2021-2027</w:t>
      </w:r>
      <w:r w:rsidR="009848C6">
        <w:rPr>
          <w:rFonts w:ascii="Arial" w:hAnsi="Arial" w:cs="Arial"/>
          <w:color w:val="000000" w:themeColor="text1"/>
          <w:sz w:val="22"/>
          <w:szCs w:val="22"/>
        </w:rPr>
        <w:t>,</w:t>
      </w:r>
    </w:p>
    <w:p w14:paraId="2AD386EC" w14:textId="1A506985" w:rsidR="008D3E7F" w:rsidRPr="009B78DA" w:rsidRDefault="008D3E7F" w:rsidP="009848C6">
      <w:pPr>
        <w:pStyle w:val="Akapitzlist"/>
        <w:numPr>
          <w:ilvl w:val="0"/>
          <w:numId w:val="185"/>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Fundusze Europejskie dla Polski Wschodniej 2021-2027,</w:t>
      </w:r>
    </w:p>
    <w:p w14:paraId="0FEBE50D" w14:textId="19ECE238" w:rsidR="008D3E7F" w:rsidRPr="009B78DA" w:rsidRDefault="008D3E7F" w:rsidP="009848C6">
      <w:pPr>
        <w:pStyle w:val="Akapitzlist"/>
        <w:numPr>
          <w:ilvl w:val="0"/>
          <w:numId w:val="185"/>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Fundusze Europejskie dla Podkarpacia 2021-2027.</w:t>
      </w:r>
    </w:p>
    <w:p w14:paraId="22496F0F" w14:textId="546457C7"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PSRT WP poprzez zintegrowanie ze </w:t>
      </w:r>
      <w:r w:rsidRPr="009B78DA">
        <w:rPr>
          <w:rFonts w:ascii="Arial" w:hAnsi="Arial" w:cs="Arial"/>
          <w:i/>
          <w:iCs/>
          <w:color w:val="000000" w:themeColor="text1"/>
          <w:sz w:val="22"/>
          <w:szCs w:val="22"/>
        </w:rPr>
        <w:t>Strategią rozwoju województwa – Podkarpackie 2030</w:t>
      </w:r>
      <w:r w:rsidRPr="009B78DA">
        <w:rPr>
          <w:rFonts w:ascii="Arial" w:hAnsi="Arial" w:cs="Arial"/>
          <w:color w:val="000000" w:themeColor="text1"/>
          <w:sz w:val="22"/>
          <w:szCs w:val="22"/>
        </w:rPr>
        <w:t xml:space="preserve"> </w:t>
      </w:r>
      <w:bookmarkStart w:id="370" w:name="_Hlk92620036"/>
      <w:r w:rsidR="00076B24" w:rsidRPr="009B78DA">
        <w:rPr>
          <w:rFonts w:ascii="Arial" w:hAnsi="Arial" w:cs="Arial"/>
          <w:color w:val="000000" w:themeColor="text1"/>
          <w:sz w:val="22"/>
          <w:szCs w:val="22"/>
        </w:rPr>
        <w:t>wpisuje</w:t>
      </w:r>
      <w:r w:rsidRPr="009B78DA">
        <w:rPr>
          <w:rFonts w:ascii="Arial" w:hAnsi="Arial" w:cs="Arial"/>
          <w:color w:val="000000" w:themeColor="text1"/>
          <w:sz w:val="22"/>
          <w:szCs w:val="22"/>
        </w:rPr>
        <w:t xml:space="preserve"> </w:t>
      </w:r>
      <w:bookmarkEnd w:id="370"/>
      <w:r w:rsidRPr="009B78DA">
        <w:rPr>
          <w:rFonts w:ascii="Arial" w:hAnsi="Arial" w:cs="Arial"/>
          <w:color w:val="000000" w:themeColor="text1"/>
          <w:sz w:val="22"/>
          <w:szCs w:val="22"/>
        </w:rPr>
        <w:t>się w założenia europejskiej i krajowej polityki rozwoju regionalnego na lata 2021-2027. Ponadto ww. program zapewni tam, gdzie to możliwe komplementarność projektów planowanych do realizacji na poziomie krajowym, jak i regionalnym.</w:t>
      </w:r>
    </w:p>
    <w:p w14:paraId="76365E0D" w14:textId="695794A3"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Zgodnie ze wskazówkami Komisji Europejskiej ww. program obejmuje następujące zasady:</w:t>
      </w:r>
    </w:p>
    <w:p w14:paraId="1EC2FD21" w14:textId="77777777" w:rsidR="008D3E7F" w:rsidRPr="009B78DA" w:rsidRDefault="008D3E7F" w:rsidP="009848C6">
      <w:pPr>
        <w:pStyle w:val="Akapitzlist"/>
        <w:numPr>
          <w:ilvl w:val="0"/>
          <w:numId w:val="180"/>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 xml:space="preserve">zapewnia komplementarność projektów planowanych do realizacji na poziomie krajowym, jak i regionalnym, </w:t>
      </w:r>
    </w:p>
    <w:p w14:paraId="7031A284" w14:textId="36AA67D0" w:rsidR="008D3E7F" w:rsidRPr="009B78DA" w:rsidRDefault="008D3E7F" w:rsidP="009848C6">
      <w:pPr>
        <w:pStyle w:val="Akapitzlist"/>
        <w:numPr>
          <w:ilvl w:val="0"/>
          <w:numId w:val="180"/>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koncentruje się na ruchu regionalnym i lokalnym, a w zakresie transportu publicznego odnosi się do kwestii przechodzenia na bardziej ekologiczne</w:t>
      </w:r>
      <w:r w:rsidR="006B152F"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i zrównoważone rodzaje systemów transportowych,</w:t>
      </w:r>
    </w:p>
    <w:p w14:paraId="3B34A501" w14:textId="77777777" w:rsidR="008D3E7F" w:rsidRPr="009B78DA" w:rsidRDefault="008D3E7F" w:rsidP="009848C6">
      <w:pPr>
        <w:pStyle w:val="Akapitzlist"/>
        <w:numPr>
          <w:ilvl w:val="0"/>
          <w:numId w:val="180"/>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obejmuje całą sieć transportową województwa: krajową i regionalną,</w:t>
      </w:r>
    </w:p>
    <w:p w14:paraId="6DAAE55C" w14:textId="77777777" w:rsidR="008D3E7F" w:rsidRPr="009B78DA" w:rsidRDefault="008D3E7F" w:rsidP="009848C6">
      <w:pPr>
        <w:pStyle w:val="Akapitzlist"/>
        <w:numPr>
          <w:ilvl w:val="0"/>
          <w:numId w:val="180"/>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obejmuje oprócz indywidualnego transportu samochodowego również drogowe przewozy ładunków oraz regionalny i aglomeracyjny transport zbiorowy, a wśród generatorów ruchu uwzględnia sieć lotnisk regionalnych,</w:t>
      </w:r>
    </w:p>
    <w:p w14:paraId="502DFDFF" w14:textId="77777777" w:rsidR="008D3E7F" w:rsidRPr="009B78DA" w:rsidRDefault="008D3E7F" w:rsidP="009848C6">
      <w:pPr>
        <w:pStyle w:val="Akapitzlist"/>
        <w:numPr>
          <w:ilvl w:val="0"/>
          <w:numId w:val="180"/>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obejmuje również różne obszary funkcjonalne, charakteryzujące się wysokim natężeniem relacji transportowych na małym obszarze (obszar funkcjonalny Rzeszowa, obszary funkcjonalne miast subregionalnych, obszary wymagające szczególnego wsparcia, obszary rozwoju społeczno-gospodarczego, obszary lokalnej aktywności, itp.),</w:t>
      </w:r>
    </w:p>
    <w:p w14:paraId="0F75F7FB" w14:textId="77777777" w:rsidR="008D3E7F" w:rsidRPr="009B78DA" w:rsidRDefault="008D3E7F" w:rsidP="009848C6">
      <w:pPr>
        <w:pStyle w:val="Akapitzlist"/>
        <w:numPr>
          <w:ilvl w:val="0"/>
          <w:numId w:val="180"/>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obejmuje wszystkie potrzeby transportowe, w tym eksploatację i utrzymanie, niezależnie od źródeł finansowania.</w:t>
      </w:r>
    </w:p>
    <w:p w14:paraId="3BB71194" w14:textId="77777777" w:rsidR="008D3E7F" w:rsidRPr="009B78DA" w:rsidRDefault="008D3E7F" w:rsidP="009848C6">
      <w:p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Zgodnie z Umową Partnerstwa działania w ramach CP3 w latach 2021-2027 będą zgodne z:</w:t>
      </w:r>
    </w:p>
    <w:p w14:paraId="792A39D9" w14:textId="77777777" w:rsidR="008D3E7F" w:rsidRPr="009B78DA" w:rsidRDefault="008D3E7F" w:rsidP="009848C6">
      <w:pPr>
        <w:pStyle w:val="Akapitzlist"/>
        <w:numPr>
          <w:ilvl w:val="0"/>
          <w:numId w:val="181"/>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wizją konkurencyjnego i zrównoważonego systemu transportu,</w:t>
      </w:r>
    </w:p>
    <w:p w14:paraId="63FA26ED" w14:textId="77777777" w:rsidR="008D3E7F" w:rsidRPr="009B78DA" w:rsidRDefault="008D3E7F" w:rsidP="009848C6">
      <w:pPr>
        <w:pStyle w:val="Akapitzlist"/>
        <w:numPr>
          <w:ilvl w:val="0"/>
          <w:numId w:val="181"/>
        </w:numPr>
        <w:spacing w:after="0" w:line="276" w:lineRule="auto"/>
        <w:ind w:left="284" w:hanging="142"/>
        <w:rPr>
          <w:rFonts w:ascii="Arial" w:hAnsi="Arial" w:cs="Arial"/>
          <w:i/>
          <w:iCs/>
          <w:color w:val="000000" w:themeColor="text1"/>
          <w:sz w:val="22"/>
          <w:szCs w:val="22"/>
        </w:rPr>
      </w:pPr>
      <w:r w:rsidRPr="009B78DA">
        <w:rPr>
          <w:rFonts w:ascii="Arial" w:hAnsi="Arial" w:cs="Arial"/>
          <w:color w:val="000000" w:themeColor="text1"/>
          <w:sz w:val="22"/>
          <w:szCs w:val="22"/>
        </w:rPr>
        <w:t xml:space="preserve">założeniami </w:t>
      </w:r>
      <w:r w:rsidRPr="009B78DA">
        <w:rPr>
          <w:rFonts w:ascii="Arial" w:hAnsi="Arial" w:cs="Arial"/>
          <w:i/>
          <w:iCs/>
          <w:color w:val="000000" w:themeColor="text1"/>
          <w:sz w:val="22"/>
          <w:szCs w:val="22"/>
        </w:rPr>
        <w:t>Europejskiego Zielonego Ładu,</w:t>
      </w:r>
    </w:p>
    <w:p w14:paraId="0EB43DEC" w14:textId="2789D88F" w:rsidR="008D3E7F" w:rsidRPr="009B78DA" w:rsidRDefault="008D3E7F" w:rsidP="009848C6">
      <w:pPr>
        <w:pStyle w:val="Akapitzlist"/>
        <w:numPr>
          <w:ilvl w:val="0"/>
          <w:numId w:val="181"/>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zaleceniem Radu UE z 20</w:t>
      </w:r>
      <w:r w:rsidR="00D9522B" w:rsidRPr="009B78DA">
        <w:rPr>
          <w:rFonts w:ascii="Arial" w:hAnsi="Arial" w:cs="Arial"/>
          <w:color w:val="000000" w:themeColor="text1"/>
          <w:sz w:val="22"/>
          <w:szCs w:val="22"/>
        </w:rPr>
        <w:t>19</w:t>
      </w:r>
      <w:r w:rsidRPr="009B78DA">
        <w:rPr>
          <w:rFonts w:ascii="Arial" w:hAnsi="Arial" w:cs="Arial"/>
          <w:color w:val="000000" w:themeColor="text1"/>
          <w:sz w:val="22"/>
          <w:szCs w:val="22"/>
        </w:rPr>
        <w:t xml:space="preserve"> r. wskazującym na konieczność ukierunkowania inwestycyjnej polityki gospodarczej na transport, w szczególności jego zrównoważony charakter oraz ze </w:t>
      </w:r>
      <w:r w:rsidRPr="009B78DA">
        <w:rPr>
          <w:rFonts w:ascii="Arial" w:hAnsi="Arial" w:cs="Arial"/>
          <w:i/>
          <w:iCs/>
          <w:color w:val="000000" w:themeColor="text1"/>
          <w:sz w:val="22"/>
          <w:szCs w:val="22"/>
        </w:rPr>
        <w:t>Strategią Zrównoważonego Rozwoju Transportu do 2030</w:t>
      </w:r>
      <w:r w:rsidRPr="009B78DA">
        <w:rPr>
          <w:rFonts w:ascii="Arial" w:hAnsi="Arial" w:cs="Arial"/>
          <w:color w:val="000000" w:themeColor="text1"/>
          <w:sz w:val="22"/>
          <w:szCs w:val="22"/>
        </w:rPr>
        <w:t xml:space="preserve"> r (SRT 2030)</w:t>
      </w:r>
      <w:r w:rsidR="00076B24" w:rsidRPr="009B78DA">
        <w:rPr>
          <w:rFonts w:ascii="Arial" w:hAnsi="Arial" w:cs="Arial"/>
          <w:color w:val="000000" w:themeColor="text1"/>
          <w:sz w:val="22"/>
          <w:szCs w:val="22"/>
        </w:rPr>
        <w:t>.</w:t>
      </w:r>
    </w:p>
    <w:p w14:paraId="33B848D2" w14:textId="77777777" w:rsidR="008D3E7F" w:rsidRPr="009B78DA" w:rsidRDefault="008D3E7F" w:rsidP="009848C6">
      <w:p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Działania w ramach CP3 będą podejmowane na trzech uzupełniających się płaszczyznach:</w:t>
      </w:r>
    </w:p>
    <w:p w14:paraId="3FCE8212" w14:textId="6414E724" w:rsidR="008D3E7F" w:rsidRPr="009B78DA" w:rsidRDefault="008D3E7F" w:rsidP="009848C6">
      <w:pPr>
        <w:pStyle w:val="Akapitzlist"/>
        <w:numPr>
          <w:ilvl w:val="0"/>
          <w:numId w:val="182"/>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 xml:space="preserve">rozwój lądowej infrastruktury transportowej (punktowej i liniowej) w ramach sieci bazowej </w:t>
      </w:r>
      <w:r w:rsidR="006B152F" w:rsidRPr="009B78DA">
        <w:rPr>
          <w:rFonts w:ascii="Arial" w:hAnsi="Arial" w:cs="Arial"/>
          <w:color w:val="000000" w:themeColor="text1"/>
          <w:sz w:val="22"/>
          <w:szCs w:val="22"/>
        </w:rPr>
        <w:br/>
      </w:r>
      <w:r w:rsidRPr="009B78DA">
        <w:rPr>
          <w:rFonts w:ascii="Arial" w:hAnsi="Arial" w:cs="Arial"/>
          <w:color w:val="000000" w:themeColor="text1"/>
          <w:sz w:val="22"/>
          <w:szCs w:val="22"/>
        </w:rPr>
        <w:t>i kompleksowej TEN-T oraz poza nią (transport drogowy, szynowy/kolejowy, wodny śródlądowy, morski, lotniczy),</w:t>
      </w:r>
    </w:p>
    <w:p w14:paraId="7060C7F3" w14:textId="77777777" w:rsidR="008D3E7F" w:rsidRPr="009B78DA" w:rsidRDefault="008D3E7F" w:rsidP="009848C6">
      <w:pPr>
        <w:pStyle w:val="Akapitzlist"/>
        <w:numPr>
          <w:ilvl w:val="0"/>
          <w:numId w:val="182"/>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poprawa dostępności transportowej i bezpieczeństwa,</w:t>
      </w:r>
    </w:p>
    <w:p w14:paraId="4BE3A632" w14:textId="77777777" w:rsidR="008D3E7F" w:rsidRPr="009B78DA" w:rsidRDefault="008D3E7F" w:rsidP="009848C6">
      <w:pPr>
        <w:pStyle w:val="Akapitzlist"/>
        <w:numPr>
          <w:ilvl w:val="0"/>
          <w:numId w:val="182"/>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przyspieszenie wprowadzania rozwiązań cyfrowych do polskiego systemu transportowego.</w:t>
      </w:r>
    </w:p>
    <w:p w14:paraId="776B9BCF" w14:textId="77777777"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wyniku wsparcia wskazanych powyżej potrzeb, zakłada się osiągnięcie następujących rezultatów: </w:t>
      </w:r>
    </w:p>
    <w:p w14:paraId="7645579F" w14:textId="77777777" w:rsidR="008D3E7F" w:rsidRPr="009B78DA" w:rsidRDefault="008D3E7F" w:rsidP="009848C6">
      <w:pPr>
        <w:pStyle w:val="Akapitzlist"/>
        <w:numPr>
          <w:ilvl w:val="0"/>
          <w:numId w:val="183"/>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 xml:space="preserve">zwiększenie przepustowości transportowej poprzez uzyskanie efektu sieciowego </w:t>
      </w:r>
      <w:r w:rsidRPr="009B78DA">
        <w:rPr>
          <w:rFonts w:ascii="Arial" w:hAnsi="Arial" w:cs="Arial"/>
          <w:color w:val="000000" w:themeColor="text1"/>
          <w:sz w:val="22"/>
          <w:szCs w:val="22"/>
        </w:rPr>
        <w:br/>
        <w:t>w ujęciu międzygałęziowym, zapewniającego sprawną obsługę transportową społeczeństwa i gospodarki,</w:t>
      </w:r>
    </w:p>
    <w:p w14:paraId="5D3F5FAD" w14:textId="10F44110" w:rsidR="008D3E7F" w:rsidRPr="009B78DA" w:rsidRDefault="008D3E7F" w:rsidP="009848C6">
      <w:pPr>
        <w:pStyle w:val="Akapitzlist"/>
        <w:numPr>
          <w:ilvl w:val="0"/>
          <w:numId w:val="183"/>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zmniejszenie negatywnego wpływu transportu na środowisko naturalne</w:t>
      </w:r>
      <w:r w:rsidR="006B152F" w:rsidRPr="009B78DA">
        <w:rPr>
          <w:rFonts w:ascii="Arial" w:hAnsi="Arial" w:cs="Arial"/>
          <w:color w:val="000000" w:themeColor="text1"/>
          <w:sz w:val="22"/>
          <w:szCs w:val="22"/>
        </w:rPr>
        <w:t>,</w:t>
      </w:r>
    </w:p>
    <w:p w14:paraId="634665DC" w14:textId="77777777" w:rsidR="008D3E7F" w:rsidRPr="009B78DA" w:rsidRDefault="008D3E7F" w:rsidP="009848C6">
      <w:pPr>
        <w:pStyle w:val="Akapitzlist"/>
        <w:numPr>
          <w:ilvl w:val="0"/>
          <w:numId w:val="183"/>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zmniejszenie emisji dwutlenku węgla,</w:t>
      </w:r>
    </w:p>
    <w:p w14:paraId="1EBE85FC" w14:textId="77777777" w:rsidR="008D3E7F" w:rsidRPr="009B78DA" w:rsidRDefault="008D3E7F" w:rsidP="009848C6">
      <w:pPr>
        <w:pStyle w:val="Akapitzlist"/>
        <w:numPr>
          <w:ilvl w:val="0"/>
          <w:numId w:val="183"/>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poprawa międzygałęziowej dostępności transportowej,</w:t>
      </w:r>
    </w:p>
    <w:p w14:paraId="0E26DEF4" w14:textId="77777777" w:rsidR="008D3E7F" w:rsidRPr="009B78DA" w:rsidRDefault="008D3E7F" w:rsidP="009848C6">
      <w:pPr>
        <w:pStyle w:val="Akapitzlist"/>
        <w:numPr>
          <w:ilvl w:val="0"/>
          <w:numId w:val="183"/>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poprawa bezpieczeństwa (w tym zmniejszenie liczby wypadków i poszkodowanych),</w:t>
      </w:r>
    </w:p>
    <w:p w14:paraId="0443F848" w14:textId="374112A6" w:rsidR="008D3E7F" w:rsidRPr="009B78DA" w:rsidRDefault="008D3E7F" w:rsidP="009848C6">
      <w:pPr>
        <w:pStyle w:val="Akapitzlist"/>
        <w:numPr>
          <w:ilvl w:val="0"/>
          <w:numId w:val="183"/>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zwiększenie atrakcyjności transportu kolejowego dla pasażerów,</w:t>
      </w:r>
    </w:p>
    <w:p w14:paraId="3E989A21" w14:textId="77777777" w:rsidR="008D3E7F" w:rsidRPr="009B78DA" w:rsidRDefault="008D3E7F" w:rsidP="009848C6">
      <w:pPr>
        <w:pStyle w:val="Akapitzlist"/>
        <w:numPr>
          <w:ilvl w:val="0"/>
          <w:numId w:val="183"/>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wzrost skali przewozów intermodalnych dzięki poprawie atrakcyjności i zdolności przewozowych w transporcie kolejowym,</w:t>
      </w:r>
    </w:p>
    <w:p w14:paraId="7F5DB1C3" w14:textId="77777777" w:rsidR="008D3E7F" w:rsidRPr="009B78DA" w:rsidRDefault="008D3E7F" w:rsidP="009848C6">
      <w:pPr>
        <w:pStyle w:val="Akapitzlist"/>
        <w:numPr>
          <w:ilvl w:val="0"/>
          <w:numId w:val="183"/>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zwiększenie dostępności dla osób o ograniczonej mobilności.</w:t>
      </w:r>
    </w:p>
    <w:p w14:paraId="48797482" w14:textId="00D5E3E2"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Natomiast w obszarze transportu niskoemisyjnego i mobilności miejskiej, uwzględnionego w ramach CP 2 </w:t>
      </w:r>
      <w:r w:rsidRPr="009B78DA">
        <w:rPr>
          <w:rFonts w:ascii="Arial" w:hAnsi="Arial" w:cs="Arial"/>
          <w:i/>
          <w:color w:val="000000" w:themeColor="text1"/>
          <w:sz w:val="22"/>
          <w:szCs w:val="22"/>
        </w:rPr>
        <w:t>Bardziej przyjazna dla środowiska niskoemisyjna Europa</w:t>
      </w:r>
      <w:r w:rsidRPr="009B78DA">
        <w:rPr>
          <w:rFonts w:ascii="Arial" w:hAnsi="Arial" w:cs="Arial"/>
          <w:color w:val="000000" w:themeColor="text1"/>
          <w:sz w:val="22"/>
          <w:szCs w:val="22"/>
        </w:rPr>
        <w:t>, najważniejszymi działaniami będzie wsparcie zbiorowej i indywidualnej mobilności o niskiej lub zerowej emisyjności, rozwój infrastruktury transportu zbiorowego zachęcającej do korzystania</w:t>
      </w:r>
      <w:r w:rsidR="00A0434A"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z komunikacji zbiorowej, a także wsparcie wszystkich form indywidualnej mobilności aktywnej, w tym ruchu pieszego i rowerowego.</w:t>
      </w:r>
    </w:p>
    <w:p w14:paraId="76778401" w14:textId="5CDC32F4"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kontekście poprawy jakości powietrza oraz zmiany nawyków transportowych istotne są działania służące bardziej efektywnemu i przyjaznemu dla środowiska podziałowi zadań przewozowych, w tym rozwój infrastruktury dla niezmotoryzowanych oraz promowanie nowych sposobów na przemieszczanie się po mieście. Wdrażanie nowoczesnych systemów zarządzania ruchem oraz inteligentnych technologii pozwoli także na optymalizację działań związanych z organizacją transportu, co z kolei przyczynia się do poprawy jego efektywności energetycznej oraz zwiększenia atrakcyjności transportu zbiorowego dla mieszkańców.</w:t>
      </w:r>
    </w:p>
    <w:p w14:paraId="620FFFF7" w14:textId="798A33A0" w:rsidR="008D3E7F" w:rsidRPr="009B78DA" w:rsidRDefault="008D3E7F" w:rsidP="009848C6">
      <w:pPr>
        <w:spacing w:after="0" w:line="276" w:lineRule="auto"/>
        <w:ind w:firstLine="709"/>
        <w:rPr>
          <w:rFonts w:ascii="Arial" w:hAnsi="Arial" w:cs="Arial"/>
          <w:i/>
          <w:iCs/>
          <w:color w:val="000000" w:themeColor="text1"/>
          <w:sz w:val="22"/>
          <w:szCs w:val="22"/>
        </w:rPr>
      </w:pPr>
      <w:r w:rsidRPr="009B78DA">
        <w:rPr>
          <w:rFonts w:ascii="Arial" w:hAnsi="Arial" w:cs="Arial"/>
          <w:color w:val="000000" w:themeColor="text1"/>
          <w:sz w:val="22"/>
          <w:szCs w:val="22"/>
        </w:rPr>
        <w:t xml:space="preserve">Działania te będą zgodne z wizją konkurencyjnego i zrównoważonego systemu transportu przedstawioną w komisyjnej </w:t>
      </w:r>
      <w:r w:rsidRPr="009B78DA">
        <w:rPr>
          <w:rFonts w:ascii="Arial" w:hAnsi="Arial" w:cs="Arial"/>
          <w:i/>
          <w:iCs/>
          <w:color w:val="000000" w:themeColor="text1"/>
          <w:sz w:val="22"/>
          <w:szCs w:val="22"/>
        </w:rPr>
        <w:t>Białej Księdze</w:t>
      </w:r>
      <w:r w:rsidRPr="009B78DA">
        <w:rPr>
          <w:rFonts w:ascii="Arial" w:hAnsi="Arial" w:cs="Arial"/>
          <w:color w:val="000000" w:themeColor="text1"/>
          <w:sz w:val="22"/>
          <w:szCs w:val="22"/>
        </w:rPr>
        <w:t>, z</w:t>
      </w:r>
      <w:r w:rsidR="006B152F"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w:t>
      </w:r>
      <w:r w:rsidRPr="009B78DA">
        <w:rPr>
          <w:rFonts w:ascii="Arial" w:hAnsi="Arial" w:cs="Arial"/>
          <w:i/>
          <w:iCs/>
          <w:color w:val="000000" w:themeColor="text1"/>
          <w:sz w:val="22"/>
          <w:szCs w:val="22"/>
        </w:rPr>
        <w:t>Strategi</w:t>
      </w:r>
      <w:r w:rsidR="00B66EF7" w:rsidRPr="009B78DA">
        <w:rPr>
          <w:rFonts w:ascii="Arial" w:hAnsi="Arial" w:cs="Arial"/>
          <w:i/>
          <w:iCs/>
          <w:color w:val="000000" w:themeColor="text1"/>
          <w:sz w:val="22"/>
          <w:szCs w:val="22"/>
        </w:rPr>
        <w:t>ą</w:t>
      </w:r>
      <w:r w:rsidRPr="009B78DA">
        <w:rPr>
          <w:rFonts w:ascii="Arial" w:hAnsi="Arial" w:cs="Arial"/>
          <w:i/>
          <w:iCs/>
          <w:color w:val="000000" w:themeColor="text1"/>
          <w:sz w:val="22"/>
          <w:szCs w:val="22"/>
        </w:rPr>
        <w:t xml:space="preserve"> na rzecz Odpowiedzialnego Rozwoju do roku 2020 (z perspektywą do 2030 r.)</w:t>
      </w:r>
      <w:r w:rsidRPr="009B78DA">
        <w:rPr>
          <w:rFonts w:ascii="Arial" w:hAnsi="Arial" w:cs="Arial"/>
          <w:color w:val="000000" w:themeColor="text1"/>
          <w:sz w:val="22"/>
          <w:szCs w:val="22"/>
        </w:rPr>
        <w:t xml:space="preserve"> oraz </w:t>
      </w:r>
      <w:r w:rsidRPr="009B78DA">
        <w:rPr>
          <w:rFonts w:ascii="Arial" w:hAnsi="Arial" w:cs="Arial"/>
          <w:i/>
          <w:iCs/>
          <w:color w:val="000000" w:themeColor="text1"/>
          <w:sz w:val="22"/>
          <w:szCs w:val="22"/>
        </w:rPr>
        <w:t>Strategią Zrównoważonego Rozwoju Transportu do 2030 r.</w:t>
      </w:r>
    </w:p>
    <w:p w14:paraId="1ADB8C43" w14:textId="77777777"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wyniku wsparcia wskazanych powyżej potrzeb, zakłada się osiągnięcie następujących rezultatów:</w:t>
      </w:r>
    </w:p>
    <w:p w14:paraId="73A09E89" w14:textId="77777777" w:rsidR="008D3E7F" w:rsidRPr="009B78DA" w:rsidRDefault="008D3E7F" w:rsidP="009848C6">
      <w:pPr>
        <w:pStyle w:val="Akapitzlist"/>
        <w:numPr>
          <w:ilvl w:val="0"/>
          <w:numId w:val="184"/>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lepsza organizacja transportu zbiorowego,</w:t>
      </w:r>
    </w:p>
    <w:p w14:paraId="73EED072" w14:textId="77777777" w:rsidR="008D3E7F" w:rsidRPr="009B78DA" w:rsidRDefault="008D3E7F" w:rsidP="009848C6">
      <w:pPr>
        <w:pStyle w:val="Akapitzlist"/>
        <w:numPr>
          <w:ilvl w:val="0"/>
          <w:numId w:val="184"/>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wzrost liczby pasażerów (i odsetka ludności) korzystających z transportu zbiorowego,</w:t>
      </w:r>
    </w:p>
    <w:p w14:paraId="2BBFAE29" w14:textId="77777777" w:rsidR="008D3E7F" w:rsidRPr="009B78DA" w:rsidRDefault="008D3E7F" w:rsidP="009848C6">
      <w:pPr>
        <w:pStyle w:val="Akapitzlist"/>
        <w:numPr>
          <w:ilvl w:val="0"/>
          <w:numId w:val="184"/>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wzrost liczby osób korzystających z aktywnych form przemieszczania się, np. pieszo/rowerem (indywidualna mobilność aktywna),</w:t>
      </w:r>
    </w:p>
    <w:p w14:paraId="73892166" w14:textId="45EB7A5C" w:rsidR="008D3E7F" w:rsidRPr="009B78DA" w:rsidRDefault="008D3E7F" w:rsidP="009848C6">
      <w:pPr>
        <w:pStyle w:val="Akapitzlist"/>
        <w:numPr>
          <w:ilvl w:val="0"/>
          <w:numId w:val="184"/>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redukcja kongestii i poziomu hałasu w obszarach miejskich</w:t>
      </w:r>
      <w:r w:rsidR="00B66EF7" w:rsidRPr="009B78DA">
        <w:rPr>
          <w:rFonts w:ascii="Arial" w:hAnsi="Arial" w:cs="Arial"/>
          <w:color w:val="000000" w:themeColor="text1"/>
          <w:sz w:val="22"/>
          <w:szCs w:val="22"/>
        </w:rPr>
        <w:t>,</w:t>
      </w:r>
    </w:p>
    <w:p w14:paraId="6ED34355" w14:textId="75C1F15D" w:rsidR="008D3E7F" w:rsidRPr="009B78DA" w:rsidRDefault="008D3E7F" w:rsidP="009848C6">
      <w:pPr>
        <w:pStyle w:val="Akapitzlist"/>
        <w:numPr>
          <w:ilvl w:val="0"/>
          <w:numId w:val="184"/>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zmniejszenie liczby wypadków i kolizji drogowych</w:t>
      </w:r>
      <w:r w:rsidR="00B66EF7" w:rsidRPr="009B78DA">
        <w:rPr>
          <w:rFonts w:ascii="Arial" w:hAnsi="Arial" w:cs="Arial"/>
          <w:color w:val="000000" w:themeColor="text1"/>
          <w:sz w:val="22"/>
          <w:szCs w:val="22"/>
        </w:rPr>
        <w:t>,</w:t>
      </w:r>
    </w:p>
    <w:p w14:paraId="39CB08B1" w14:textId="77777777" w:rsidR="008D3E7F" w:rsidRPr="009B78DA" w:rsidRDefault="008D3E7F" w:rsidP="009848C6">
      <w:pPr>
        <w:pStyle w:val="Akapitzlist"/>
        <w:numPr>
          <w:ilvl w:val="0"/>
          <w:numId w:val="184"/>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redukcja emisji z transportu w miastach,</w:t>
      </w:r>
    </w:p>
    <w:p w14:paraId="3D194F09" w14:textId="77777777" w:rsidR="008D3E7F" w:rsidRPr="009B78DA" w:rsidRDefault="008D3E7F" w:rsidP="009848C6">
      <w:pPr>
        <w:pStyle w:val="Akapitzlist"/>
        <w:numPr>
          <w:ilvl w:val="0"/>
          <w:numId w:val="184"/>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wzrost efektywności energetycznej,</w:t>
      </w:r>
    </w:p>
    <w:p w14:paraId="0EF9D2DB" w14:textId="77777777" w:rsidR="008D3E7F" w:rsidRPr="009B78DA" w:rsidRDefault="008D3E7F" w:rsidP="009848C6">
      <w:pPr>
        <w:pStyle w:val="Akapitzlist"/>
        <w:numPr>
          <w:ilvl w:val="0"/>
          <w:numId w:val="184"/>
        </w:numPr>
        <w:spacing w:after="0" w:line="276" w:lineRule="auto"/>
        <w:ind w:left="284" w:hanging="142"/>
        <w:rPr>
          <w:rFonts w:ascii="Arial" w:hAnsi="Arial" w:cs="Arial"/>
          <w:color w:val="000000" w:themeColor="text1"/>
          <w:sz w:val="22"/>
          <w:szCs w:val="22"/>
        </w:rPr>
      </w:pPr>
      <w:r w:rsidRPr="009B78DA">
        <w:rPr>
          <w:rFonts w:ascii="Arial" w:hAnsi="Arial" w:cs="Arial"/>
          <w:color w:val="000000" w:themeColor="text1"/>
          <w:sz w:val="22"/>
          <w:szCs w:val="22"/>
        </w:rPr>
        <w:t>stworzone plany zrównoważonej mobilności.</w:t>
      </w:r>
    </w:p>
    <w:p w14:paraId="211AD315" w14:textId="293651E7" w:rsidR="008D3E7F" w:rsidRPr="009B78DA" w:rsidRDefault="008D3E7F" w:rsidP="009848C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Demarkacja wsparcia oparta będzie m.in. o kategorię infrastruktury i jej charakter (krajowa, ponadregionalna, regionalna), jej przynależność do sieci TEN-T, miejsce realizacji. W przypadku taboru kluczowy będzie charakter wykonywanych przewozów. Dla wybranych typów inwestycji takich jak np. rozwój systemów transportu rowerowego i pieszego oraz innowacyjnych rodzajów transportu publicznego, jeśli będzie to zasadne, możliwe będzie wykorzystanie instrumentów terytorialnych takich jak ZIT-y.</w:t>
      </w:r>
    </w:p>
    <w:p w14:paraId="1D2096F6" w14:textId="374B0CBA" w:rsidR="008D3E7F" w:rsidRPr="009848C6" w:rsidRDefault="00D7011B" w:rsidP="009848C6">
      <w:pPr>
        <w:spacing w:after="120" w:line="276" w:lineRule="auto"/>
        <w:ind w:firstLine="709"/>
        <w:rPr>
          <w:rFonts w:ascii="Arial" w:hAnsi="Arial" w:cs="Arial"/>
          <w:color w:val="000000" w:themeColor="text1"/>
          <w:sz w:val="22"/>
          <w:szCs w:val="22"/>
        </w:rPr>
      </w:pPr>
      <w:bookmarkStart w:id="371" w:name="_Hlk88654882"/>
      <w:r w:rsidRPr="009B78DA">
        <w:rPr>
          <w:rFonts w:ascii="Arial" w:hAnsi="Arial" w:cs="Arial"/>
          <w:color w:val="000000" w:themeColor="text1"/>
          <w:sz w:val="22"/>
          <w:szCs w:val="22"/>
        </w:rPr>
        <w:t xml:space="preserve">PSRT WP jest dokumentem </w:t>
      </w:r>
      <w:r w:rsidR="00B025DD" w:rsidRPr="009B78DA">
        <w:rPr>
          <w:rFonts w:ascii="Arial" w:hAnsi="Arial" w:cs="Arial"/>
          <w:color w:val="000000" w:themeColor="text1"/>
          <w:sz w:val="22"/>
          <w:szCs w:val="22"/>
        </w:rPr>
        <w:t xml:space="preserve">wyższego rzędu określającym kluczowe aspekty strategiczne i punkty styczne </w:t>
      </w:r>
      <w:r w:rsidR="00CF1086" w:rsidRPr="009B78DA">
        <w:rPr>
          <w:rFonts w:ascii="Arial" w:hAnsi="Arial" w:cs="Arial"/>
          <w:color w:val="000000" w:themeColor="text1"/>
          <w:sz w:val="22"/>
          <w:szCs w:val="22"/>
        </w:rPr>
        <w:t>dla</w:t>
      </w:r>
      <w:r w:rsidR="00B025DD" w:rsidRPr="009B78DA">
        <w:rPr>
          <w:rFonts w:ascii="Arial" w:hAnsi="Arial" w:cs="Arial"/>
          <w:color w:val="000000" w:themeColor="text1"/>
          <w:sz w:val="22"/>
          <w:szCs w:val="22"/>
        </w:rPr>
        <w:t xml:space="preserve"> SUMP</w:t>
      </w:r>
      <w:r w:rsidR="00560149" w:rsidRPr="009B78DA">
        <w:rPr>
          <w:rFonts w:ascii="Arial" w:hAnsi="Arial" w:cs="Arial"/>
          <w:color w:val="000000" w:themeColor="text1"/>
          <w:sz w:val="22"/>
          <w:szCs w:val="22"/>
        </w:rPr>
        <w:t>, a p</w:t>
      </w:r>
      <w:r w:rsidR="00B025DD" w:rsidRPr="009B78DA">
        <w:rPr>
          <w:rFonts w:ascii="Arial" w:hAnsi="Arial" w:cs="Arial"/>
          <w:color w:val="000000" w:themeColor="text1"/>
          <w:sz w:val="22"/>
          <w:szCs w:val="22"/>
        </w:rPr>
        <w:t>onadto jest dokumentem ogólnodostępnym. J</w:t>
      </w:r>
      <w:r w:rsidRPr="009B78DA">
        <w:rPr>
          <w:rFonts w:ascii="Arial" w:hAnsi="Arial" w:cs="Arial"/>
          <w:color w:val="000000" w:themeColor="text1"/>
          <w:sz w:val="22"/>
          <w:szCs w:val="22"/>
        </w:rPr>
        <w:t>ednostki samorządu terytorialnego każdego szczebla maj</w:t>
      </w:r>
      <w:r w:rsidR="00B025DD" w:rsidRPr="009B78DA">
        <w:rPr>
          <w:rFonts w:ascii="Arial" w:hAnsi="Arial" w:cs="Arial"/>
          <w:color w:val="000000" w:themeColor="text1"/>
          <w:sz w:val="22"/>
          <w:szCs w:val="22"/>
        </w:rPr>
        <w:t>ą</w:t>
      </w:r>
      <w:r w:rsidR="009848C6">
        <w:rPr>
          <w:rFonts w:ascii="Arial" w:hAnsi="Arial" w:cs="Arial"/>
          <w:color w:val="000000" w:themeColor="text1"/>
          <w:sz w:val="22"/>
          <w:szCs w:val="22"/>
        </w:rPr>
        <w:t xml:space="preserve"> możliwość zapoznania się </w:t>
      </w:r>
      <w:r w:rsidRPr="009B78DA">
        <w:rPr>
          <w:rFonts w:ascii="Arial" w:hAnsi="Arial" w:cs="Arial"/>
          <w:color w:val="000000" w:themeColor="text1"/>
          <w:sz w:val="22"/>
          <w:szCs w:val="22"/>
        </w:rPr>
        <w:t>jego zapisami. W związku z powyższym dokumenty strategiczne/</w:t>
      </w:r>
      <w:r w:rsidR="00B025DD"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planistyczne</w:t>
      </w:r>
      <w:r w:rsidR="00387531" w:rsidRPr="009B78DA">
        <w:rPr>
          <w:rStyle w:val="Odwoanieprzypisudolnego"/>
          <w:rFonts w:ascii="Arial" w:hAnsi="Arial" w:cs="Arial"/>
          <w:color w:val="000000" w:themeColor="text1"/>
          <w:sz w:val="22"/>
          <w:szCs w:val="22"/>
        </w:rPr>
        <w:footnoteReference w:id="31"/>
      </w:r>
      <w:r w:rsidR="0038753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przygotowywane na poziomie </w:t>
      </w:r>
      <w:r w:rsidR="00387531" w:rsidRPr="009B78DA">
        <w:rPr>
          <w:rFonts w:ascii="Arial" w:hAnsi="Arial" w:cs="Arial"/>
          <w:color w:val="000000" w:themeColor="text1"/>
          <w:sz w:val="22"/>
          <w:szCs w:val="22"/>
        </w:rPr>
        <w:t xml:space="preserve">miast lub ich związków powinny być komplementarne oraz tworzone zgodnie </w:t>
      </w:r>
      <w:r w:rsidR="00A0434A" w:rsidRPr="009B78DA">
        <w:rPr>
          <w:rFonts w:ascii="Arial" w:hAnsi="Arial" w:cs="Arial"/>
          <w:color w:val="000000" w:themeColor="text1"/>
          <w:sz w:val="22"/>
          <w:szCs w:val="22"/>
        </w:rPr>
        <w:br/>
      </w:r>
      <w:r w:rsidR="00387531" w:rsidRPr="009B78DA">
        <w:rPr>
          <w:rFonts w:ascii="Arial" w:hAnsi="Arial" w:cs="Arial"/>
          <w:color w:val="000000" w:themeColor="text1"/>
          <w:sz w:val="22"/>
          <w:szCs w:val="22"/>
        </w:rPr>
        <w:t>z podobną metodologią.</w:t>
      </w:r>
      <w:bookmarkEnd w:id="371"/>
    </w:p>
    <w:p w14:paraId="064C160A" w14:textId="6C87246B" w:rsidR="008D3E7F" w:rsidRPr="009B78DA" w:rsidRDefault="008D3E7F" w:rsidP="009848C6">
      <w:pPr>
        <w:pStyle w:val="Nagwek2"/>
        <w:numPr>
          <w:ilvl w:val="0"/>
          <w:numId w:val="225"/>
        </w:numPr>
        <w:spacing w:before="0" w:after="0" w:line="276" w:lineRule="auto"/>
        <w:rPr>
          <w:rFonts w:cs="Arial"/>
          <w:b w:val="0"/>
          <w:bCs/>
          <w:sz w:val="24"/>
          <w:szCs w:val="24"/>
        </w:rPr>
      </w:pPr>
      <w:bookmarkStart w:id="372" w:name="_Toc100335080"/>
      <w:bookmarkStart w:id="373" w:name="_Toc146785806"/>
      <w:r w:rsidRPr="009B78DA">
        <w:rPr>
          <w:rFonts w:cs="Arial"/>
          <w:bCs/>
          <w:sz w:val="24"/>
          <w:szCs w:val="24"/>
        </w:rPr>
        <w:t xml:space="preserve">Podmioty zaangażowane w przygotowanie i </w:t>
      </w:r>
      <w:r w:rsidR="007F21F4" w:rsidRPr="009B78DA">
        <w:rPr>
          <w:rFonts w:cs="Arial"/>
          <w:bCs/>
          <w:sz w:val="24"/>
          <w:szCs w:val="24"/>
        </w:rPr>
        <w:t>realizację</w:t>
      </w:r>
      <w:r w:rsidRPr="009B78DA">
        <w:rPr>
          <w:rFonts w:cs="Arial"/>
          <w:bCs/>
          <w:sz w:val="24"/>
          <w:szCs w:val="24"/>
        </w:rPr>
        <w:t xml:space="preserve"> Programu</w:t>
      </w:r>
      <w:bookmarkEnd w:id="368"/>
      <w:bookmarkEnd w:id="372"/>
      <w:bookmarkEnd w:id="373"/>
    </w:p>
    <w:p w14:paraId="2FF639BA" w14:textId="175A0500" w:rsidR="008D3E7F" w:rsidRPr="009B78DA" w:rsidRDefault="008D3E7F" w:rsidP="009848C6">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Ustawa z dnia 24 lipca 1998 roku o wprowadzeniu zasadniczego trójstopniowego podziału terytorialnego państwa (Dz.U.1998.96.603)  ustanowiła z dniem 1 stycznia 1999 roku, obok istniejących już gmin, powiaty</w:t>
      </w:r>
      <w:r w:rsidR="009848C6">
        <w:rPr>
          <w:rFonts w:ascii="Arial" w:hAnsi="Arial" w:cs="Arial"/>
          <w:color w:val="000000" w:themeColor="text1"/>
          <w:sz w:val="22"/>
          <w:szCs w:val="22"/>
        </w:rPr>
        <w:t xml:space="preserve"> i 16 województw samorządowych.</w:t>
      </w:r>
    </w:p>
    <w:p w14:paraId="2AD837C3" w14:textId="77777777" w:rsidR="00F26CB3" w:rsidRPr="009B78DA" w:rsidRDefault="008D3E7F" w:rsidP="009848C6">
      <w:pPr>
        <w:spacing w:after="0" w:line="276" w:lineRule="auto"/>
        <w:ind w:firstLine="851"/>
        <w:rPr>
          <w:color w:val="000000" w:themeColor="text1"/>
        </w:rPr>
      </w:pPr>
      <w:r w:rsidRPr="009B78DA">
        <w:rPr>
          <w:rFonts w:ascii="Arial" w:hAnsi="Arial" w:cs="Arial"/>
          <w:color w:val="000000" w:themeColor="text1"/>
          <w:sz w:val="22"/>
          <w:szCs w:val="22"/>
        </w:rPr>
        <w:t xml:space="preserve">Samorząd województwa wykonuje zadania publiczne o charakterze wojewódzkim, które nie zostały zastrzeżone prawem na rzecz organów administracji rządowej. Samorząd </w:t>
      </w:r>
      <w:r w:rsidR="00B66EF7" w:rsidRPr="009B78DA">
        <w:rPr>
          <w:rFonts w:ascii="Arial" w:hAnsi="Arial" w:cs="Arial"/>
          <w:color w:val="000000" w:themeColor="text1"/>
          <w:sz w:val="22"/>
          <w:szCs w:val="22"/>
        </w:rPr>
        <w:t>W</w:t>
      </w:r>
      <w:r w:rsidRPr="009B78DA">
        <w:rPr>
          <w:rFonts w:ascii="Arial" w:hAnsi="Arial" w:cs="Arial"/>
          <w:color w:val="000000" w:themeColor="text1"/>
          <w:sz w:val="22"/>
          <w:szCs w:val="22"/>
        </w:rPr>
        <w:t>ojewództwa nie jest organem nadrzędnym i kontrolnym nad działalnością samorządu powiatowego i gminnego, nie wkracza zatem w sferę samodzielności powiatu i gminy. Dlatego też organy samorządu województwa, takie jak: zarząd, czy sejmik nie są organami wyższego szczebla wobec organów powiatu czy gminy – nie sprawują nadzoru nad tymi samorządami.</w:t>
      </w:r>
    </w:p>
    <w:p w14:paraId="1DD72AA2" w14:textId="304A43F5" w:rsidR="004D4248" w:rsidRPr="009B78DA" w:rsidRDefault="00F26CB3" w:rsidP="009848C6">
      <w:pPr>
        <w:spacing w:after="0" w:line="276" w:lineRule="auto"/>
        <w:ind w:firstLine="851"/>
        <w:rPr>
          <w:rFonts w:ascii="Arial" w:hAnsi="Arial" w:cs="Arial"/>
          <w:color w:val="000000" w:themeColor="text1"/>
          <w:sz w:val="22"/>
          <w:szCs w:val="22"/>
        </w:rPr>
        <w:sectPr w:rsidR="004D4248" w:rsidRPr="009B78DA" w:rsidSect="00596015">
          <w:pgSz w:w="11906" w:h="16838"/>
          <w:pgMar w:top="1417" w:right="1417" w:bottom="1417" w:left="1417" w:header="708" w:footer="708" w:gutter="0"/>
          <w:cols w:space="708"/>
          <w:docGrid w:linePitch="360"/>
        </w:sectPr>
      </w:pPr>
      <w:r w:rsidRPr="009B78DA">
        <w:rPr>
          <w:rFonts w:ascii="Arial" w:hAnsi="Arial" w:cs="Arial"/>
          <w:color w:val="000000" w:themeColor="text1"/>
          <w:sz w:val="22"/>
          <w:szCs w:val="22"/>
        </w:rPr>
        <w:t>Z</w:t>
      </w:r>
      <w:r w:rsidR="008D3E7F" w:rsidRPr="009B78DA">
        <w:rPr>
          <w:rFonts w:ascii="Arial" w:hAnsi="Arial" w:cs="Arial"/>
          <w:color w:val="000000" w:themeColor="text1"/>
          <w:sz w:val="22"/>
          <w:szCs w:val="22"/>
        </w:rPr>
        <w:t>e względu na ograniczenia prawne oraz systemowe Samorząd Województwa Podkarpackiego ma ograniczoną rolę w zakresie decydowania</w:t>
      </w:r>
      <w:r w:rsidR="00E73C1C" w:rsidRPr="009B78DA">
        <w:rPr>
          <w:rFonts w:ascii="Arial" w:hAnsi="Arial" w:cs="Arial"/>
          <w:color w:val="000000" w:themeColor="text1"/>
          <w:sz w:val="22"/>
          <w:szCs w:val="22"/>
        </w:rPr>
        <w:t xml:space="preserve"> </w:t>
      </w:r>
      <w:r w:rsidR="008D3E7F" w:rsidRPr="009B78DA">
        <w:rPr>
          <w:rFonts w:ascii="Arial" w:hAnsi="Arial" w:cs="Arial"/>
          <w:color w:val="000000" w:themeColor="text1"/>
          <w:sz w:val="22"/>
          <w:szCs w:val="22"/>
        </w:rPr>
        <w:t xml:space="preserve">o sposobie realizacji zadań transportowych w ramach poszczególnych gałęzi (możliwość wnioskowania i wskazywania potrzeb). Interesariuszami </w:t>
      </w:r>
      <w:r w:rsidR="00B66EF7" w:rsidRPr="009B78DA">
        <w:rPr>
          <w:rFonts w:ascii="Arial" w:hAnsi="Arial" w:cs="Arial"/>
          <w:color w:val="000000" w:themeColor="text1"/>
          <w:sz w:val="22"/>
          <w:szCs w:val="22"/>
        </w:rPr>
        <w:t xml:space="preserve">uczestniczącymi w regionalnym systemie transportowym </w:t>
      </w:r>
      <w:r w:rsidR="008D3E7F" w:rsidRPr="009B78DA">
        <w:rPr>
          <w:rFonts w:ascii="Arial" w:hAnsi="Arial" w:cs="Arial"/>
          <w:color w:val="000000" w:themeColor="text1"/>
          <w:sz w:val="22"/>
          <w:szCs w:val="22"/>
        </w:rPr>
        <w:t xml:space="preserve">jest wiele niezależnych podmiotów jak GDDKiA, PKP </w:t>
      </w:r>
      <w:r w:rsidR="00A70B4D" w:rsidRPr="009B78DA">
        <w:rPr>
          <w:rFonts w:ascii="Arial" w:hAnsi="Arial" w:cs="Arial"/>
          <w:color w:val="000000" w:themeColor="text1"/>
          <w:sz w:val="22"/>
          <w:szCs w:val="22"/>
        </w:rPr>
        <w:t xml:space="preserve">PLK </w:t>
      </w:r>
      <w:r w:rsidR="0060230F" w:rsidRPr="009B78DA">
        <w:rPr>
          <w:rFonts w:ascii="Arial" w:hAnsi="Arial" w:cs="Arial"/>
          <w:color w:val="000000" w:themeColor="text1"/>
          <w:sz w:val="22"/>
          <w:szCs w:val="22"/>
        </w:rPr>
        <w:t xml:space="preserve">S.A. </w:t>
      </w:r>
      <w:r w:rsidR="008D3E7F" w:rsidRPr="009B78DA">
        <w:rPr>
          <w:rFonts w:ascii="Arial" w:hAnsi="Arial" w:cs="Arial"/>
          <w:color w:val="000000" w:themeColor="text1"/>
          <w:sz w:val="22"/>
          <w:szCs w:val="22"/>
        </w:rPr>
        <w:t>(poziom centralny), GDDKiA oddział Rzeszów, PKP</w:t>
      </w:r>
      <w:r w:rsidR="00A70B4D" w:rsidRPr="009B78DA">
        <w:rPr>
          <w:rFonts w:ascii="Arial" w:hAnsi="Arial" w:cs="Arial"/>
          <w:color w:val="000000" w:themeColor="text1"/>
          <w:sz w:val="22"/>
          <w:szCs w:val="22"/>
        </w:rPr>
        <w:t xml:space="preserve"> PLK</w:t>
      </w:r>
      <w:r w:rsidR="008D3E7F" w:rsidRPr="009B78DA">
        <w:rPr>
          <w:rFonts w:ascii="Arial" w:hAnsi="Arial" w:cs="Arial"/>
          <w:color w:val="000000" w:themeColor="text1"/>
          <w:sz w:val="22"/>
          <w:szCs w:val="22"/>
        </w:rPr>
        <w:t xml:space="preserve"> </w:t>
      </w:r>
      <w:r w:rsidR="0060230F" w:rsidRPr="009B78DA">
        <w:rPr>
          <w:rFonts w:ascii="Arial" w:hAnsi="Arial" w:cs="Arial"/>
          <w:color w:val="000000" w:themeColor="text1"/>
          <w:sz w:val="22"/>
          <w:szCs w:val="22"/>
        </w:rPr>
        <w:t xml:space="preserve">S.A. </w:t>
      </w:r>
      <w:r w:rsidR="008D3E7F" w:rsidRPr="009B78DA">
        <w:rPr>
          <w:rFonts w:ascii="Arial" w:hAnsi="Arial" w:cs="Arial"/>
          <w:color w:val="000000" w:themeColor="text1"/>
          <w:sz w:val="22"/>
          <w:szCs w:val="22"/>
        </w:rPr>
        <w:t xml:space="preserve">oddział regionalny, PZDW (poziom wojewódzki) oraz poszczególne samorządy tj. powiaty i gminy (poziom lokalny). Do kompetencji </w:t>
      </w:r>
      <w:r w:rsidR="00B66EF7" w:rsidRPr="009B78DA">
        <w:rPr>
          <w:rFonts w:ascii="Arial" w:hAnsi="Arial" w:cs="Arial"/>
          <w:color w:val="000000" w:themeColor="text1"/>
          <w:sz w:val="22"/>
          <w:szCs w:val="22"/>
        </w:rPr>
        <w:t>M</w:t>
      </w:r>
      <w:r w:rsidR="008D3E7F" w:rsidRPr="009B78DA">
        <w:rPr>
          <w:rFonts w:ascii="Arial" w:hAnsi="Arial" w:cs="Arial"/>
          <w:color w:val="000000" w:themeColor="text1"/>
          <w:sz w:val="22"/>
          <w:szCs w:val="22"/>
        </w:rPr>
        <w:t xml:space="preserve">arszałka </w:t>
      </w:r>
      <w:r w:rsidR="00B66EF7" w:rsidRPr="009B78DA">
        <w:rPr>
          <w:rFonts w:ascii="Arial" w:hAnsi="Arial" w:cs="Arial"/>
          <w:color w:val="000000" w:themeColor="text1"/>
          <w:sz w:val="22"/>
          <w:szCs w:val="22"/>
        </w:rPr>
        <w:t>W</w:t>
      </w:r>
      <w:r w:rsidR="008D3E7F" w:rsidRPr="009B78DA">
        <w:rPr>
          <w:rFonts w:ascii="Arial" w:hAnsi="Arial" w:cs="Arial"/>
          <w:color w:val="000000" w:themeColor="text1"/>
          <w:sz w:val="22"/>
          <w:szCs w:val="22"/>
        </w:rPr>
        <w:t xml:space="preserve">ojewództwa należy organizowanie przewozów kolejowych i autobusowych o znaczeniu regionalnym. W ramach organizacji transportu obowiązkiem marszałka jest dotowanie przewozów na terenie województwa. </w:t>
      </w:r>
      <w:r w:rsidR="00396874" w:rsidRPr="009B78DA">
        <w:rPr>
          <w:rFonts w:ascii="Arial" w:hAnsi="Arial" w:cs="Arial"/>
          <w:color w:val="000000" w:themeColor="text1"/>
          <w:sz w:val="22"/>
          <w:szCs w:val="22"/>
        </w:rPr>
        <w:t>Należy dodać, że w ramach współpracy interesariuszy przewiduje się wypracowanie sposobu koordynacji działań, celem uzyskania możliwie optymalnej spójności na polu inwestycyjnym (</w:t>
      </w:r>
      <w:r w:rsidR="00C30474" w:rsidRPr="009B78DA">
        <w:rPr>
          <w:rFonts w:ascii="Arial" w:hAnsi="Arial" w:cs="Arial"/>
          <w:color w:val="000000" w:themeColor="text1"/>
          <w:sz w:val="22"/>
          <w:szCs w:val="22"/>
        </w:rPr>
        <w:t xml:space="preserve">np. </w:t>
      </w:r>
      <w:r w:rsidR="00396874" w:rsidRPr="009B78DA">
        <w:rPr>
          <w:rFonts w:ascii="Arial" w:hAnsi="Arial" w:cs="Arial"/>
          <w:color w:val="000000" w:themeColor="text1"/>
          <w:sz w:val="22"/>
          <w:szCs w:val="22"/>
        </w:rPr>
        <w:t>kontakt</w:t>
      </w:r>
      <w:r w:rsidR="00C30474" w:rsidRPr="009B78DA">
        <w:rPr>
          <w:rFonts w:ascii="Arial" w:hAnsi="Arial" w:cs="Arial"/>
          <w:color w:val="000000" w:themeColor="text1"/>
          <w:sz w:val="22"/>
          <w:szCs w:val="22"/>
        </w:rPr>
        <w:t>y</w:t>
      </w:r>
      <w:r w:rsidR="00396874" w:rsidRPr="009B78DA">
        <w:rPr>
          <w:rFonts w:ascii="Arial" w:hAnsi="Arial" w:cs="Arial"/>
          <w:color w:val="000000" w:themeColor="text1"/>
          <w:sz w:val="22"/>
          <w:szCs w:val="22"/>
        </w:rPr>
        <w:t xml:space="preserve"> Samorządu Województwa </w:t>
      </w:r>
      <w:r w:rsidR="009848C6">
        <w:rPr>
          <w:rFonts w:ascii="Arial" w:hAnsi="Arial" w:cs="Arial"/>
          <w:color w:val="000000" w:themeColor="text1"/>
          <w:sz w:val="22"/>
          <w:szCs w:val="22"/>
        </w:rPr>
        <w:br/>
      </w:r>
      <w:r w:rsidR="00396874" w:rsidRPr="009B78DA">
        <w:rPr>
          <w:rFonts w:ascii="Arial" w:hAnsi="Arial" w:cs="Arial"/>
          <w:color w:val="000000" w:themeColor="text1"/>
          <w:sz w:val="22"/>
          <w:szCs w:val="22"/>
        </w:rPr>
        <w:t xml:space="preserve">z GDDKiA). </w:t>
      </w:r>
      <w:r w:rsidR="00EC0AB5" w:rsidRPr="009B78DA">
        <w:rPr>
          <w:rFonts w:ascii="Arial" w:hAnsi="Arial" w:cs="Arial"/>
          <w:b/>
          <w:iCs/>
          <w:color w:val="000000" w:themeColor="text1"/>
          <w:sz w:val="22"/>
          <w:szCs w:val="22"/>
        </w:rPr>
        <w:t xml:space="preserve"> </w:t>
      </w:r>
    </w:p>
    <w:p w14:paraId="62E7EBAB" w14:textId="35FFBBE0" w:rsidR="00696DD3" w:rsidRPr="009B78DA" w:rsidRDefault="00696DD3" w:rsidP="009848C6">
      <w:pPr>
        <w:pStyle w:val="Legenda"/>
        <w:keepNext/>
        <w:rPr>
          <w:rFonts w:ascii="Arial" w:hAnsi="Arial" w:cs="Arial"/>
          <w:i w:val="0"/>
          <w:color w:val="000000" w:themeColor="text1"/>
          <w:sz w:val="22"/>
          <w:szCs w:val="22"/>
        </w:rPr>
      </w:pPr>
      <w:bookmarkStart w:id="374" w:name="_Toc146785705"/>
      <w:bookmarkStart w:id="375" w:name="_Hlk88653171"/>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76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Główni interesariusze regionalnego systemu transportowego i ich miejsce w procesie realizacji PSRT WP.</w:t>
      </w:r>
      <w:bookmarkEnd w:id="374"/>
    </w:p>
    <w:p w14:paraId="62D28F03" w14:textId="450C6108" w:rsidR="00C60EAF" w:rsidRPr="009B78DA" w:rsidRDefault="007D2E0B" w:rsidP="004D4248">
      <w:pPr>
        <w:spacing w:after="0" w:line="276" w:lineRule="auto"/>
        <w:jc w:val="both"/>
        <w:rPr>
          <w:rFonts w:ascii="Arial" w:hAnsi="Arial" w:cs="Arial"/>
          <w:color w:val="000000" w:themeColor="text1"/>
          <w:sz w:val="22"/>
          <w:szCs w:val="22"/>
        </w:rPr>
      </w:pPr>
      <w:r w:rsidRPr="009B78DA">
        <w:rPr>
          <w:noProof/>
          <w:color w:val="000000" w:themeColor="text1"/>
        </w:rPr>
        <w:drawing>
          <wp:inline distT="0" distB="0" distL="0" distR="0" wp14:anchorId="25811090" wp14:editId="4C2D39B3">
            <wp:extent cx="9374793" cy="5199797"/>
            <wp:effectExtent l="0" t="0" r="0" b="1270"/>
            <wp:docPr id="49" name="Obraz 49" descr="Program Strategiczny Rozwoju Transportu Województwa Podkarpackiego do roku 2030 Tworzony jest przez: Samorząd Województwa Podkarpackiego rola: kreacyjna, inspirująca, monitorująca, oraz wykonawcza (w zakresie swoich kompetencji), Od góry podmioty o funkcji Instytucji Zarządzającej lub Pośredniczącej Programów Operacyjnych: Zarząd Województwa Podkarpackiego IŻ PO FE dla Podkarpacia 2021-2027, Minister właściwy ds. rozwoju regionalnego – IŻ PO FEnIKS 2021-2027 i IŻ PO FE dla PW 2021-2027, CUPT – IP dla PO FE dla PW 2021-2027, PARP – IP dla PO FE dla PW 2021-2027. Podmioty odpowiedzialne za rozpatrywanie i opiniowanie: Minister właściwy do spraw środowiska naturalnego, RDOŚ w Rzeszowie/ Podkarpacki Państwowy Wojewódzki Inspektor Sanitarny. Na dole GDDKiA, PZDW, pozostałe jednostki – podsystem drogowy, PKP – p. kolejowy, PL Rzeszów-Jasionka – p. lotniczy, Samorząd Województwa i Pozostałe JST – transport publiczny." title="Rysunek 76 Główni interesariusze regionalnego systemu transportowego i ich miejsce w procesie realizacji PSRT W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397030" cy="5212131"/>
                    </a:xfrm>
                    <a:prstGeom prst="rect">
                      <a:avLst/>
                    </a:prstGeom>
                    <a:noFill/>
                    <a:ln>
                      <a:noFill/>
                    </a:ln>
                  </pic:spPr>
                </pic:pic>
              </a:graphicData>
            </a:graphic>
          </wp:inline>
        </w:drawing>
      </w:r>
    </w:p>
    <w:p w14:paraId="17675CB6" w14:textId="20C984FF" w:rsidR="004D4248" w:rsidRPr="009B78DA" w:rsidRDefault="00C60EAF" w:rsidP="0066223D">
      <w:pPr>
        <w:spacing w:after="0" w:line="276" w:lineRule="auto"/>
        <w:rPr>
          <w:rFonts w:ascii="Arial" w:hAnsi="Arial" w:cs="Arial"/>
          <w:color w:val="000000" w:themeColor="text1"/>
          <w:sz w:val="22"/>
          <w:szCs w:val="22"/>
        </w:rPr>
        <w:sectPr w:rsidR="004D4248" w:rsidRPr="009B78DA" w:rsidSect="004D4248">
          <w:pgSz w:w="16838" w:h="11906" w:orient="landscape"/>
          <w:pgMar w:top="1418" w:right="1418" w:bottom="1418" w:left="1418" w:header="709" w:footer="709" w:gutter="0"/>
          <w:cols w:space="708"/>
          <w:docGrid w:linePitch="360"/>
        </w:sectPr>
      </w:pPr>
      <w:r w:rsidRPr="009B78DA">
        <w:rPr>
          <w:rFonts w:ascii="Arial" w:hAnsi="Arial" w:cs="Arial"/>
          <w:color w:val="000000" w:themeColor="text1"/>
          <w:sz w:val="22"/>
          <w:szCs w:val="22"/>
        </w:rPr>
        <w:t>Źródło: Opracowanie własne</w:t>
      </w:r>
      <w:r w:rsidR="004A0AB9" w:rsidRPr="009B78DA">
        <w:rPr>
          <w:rFonts w:ascii="Arial" w:hAnsi="Arial" w:cs="Arial"/>
          <w:color w:val="000000" w:themeColor="text1"/>
          <w:sz w:val="22"/>
          <w:szCs w:val="22"/>
        </w:rPr>
        <w:t>.</w:t>
      </w:r>
    </w:p>
    <w:bookmarkEnd w:id="375"/>
    <w:p w14:paraId="027AEE65" w14:textId="7B13D660" w:rsidR="00C60EAF" w:rsidRPr="009B78DA" w:rsidRDefault="004D4248" w:rsidP="0066223D">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Mimo ograniczonych kompetencji dokument obejmuje swoim zakresem wszystkie wymagania wobec systemu transportowego województwa podkarpackiego oraz koordynuje wszystkich interesariuszy, realizujących swoje działania z wielu różnorodnych źródeł finansowania. Dodatkowo należy wskazać, że w zakresie monitoringu oraz ewaluacji Samorząd Województwa może monitorować wskaźniki ze wszystkich gałęzi transportu, nie jest jednak odpowiedzialny za ich wdrażanie. Pomimo kluczowej roli, jaką pełni Samorząd Województwa w procesie wdrażania Programu, nie odpowiada on za realizację pełni inwestycji zaplanowanych do wykonania przez podmioty, nie będące od niego zależne. Należy jednak zaznaczyć, że podczas bieżącej oceny realizacji PSRT WP, analizie podlegać będzie stopień realizacji wszystkich inwestycji zapisanych w niniejszym dokumencie.</w:t>
      </w:r>
    </w:p>
    <w:p w14:paraId="21D56A12" w14:textId="5F99FF2B" w:rsidR="008D3E7F" w:rsidRPr="009B78DA" w:rsidRDefault="007C20A6" w:rsidP="0066223D">
      <w:pPr>
        <w:spacing w:after="0" w:line="276" w:lineRule="auto"/>
        <w:ind w:firstLine="720"/>
        <w:rPr>
          <w:rFonts w:ascii="Arial" w:hAnsi="Arial" w:cs="Arial"/>
          <w:color w:val="000000" w:themeColor="text1"/>
          <w:sz w:val="22"/>
          <w:szCs w:val="22"/>
        </w:rPr>
      </w:pPr>
      <w:r w:rsidRPr="009B78DA">
        <w:rPr>
          <w:rFonts w:ascii="Arial" w:hAnsi="Arial" w:cs="Arial"/>
          <w:color w:val="000000" w:themeColor="text1"/>
          <w:sz w:val="22"/>
          <w:szCs w:val="22"/>
        </w:rPr>
        <w:t>Ze względu na rozbudowany charakter systemu transportowego regionu, jego rozwój</w:t>
      </w:r>
      <w:r w:rsidR="0066223D">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w drodze realizacji Programu wymagał wzajemnej współpracy różnych podmiotów. </w:t>
      </w:r>
      <w:r w:rsidR="008D3E7F" w:rsidRPr="009B78DA">
        <w:rPr>
          <w:rFonts w:ascii="Arial" w:hAnsi="Arial" w:cs="Arial"/>
          <w:color w:val="000000" w:themeColor="text1"/>
          <w:sz w:val="22"/>
          <w:szCs w:val="22"/>
        </w:rPr>
        <w:t xml:space="preserve">Na </w:t>
      </w:r>
      <w:r w:rsidRPr="009B78DA">
        <w:rPr>
          <w:rFonts w:ascii="Arial" w:hAnsi="Arial" w:cs="Arial"/>
          <w:color w:val="000000" w:themeColor="text1"/>
          <w:sz w:val="22"/>
          <w:szCs w:val="22"/>
        </w:rPr>
        <w:t xml:space="preserve">wstępnym </w:t>
      </w:r>
      <w:r w:rsidR="008D3E7F" w:rsidRPr="009B78DA">
        <w:rPr>
          <w:rFonts w:ascii="Arial" w:hAnsi="Arial" w:cs="Arial"/>
          <w:color w:val="000000" w:themeColor="text1"/>
          <w:sz w:val="22"/>
          <w:szCs w:val="22"/>
        </w:rPr>
        <w:t xml:space="preserve">etapie przygotowania dokumentu stworzono platformę wymiany informacji dla wszystkich interesariuszy w zakresie transportu – zarówno publicznych jak i prywatnych. Umożliwiono im wskazanie swoich możliwości oraz ograniczeń. Wysłuchano potrzeb </w:t>
      </w:r>
      <w:r w:rsidRPr="009B78DA">
        <w:rPr>
          <w:rFonts w:ascii="Arial" w:hAnsi="Arial" w:cs="Arial"/>
          <w:color w:val="000000" w:themeColor="text1"/>
          <w:sz w:val="22"/>
          <w:szCs w:val="22"/>
        </w:rPr>
        <w:br/>
      </w:r>
      <w:r w:rsidR="008D3E7F" w:rsidRPr="009B78DA">
        <w:rPr>
          <w:rFonts w:ascii="Arial" w:hAnsi="Arial" w:cs="Arial"/>
          <w:color w:val="000000" w:themeColor="text1"/>
          <w:sz w:val="22"/>
          <w:szCs w:val="22"/>
        </w:rPr>
        <w:t>w zakresie realizacji podstawowych z</w:t>
      </w:r>
      <w:r w:rsidR="0066223D">
        <w:rPr>
          <w:rFonts w:ascii="Arial" w:hAnsi="Arial" w:cs="Arial"/>
          <w:color w:val="000000" w:themeColor="text1"/>
          <w:sz w:val="22"/>
          <w:szCs w:val="22"/>
        </w:rPr>
        <w:t>adań, a także zgromadzono dane.</w:t>
      </w:r>
    </w:p>
    <w:p w14:paraId="24B8A5A2" w14:textId="63082643" w:rsidR="007C20A6" w:rsidRPr="009B78DA" w:rsidRDefault="008D3E7F" w:rsidP="0066223D">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Podjęto decyzję o maksymalnym wykorzystaniu możliwości koordynacyjnych </w:t>
      </w:r>
      <w:r w:rsidR="007C20A6"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i wspierających poszczególne podmioty transportowe. Model organizacji i zarządzania systemem transportowym województwa podkarpackiego jest zagadnieniem obejmującym wszystkie gałęzie transportu. Różnią się one między sobą wykorzystywaną technologią, możliwymi do osiągnięcia korzyściami skali, zaawansowaniem procesów modernizacyjnych </w:t>
      </w:r>
      <w:r w:rsidR="007C20A6" w:rsidRPr="009B78DA">
        <w:rPr>
          <w:rFonts w:ascii="Arial" w:hAnsi="Arial" w:cs="Arial"/>
          <w:color w:val="000000" w:themeColor="text1"/>
          <w:sz w:val="22"/>
          <w:szCs w:val="22"/>
        </w:rPr>
        <w:br/>
      </w:r>
      <w:r w:rsidRPr="009B78DA">
        <w:rPr>
          <w:rFonts w:ascii="Arial" w:hAnsi="Arial" w:cs="Arial"/>
          <w:color w:val="000000" w:themeColor="text1"/>
          <w:sz w:val="22"/>
          <w:szCs w:val="22"/>
        </w:rPr>
        <w:t>i zakresem regulacji rynkowej. Wybór optymalnego modelu zarządzania powinien uwzględniać z jednej strony zasady zrównoważonego rozwoju, z drugiej zaś, możliwości budżetowe i organizacyjne poszczególnych interesariuszy.</w:t>
      </w:r>
    </w:p>
    <w:p w14:paraId="36489224" w14:textId="79DE074A" w:rsidR="002161BB" w:rsidRPr="009B78DA" w:rsidRDefault="008D3E7F" w:rsidP="0066223D">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Prace nad opracowaniem PSRT WP, realizowane były przy udziale przedstawicieli kluczowych regionalnych środowisk zajmujących się problematyką transportową. W tym celu, Zarząd Województwa Podkarpackiego powołał Zespół ds. </w:t>
      </w:r>
      <w:bookmarkStart w:id="376" w:name="_Hlk88645701"/>
      <w:r w:rsidRPr="009B78DA">
        <w:rPr>
          <w:rFonts w:ascii="Arial" w:hAnsi="Arial" w:cs="Arial"/>
          <w:color w:val="000000" w:themeColor="text1"/>
          <w:sz w:val="22"/>
          <w:szCs w:val="22"/>
        </w:rPr>
        <w:t>przygotowania PSRT WP</w:t>
      </w:r>
      <w:bookmarkEnd w:id="376"/>
      <w:r w:rsidRPr="009B78DA">
        <w:rPr>
          <w:rFonts w:ascii="Arial" w:hAnsi="Arial" w:cs="Arial"/>
          <w:color w:val="000000" w:themeColor="text1"/>
          <w:sz w:val="22"/>
          <w:szCs w:val="22"/>
        </w:rPr>
        <w:t xml:space="preserve">, którego zadaniem było opracowanie dokumentu. Jako podmiot odpowiedzialny za koordynację prac nad ww. </w:t>
      </w:r>
      <w:r w:rsidRPr="009B78DA">
        <w:rPr>
          <w:rFonts w:ascii="Arial" w:hAnsi="Arial" w:cs="Arial"/>
          <w:i/>
          <w:color w:val="000000" w:themeColor="text1"/>
          <w:sz w:val="22"/>
          <w:szCs w:val="22"/>
        </w:rPr>
        <w:t>Programem</w:t>
      </w:r>
      <w:r w:rsidRPr="009B78DA">
        <w:rPr>
          <w:rFonts w:ascii="Arial" w:hAnsi="Arial" w:cs="Arial"/>
          <w:color w:val="000000" w:themeColor="text1"/>
          <w:sz w:val="22"/>
          <w:szCs w:val="22"/>
        </w:rPr>
        <w:t xml:space="preserve"> i nadzór w zakresie spójności programowania strategicznego, zwłaszcza w kontekście </w:t>
      </w:r>
      <w:r w:rsidRPr="009B78DA">
        <w:rPr>
          <w:rFonts w:ascii="Arial" w:hAnsi="Arial" w:cs="Arial"/>
          <w:i/>
          <w:color w:val="000000" w:themeColor="text1"/>
          <w:sz w:val="22"/>
          <w:szCs w:val="22"/>
        </w:rPr>
        <w:t>Strategii rozwoju województwa – Podkarpackie 2030</w:t>
      </w:r>
      <w:r w:rsidRPr="009B78DA">
        <w:rPr>
          <w:rFonts w:ascii="Arial" w:hAnsi="Arial" w:cs="Arial"/>
          <w:color w:val="000000" w:themeColor="text1"/>
          <w:sz w:val="22"/>
          <w:szCs w:val="22"/>
        </w:rPr>
        <w:t>, został wskazany Departament Rozwoju Regionalnego UMWP. Ze względu na konieczność merytorycznego wsparcia, w prace nad dokumentem zaangażowany został przede wszystkim Departament Dróg i Publicznego Transportu Zbiorowego UMWP, a także Podkarpackie Biuro Planowania Przestrzennego w Rzeszowie.</w:t>
      </w:r>
      <w:r w:rsidR="002161BB"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Ponadto w pracach nad Programem uczestniczył Departament Zarządzania Regionalnym Prog</w:t>
      </w:r>
      <w:r w:rsidR="0066223D">
        <w:rPr>
          <w:rFonts w:ascii="Arial" w:hAnsi="Arial" w:cs="Arial"/>
          <w:color w:val="000000" w:themeColor="text1"/>
          <w:sz w:val="22"/>
          <w:szCs w:val="22"/>
        </w:rPr>
        <w:t>ramem Operacyjnym UMWP.</w:t>
      </w:r>
    </w:p>
    <w:p w14:paraId="07A0D711" w14:textId="5A936DE9" w:rsidR="008D3E7F" w:rsidRPr="009B78DA" w:rsidRDefault="008D3E7F" w:rsidP="0066223D">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W skład Zespołu ds. przygotowania PSRT WP zostali włączeni przedstawiciele kluczowych podmiotów zajmujących się głównymi podsystemami transportowymi </w:t>
      </w:r>
      <w:r w:rsidR="0066223D">
        <w:rPr>
          <w:rFonts w:ascii="Arial" w:hAnsi="Arial" w:cs="Arial"/>
          <w:color w:val="000000" w:themeColor="text1"/>
          <w:sz w:val="22"/>
          <w:szCs w:val="22"/>
        </w:rPr>
        <w:br/>
      </w:r>
      <w:r w:rsidRPr="009B78DA">
        <w:rPr>
          <w:rFonts w:ascii="Arial" w:hAnsi="Arial" w:cs="Arial"/>
          <w:color w:val="000000" w:themeColor="text1"/>
          <w:sz w:val="22"/>
          <w:szCs w:val="22"/>
        </w:rPr>
        <w:t>w województwie podkarpackim, tj.:</w:t>
      </w:r>
    </w:p>
    <w:p w14:paraId="40675927" w14:textId="77777777" w:rsidR="008D3E7F" w:rsidRPr="009B78DA" w:rsidRDefault="008D3E7F" w:rsidP="0066223D">
      <w:pPr>
        <w:pStyle w:val="Akapitzlist"/>
        <w:numPr>
          <w:ilvl w:val="0"/>
          <w:numId w:val="1"/>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Wojewody Podkarpackiego</w:t>
      </w:r>
    </w:p>
    <w:p w14:paraId="57D40CED" w14:textId="77777777" w:rsidR="008D3E7F" w:rsidRPr="009B78DA" w:rsidRDefault="008D3E7F" w:rsidP="0066223D">
      <w:pPr>
        <w:pStyle w:val="Akapitzlist"/>
        <w:numPr>
          <w:ilvl w:val="0"/>
          <w:numId w:val="1"/>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Urzędu Miasta Rzeszowa</w:t>
      </w:r>
    </w:p>
    <w:p w14:paraId="7D00BF2E" w14:textId="77777777" w:rsidR="008D3E7F" w:rsidRPr="009B78DA" w:rsidRDefault="008D3E7F" w:rsidP="0066223D">
      <w:pPr>
        <w:pStyle w:val="Akapitzlist"/>
        <w:numPr>
          <w:ilvl w:val="0"/>
          <w:numId w:val="1"/>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Podkarpackiego Zarządu Dróg Wojewódzkich w Rzeszowie</w:t>
      </w:r>
    </w:p>
    <w:p w14:paraId="20B334CF" w14:textId="77777777" w:rsidR="008D3E7F" w:rsidRPr="009B78DA" w:rsidRDefault="008D3E7F" w:rsidP="0066223D">
      <w:pPr>
        <w:pStyle w:val="Akapitzlist"/>
        <w:numPr>
          <w:ilvl w:val="0"/>
          <w:numId w:val="1"/>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Miejskiego Zarządu Dróg w Rzeszowie</w:t>
      </w:r>
    </w:p>
    <w:p w14:paraId="15FDAEA9" w14:textId="77777777" w:rsidR="008D3E7F" w:rsidRPr="009B78DA" w:rsidRDefault="008D3E7F" w:rsidP="0066223D">
      <w:pPr>
        <w:pStyle w:val="Akapitzlist"/>
        <w:numPr>
          <w:ilvl w:val="0"/>
          <w:numId w:val="1"/>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Generalnej Dyrekcji Dróg Krajowych i Autostrad, Oddział w Rzeszowie</w:t>
      </w:r>
    </w:p>
    <w:p w14:paraId="40224B7B" w14:textId="77777777" w:rsidR="008D3E7F" w:rsidRPr="009B78DA" w:rsidRDefault="008D3E7F" w:rsidP="0066223D">
      <w:pPr>
        <w:pStyle w:val="Akapitzlist"/>
        <w:numPr>
          <w:ilvl w:val="0"/>
          <w:numId w:val="1"/>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PKP PLK S.A.</w:t>
      </w:r>
    </w:p>
    <w:p w14:paraId="7EB68F76" w14:textId="77777777" w:rsidR="008D3E7F" w:rsidRPr="009B78DA" w:rsidRDefault="008D3E7F" w:rsidP="0066223D">
      <w:pPr>
        <w:pStyle w:val="Akapitzlist"/>
        <w:numPr>
          <w:ilvl w:val="0"/>
          <w:numId w:val="1"/>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Portu Lotniczego „Rzeszów-Jasionka” Sp. z o.o.</w:t>
      </w:r>
    </w:p>
    <w:p w14:paraId="3CAAA3A5" w14:textId="77777777" w:rsidR="008D3E7F" w:rsidRPr="009B78DA" w:rsidRDefault="008D3E7F" w:rsidP="0066223D">
      <w:pPr>
        <w:pStyle w:val="Akapitzlist"/>
        <w:numPr>
          <w:ilvl w:val="0"/>
          <w:numId w:val="1"/>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Centrum Unijnych Projektów Transportowych.</w:t>
      </w:r>
    </w:p>
    <w:p w14:paraId="115BAFC8" w14:textId="5AD3CF54" w:rsidR="008D3E7F" w:rsidRPr="009B78DA" w:rsidRDefault="008D3E7F" w:rsidP="0066223D">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 xml:space="preserve">W posiedzeniach </w:t>
      </w:r>
      <w:r w:rsidRPr="009B78DA">
        <w:rPr>
          <w:rFonts w:ascii="Arial" w:hAnsi="Arial" w:cs="Arial"/>
          <w:iCs/>
          <w:color w:val="000000" w:themeColor="text1"/>
          <w:sz w:val="22"/>
          <w:szCs w:val="22"/>
        </w:rPr>
        <w:t>Zespołu ds. przygotowania</w:t>
      </w:r>
      <w:r w:rsidRPr="009B78DA">
        <w:rPr>
          <w:rFonts w:ascii="Arial" w:hAnsi="Arial" w:cs="Arial"/>
          <w:i/>
          <w:color w:val="000000" w:themeColor="text1"/>
          <w:sz w:val="22"/>
          <w:szCs w:val="22"/>
        </w:rPr>
        <w:t xml:space="preserve"> </w:t>
      </w:r>
      <w:r w:rsidRPr="009B78DA">
        <w:rPr>
          <w:rFonts w:ascii="Arial" w:hAnsi="Arial" w:cs="Arial"/>
          <w:iCs/>
          <w:color w:val="000000" w:themeColor="text1"/>
          <w:sz w:val="22"/>
          <w:szCs w:val="22"/>
        </w:rPr>
        <w:t xml:space="preserve">PSRT WP </w:t>
      </w:r>
      <w:r w:rsidRPr="009B78DA">
        <w:rPr>
          <w:rFonts w:ascii="Arial" w:hAnsi="Arial" w:cs="Arial"/>
          <w:color w:val="000000" w:themeColor="text1"/>
          <w:sz w:val="22"/>
          <w:szCs w:val="22"/>
        </w:rPr>
        <w:t>uczestniczyli również eksperci z dziedziny transportu i logistyki z podkarpackich uczelni wyższych. Spotkania Zespołu odbywały się cyklicznie, a kontakty ro</w:t>
      </w:r>
      <w:r w:rsidR="0066223D">
        <w:rPr>
          <w:rFonts w:ascii="Arial" w:hAnsi="Arial" w:cs="Arial"/>
          <w:color w:val="000000" w:themeColor="text1"/>
          <w:sz w:val="22"/>
          <w:szCs w:val="22"/>
        </w:rPr>
        <w:t>bocze miały miejsce na bieżąco.</w:t>
      </w:r>
    </w:p>
    <w:p w14:paraId="05735205" w14:textId="460559BE"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 poszczególnych etapach przygotowania</w:t>
      </w:r>
      <w:r w:rsidR="006E5498" w:rsidRPr="009B78DA">
        <w:rPr>
          <w:rFonts w:ascii="Arial" w:hAnsi="Arial" w:cs="Arial"/>
          <w:color w:val="000000" w:themeColor="text1"/>
          <w:sz w:val="22"/>
          <w:szCs w:val="22"/>
        </w:rPr>
        <w:t xml:space="preserve"> </w:t>
      </w:r>
      <w:r w:rsidRPr="009B78DA">
        <w:rPr>
          <w:rFonts w:ascii="Arial" w:hAnsi="Arial" w:cs="Arial"/>
          <w:i/>
          <w:color w:val="000000" w:themeColor="text1"/>
          <w:sz w:val="22"/>
          <w:szCs w:val="22"/>
        </w:rPr>
        <w:t>Programu Strategicznego Rozwoju Transportu Województwa Podkarpackiego do roku 2030</w:t>
      </w:r>
      <w:r w:rsidRPr="009B78DA">
        <w:rPr>
          <w:rFonts w:ascii="Arial" w:hAnsi="Arial" w:cs="Arial"/>
          <w:color w:val="000000" w:themeColor="text1"/>
          <w:sz w:val="22"/>
          <w:szCs w:val="22"/>
        </w:rPr>
        <w:t xml:space="preserve"> pozyskiwano niezbędne dane oraz informacje służące przygotowaniu diagnozy. Materiały uzyskano od następujących interesariuszy:</w:t>
      </w:r>
    </w:p>
    <w:p w14:paraId="485BAAFB" w14:textId="4A6BEFD5" w:rsidR="00F66A6A" w:rsidRPr="009B78DA" w:rsidRDefault="008D3E7F" w:rsidP="0066223D">
      <w:pPr>
        <w:numPr>
          <w:ilvl w:val="0"/>
          <w:numId w:val="246"/>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Podkarpackiego Zarządu Dróg Wojewódzkich w Rzeszowie </w:t>
      </w:r>
      <w:r w:rsidR="00F66A6A" w:rsidRPr="009B78DA">
        <w:rPr>
          <w:rFonts w:ascii="Arial" w:hAnsi="Arial" w:cs="Arial"/>
          <w:color w:val="000000" w:themeColor="text1"/>
          <w:sz w:val="22"/>
          <w:szCs w:val="22"/>
        </w:rPr>
        <w:t>(inwestycje na drogach wojewódzkich, kryteria wyboru)</w:t>
      </w:r>
    </w:p>
    <w:p w14:paraId="1D658872" w14:textId="0DD2E111" w:rsidR="008D3E7F" w:rsidRPr="009B78DA" w:rsidRDefault="008D3E7F" w:rsidP="0066223D">
      <w:pPr>
        <w:pStyle w:val="Akapitzlist"/>
        <w:numPr>
          <w:ilvl w:val="0"/>
          <w:numId w:val="246"/>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Portu Lotniczego „Rzeszów-Jasionka” Sp. z o.o.</w:t>
      </w:r>
      <w:r w:rsidR="00F66A6A" w:rsidRPr="009B78DA">
        <w:rPr>
          <w:rFonts w:ascii="Arial" w:hAnsi="Arial" w:cs="Arial"/>
          <w:color w:val="000000" w:themeColor="text1"/>
          <w:sz w:val="22"/>
          <w:szCs w:val="22"/>
        </w:rPr>
        <w:t xml:space="preserve"> (inwestycje na lotnicze)</w:t>
      </w:r>
    </w:p>
    <w:p w14:paraId="5B303BE7" w14:textId="6A9FDCE0" w:rsidR="008D3E7F" w:rsidRPr="009B78DA" w:rsidRDefault="008D3E7F" w:rsidP="0066223D">
      <w:pPr>
        <w:pStyle w:val="Akapitzlist"/>
        <w:numPr>
          <w:ilvl w:val="0"/>
          <w:numId w:val="246"/>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Wojewody Podkarpackiego</w:t>
      </w:r>
      <w:r w:rsidR="00F66A6A" w:rsidRPr="009B78DA">
        <w:rPr>
          <w:rFonts w:ascii="Arial" w:hAnsi="Arial" w:cs="Arial"/>
          <w:color w:val="000000" w:themeColor="text1"/>
          <w:sz w:val="22"/>
          <w:szCs w:val="22"/>
        </w:rPr>
        <w:t xml:space="preserve"> (inwestycje na drogach lokalnych)</w:t>
      </w:r>
    </w:p>
    <w:p w14:paraId="6476F97D" w14:textId="70CC6595" w:rsidR="008D3E7F" w:rsidRPr="009B78DA" w:rsidRDefault="008D3E7F" w:rsidP="0066223D">
      <w:pPr>
        <w:pStyle w:val="Akapitzlist"/>
        <w:numPr>
          <w:ilvl w:val="0"/>
          <w:numId w:val="246"/>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Urzędu Miasta Rzeszowa</w:t>
      </w:r>
      <w:r w:rsidR="00F66A6A" w:rsidRPr="009B78DA">
        <w:rPr>
          <w:rFonts w:ascii="Arial" w:hAnsi="Arial" w:cs="Arial"/>
          <w:color w:val="000000" w:themeColor="text1"/>
          <w:sz w:val="22"/>
          <w:szCs w:val="22"/>
        </w:rPr>
        <w:t xml:space="preserve"> (inwestycje na drogach lokalnych, rozkłady jazdy komunikacji publicznej)</w:t>
      </w:r>
    </w:p>
    <w:p w14:paraId="6C620807" w14:textId="51F64515" w:rsidR="00F66A6A" w:rsidRPr="009B78DA" w:rsidRDefault="00F66A6A" w:rsidP="0066223D">
      <w:pPr>
        <w:pStyle w:val="Akapitzlist"/>
        <w:numPr>
          <w:ilvl w:val="0"/>
          <w:numId w:val="246"/>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Podkarpack</w:t>
      </w:r>
      <w:r w:rsidR="002161BB" w:rsidRPr="009B78DA">
        <w:rPr>
          <w:rFonts w:ascii="Arial" w:hAnsi="Arial" w:cs="Arial"/>
          <w:color w:val="000000" w:themeColor="text1"/>
          <w:sz w:val="22"/>
          <w:szCs w:val="22"/>
        </w:rPr>
        <w:t>iej</w:t>
      </w:r>
      <w:r w:rsidRPr="009B78DA">
        <w:rPr>
          <w:rFonts w:ascii="Arial" w:hAnsi="Arial" w:cs="Arial"/>
          <w:color w:val="000000" w:themeColor="text1"/>
          <w:sz w:val="22"/>
          <w:szCs w:val="22"/>
        </w:rPr>
        <w:t xml:space="preserve"> Komunikacj</w:t>
      </w:r>
      <w:r w:rsidR="002161BB" w:rsidRPr="009B78DA">
        <w:rPr>
          <w:rFonts w:ascii="Arial" w:hAnsi="Arial" w:cs="Arial"/>
          <w:color w:val="000000" w:themeColor="text1"/>
          <w:sz w:val="22"/>
          <w:szCs w:val="22"/>
        </w:rPr>
        <w:t>i</w:t>
      </w:r>
      <w:r w:rsidRPr="009B78DA">
        <w:rPr>
          <w:rFonts w:ascii="Arial" w:hAnsi="Arial" w:cs="Arial"/>
          <w:color w:val="000000" w:themeColor="text1"/>
          <w:sz w:val="22"/>
          <w:szCs w:val="22"/>
        </w:rPr>
        <w:t xml:space="preserve"> Samochodow</w:t>
      </w:r>
      <w:r w:rsidR="002161BB" w:rsidRPr="009B78DA">
        <w:rPr>
          <w:rFonts w:ascii="Arial" w:hAnsi="Arial" w:cs="Arial"/>
          <w:color w:val="000000" w:themeColor="text1"/>
          <w:sz w:val="22"/>
          <w:szCs w:val="22"/>
        </w:rPr>
        <w:t>ej</w:t>
      </w:r>
      <w:r w:rsidRPr="009B78DA">
        <w:rPr>
          <w:rFonts w:ascii="Arial" w:hAnsi="Arial" w:cs="Arial"/>
          <w:color w:val="000000" w:themeColor="text1"/>
          <w:sz w:val="22"/>
          <w:szCs w:val="22"/>
        </w:rPr>
        <w:t xml:space="preserve">/ Zarządzający komunikacją publiczną </w:t>
      </w:r>
      <w:r w:rsidR="002161BB" w:rsidRPr="009B78DA">
        <w:rPr>
          <w:rFonts w:ascii="Arial" w:hAnsi="Arial" w:cs="Arial"/>
          <w:color w:val="000000" w:themeColor="text1"/>
          <w:sz w:val="22"/>
          <w:szCs w:val="22"/>
        </w:rPr>
        <w:br/>
      </w:r>
      <w:r w:rsidRPr="009B78DA">
        <w:rPr>
          <w:rFonts w:ascii="Arial" w:hAnsi="Arial" w:cs="Arial"/>
          <w:color w:val="000000" w:themeColor="text1"/>
          <w:sz w:val="22"/>
          <w:szCs w:val="22"/>
        </w:rPr>
        <w:t>w powiatach (rozkłady jazdy komunikacji publicznej)</w:t>
      </w:r>
    </w:p>
    <w:p w14:paraId="434E11D1" w14:textId="1FD4E5D2" w:rsidR="008D3E7F" w:rsidRPr="009B78DA" w:rsidRDefault="008D3E7F" w:rsidP="0066223D">
      <w:pPr>
        <w:pStyle w:val="Akapitzlist"/>
        <w:numPr>
          <w:ilvl w:val="0"/>
          <w:numId w:val="246"/>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Miejskiego Zarządu Dróg w Rzeszowie</w:t>
      </w:r>
      <w:r w:rsidR="00F66A6A" w:rsidRPr="009B78DA">
        <w:rPr>
          <w:rFonts w:ascii="Arial" w:hAnsi="Arial" w:cs="Arial"/>
          <w:color w:val="000000" w:themeColor="text1"/>
          <w:sz w:val="22"/>
          <w:szCs w:val="22"/>
        </w:rPr>
        <w:t xml:space="preserve"> (inwestycje na drogach lokalnych)</w:t>
      </w:r>
    </w:p>
    <w:p w14:paraId="250E5DDD" w14:textId="7238AF8F" w:rsidR="008D3E7F" w:rsidRPr="009B78DA" w:rsidRDefault="008D3E7F" w:rsidP="0066223D">
      <w:pPr>
        <w:pStyle w:val="Akapitzlist"/>
        <w:numPr>
          <w:ilvl w:val="0"/>
          <w:numId w:val="246"/>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Generalnej Dyrekcji Dróg Krajowych i Autostrad, Oddział w Rzeszowie</w:t>
      </w:r>
      <w:r w:rsidR="00F66A6A" w:rsidRPr="009B78DA">
        <w:rPr>
          <w:rFonts w:ascii="Arial" w:hAnsi="Arial" w:cs="Arial"/>
          <w:color w:val="000000" w:themeColor="text1"/>
          <w:sz w:val="22"/>
          <w:szCs w:val="22"/>
        </w:rPr>
        <w:t xml:space="preserve"> (inwestycje na drogach krajowych)</w:t>
      </w:r>
    </w:p>
    <w:p w14:paraId="3333A015" w14:textId="3F714E1A" w:rsidR="008D3E7F" w:rsidRPr="009B78DA" w:rsidRDefault="008D3E7F" w:rsidP="0066223D">
      <w:pPr>
        <w:pStyle w:val="Akapitzlist"/>
        <w:numPr>
          <w:ilvl w:val="0"/>
          <w:numId w:val="246"/>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PKP PLK S.A.</w:t>
      </w:r>
      <w:r w:rsidR="00F66A6A" w:rsidRPr="009B78DA">
        <w:rPr>
          <w:rFonts w:ascii="Arial" w:hAnsi="Arial" w:cs="Arial"/>
          <w:color w:val="000000" w:themeColor="text1"/>
          <w:sz w:val="22"/>
          <w:szCs w:val="22"/>
        </w:rPr>
        <w:t xml:space="preserve"> (inwestycje kolejowe – poziom krajowy)</w:t>
      </w:r>
    </w:p>
    <w:p w14:paraId="5E911354" w14:textId="77777777" w:rsidR="008D3E7F" w:rsidRPr="009B78DA" w:rsidRDefault="008D3E7F" w:rsidP="0066223D">
      <w:pPr>
        <w:pStyle w:val="Akapitzlist"/>
        <w:numPr>
          <w:ilvl w:val="0"/>
          <w:numId w:val="246"/>
        </w:numPr>
        <w:spacing w:after="0" w:line="276" w:lineRule="auto"/>
        <w:rPr>
          <w:rFonts w:ascii="Arial" w:hAnsi="Arial" w:cs="Arial"/>
          <w:snapToGrid w:val="0"/>
          <w:color w:val="000000" w:themeColor="text1"/>
          <w:position w:val="8"/>
          <w:sz w:val="22"/>
          <w:szCs w:val="22"/>
        </w:rPr>
      </w:pPr>
      <w:r w:rsidRPr="009B78DA">
        <w:rPr>
          <w:rFonts w:ascii="Arial" w:hAnsi="Arial" w:cs="Arial"/>
          <w:snapToGrid w:val="0"/>
          <w:color w:val="000000" w:themeColor="text1"/>
          <w:position w:val="8"/>
          <w:sz w:val="22"/>
          <w:szCs w:val="22"/>
        </w:rPr>
        <w:t>Centralnego Portu Komunikacyjnego Sp. z o.o.</w:t>
      </w:r>
    </w:p>
    <w:p w14:paraId="7E9F6536" w14:textId="173757F4" w:rsidR="008D3E7F" w:rsidRPr="009B78DA" w:rsidRDefault="008D3E7F" w:rsidP="0066223D">
      <w:pPr>
        <w:pStyle w:val="Akapitzlist"/>
        <w:numPr>
          <w:ilvl w:val="0"/>
          <w:numId w:val="246"/>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Centrum Unijnych Projektów Transportowych</w:t>
      </w:r>
      <w:r w:rsidR="00F66A6A"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materiał dotyczący Zintegrowanego Modelu Ruchu</w:t>
      </w:r>
      <w:r w:rsidR="00F66A6A" w:rsidRPr="009B78DA">
        <w:rPr>
          <w:rFonts w:ascii="Arial" w:hAnsi="Arial" w:cs="Arial"/>
          <w:color w:val="000000" w:themeColor="text1"/>
          <w:sz w:val="22"/>
          <w:szCs w:val="22"/>
        </w:rPr>
        <w:t>)</w:t>
      </w:r>
    </w:p>
    <w:p w14:paraId="7BB424CB" w14:textId="77777777" w:rsidR="002161BB" w:rsidRPr="009B78DA" w:rsidRDefault="008D3E7F" w:rsidP="0066223D">
      <w:pPr>
        <w:pStyle w:val="Akapitzlist"/>
        <w:numPr>
          <w:ilvl w:val="0"/>
          <w:numId w:val="246"/>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Komendy Wojewódzkiej Policji </w:t>
      </w:r>
      <w:r w:rsidR="00F66A6A" w:rsidRPr="009B78DA">
        <w:rPr>
          <w:rFonts w:ascii="Arial" w:hAnsi="Arial" w:cs="Arial"/>
          <w:color w:val="000000" w:themeColor="text1"/>
          <w:sz w:val="22"/>
          <w:szCs w:val="22"/>
        </w:rPr>
        <w:t>(</w:t>
      </w:r>
      <w:r w:rsidRPr="009B78DA">
        <w:rPr>
          <w:rFonts w:ascii="Arial" w:hAnsi="Arial" w:cs="Arial"/>
          <w:color w:val="000000" w:themeColor="text1"/>
          <w:sz w:val="22"/>
          <w:szCs w:val="22"/>
        </w:rPr>
        <w:t>materiał dotyczący bezpieczeństwa na podkarpackich drogach</w:t>
      </w:r>
      <w:r w:rsidR="00F66A6A" w:rsidRPr="009B78DA">
        <w:rPr>
          <w:rFonts w:ascii="Arial" w:hAnsi="Arial" w:cs="Arial"/>
          <w:color w:val="000000" w:themeColor="text1"/>
          <w:sz w:val="22"/>
          <w:szCs w:val="22"/>
        </w:rPr>
        <w:t>).</w:t>
      </w:r>
    </w:p>
    <w:p w14:paraId="43D1BE23" w14:textId="054265D1" w:rsidR="002161BB" w:rsidRPr="009B78DA" w:rsidRDefault="00C60EA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pracach nad dokumentem </w:t>
      </w:r>
      <w:r w:rsidR="002161BB" w:rsidRPr="009B78DA">
        <w:rPr>
          <w:rFonts w:ascii="Arial" w:hAnsi="Arial" w:cs="Arial"/>
          <w:color w:val="000000" w:themeColor="text1"/>
          <w:sz w:val="22"/>
          <w:szCs w:val="22"/>
        </w:rPr>
        <w:t>współpracowano także z merytorycznymi</w:t>
      </w:r>
      <w:r w:rsidRPr="009B78DA">
        <w:rPr>
          <w:rFonts w:ascii="Arial" w:hAnsi="Arial" w:cs="Arial"/>
          <w:color w:val="000000" w:themeColor="text1"/>
          <w:sz w:val="22"/>
          <w:szCs w:val="22"/>
        </w:rPr>
        <w:t xml:space="preserve"> </w:t>
      </w:r>
      <w:r w:rsidR="002161BB" w:rsidRPr="009B78DA">
        <w:rPr>
          <w:rFonts w:ascii="Arial" w:hAnsi="Arial" w:cs="Arial"/>
          <w:color w:val="000000" w:themeColor="text1"/>
          <w:sz w:val="22"/>
          <w:szCs w:val="22"/>
        </w:rPr>
        <w:t>Departamentami UMWP (m.in. z Departamentem Dróg i Publicznego Transportu Zbiorowego UMWP – pozyskano sprawozdania w zakresie realizacji PSRT WP do roku 2023, inwestycje na drogach wojewódzkich, inwestycje kolejowe – poziom regionalny, inwestycje w tabor, kryteria wyboru oraz Departamentem Zarządzania Regionalnym Programem Operacyjnym UMWP pod kątem spójność z programem regionalnym)</w:t>
      </w:r>
    </w:p>
    <w:p w14:paraId="0935D82D" w14:textId="7985FA1C" w:rsidR="008D3E7F" w:rsidRPr="009B78DA" w:rsidRDefault="008D3E7F" w:rsidP="0066223D">
      <w:pPr>
        <w:spacing w:after="0" w:line="276" w:lineRule="auto"/>
        <w:ind w:firstLine="708"/>
        <w:rPr>
          <w:rFonts w:ascii="Arial" w:hAnsi="Arial" w:cs="Arial"/>
          <w:snapToGrid w:val="0"/>
          <w:color w:val="000000" w:themeColor="text1"/>
          <w:position w:val="8"/>
          <w:sz w:val="22"/>
          <w:szCs w:val="22"/>
        </w:rPr>
      </w:pPr>
      <w:r w:rsidRPr="009B78DA">
        <w:rPr>
          <w:rFonts w:ascii="Arial" w:hAnsi="Arial" w:cs="Arial"/>
          <w:snapToGrid w:val="0"/>
          <w:color w:val="000000" w:themeColor="text1"/>
          <w:position w:val="8"/>
          <w:sz w:val="22"/>
          <w:szCs w:val="22"/>
        </w:rPr>
        <w:t>Realizując prace nad nowym planem transportowym (</w:t>
      </w:r>
      <w:r w:rsidR="004015BE" w:rsidRPr="009B78DA">
        <w:rPr>
          <w:rFonts w:ascii="Arial" w:hAnsi="Arial" w:cs="Arial"/>
          <w:snapToGrid w:val="0"/>
          <w:color w:val="000000" w:themeColor="text1"/>
          <w:position w:val="8"/>
          <w:sz w:val="22"/>
          <w:szCs w:val="22"/>
        </w:rPr>
        <w:t>na potrzeby opracowania</w:t>
      </w:r>
      <w:r w:rsidRPr="009B78DA">
        <w:rPr>
          <w:rFonts w:ascii="Arial" w:hAnsi="Arial" w:cs="Arial"/>
          <w:snapToGrid w:val="0"/>
          <w:color w:val="000000" w:themeColor="text1"/>
          <w:position w:val="8"/>
          <w:sz w:val="22"/>
          <w:szCs w:val="22"/>
        </w:rPr>
        <w:t xml:space="preserve"> części diagnostycznej dokumentu) </w:t>
      </w:r>
      <w:bookmarkStart w:id="377" w:name="_Hlk59096356"/>
      <w:r w:rsidRPr="009B78DA">
        <w:rPr>
          <w:rFonts w:ascii="Arial" w:hAnsi="Arial" w:cs="Arial"/>
          <w:snapToGrid w:val="0"/>
          <w:color w:val="000000" w:themeColor="text1"/>
          <w:position w:val="8"/>
          <w:sz w:val="22"/>
          <w:szCs w:val="22"/>
        </w:rPr>
        <w:t>zlecono</w:t>
      </w:r>
      <w:r w:rsidR="002161BB" w:rsidRPr="009B78DA">
        <w:rPr>
          <w:rFonts w:ascii="Arial" w:hAnsi="Arial" w:cs="Arial"/>
          <w:snapToGrid w:val="0"/>
          <w:color w:val="000000" w:themeColor="text1"/>
          <w:position w:val="8"/>
          <w:sz w:val="22"/>
          <w:szCs w:val="22"/>
        </w:rPr>
        <w:t xml:space="preserve"> także</w:t>
      </w:r>
      <w:r w:rsidRPr="009B78DA">
        <w:rPr>
          <w:rFonts w:ascii="Arial" w:hAnsi="Arial" w:cs="Arial"/>
          <w:snapToGrid w:val="0"/>
          <w:color w:val="000000" w:themeColor="text1"/>
          <w:position w:val="8"/>
          <w:sz w:val="22"/>
          <w:szCs w:val="22"/>
        </w:rPr>
        <w:t xml:space="preserve"> przeprowadzenie badań i opracowanie </w:t>
      </w:r>
      <w:r w:rsidR="002161BB" w:rsidRPr="009B78DA">
        <w:rPr>
          <w:rFonts w:ascii="Arial" w:hAnsi="Arial" w:cs="Arial"/>
          <w:snapToGrid w:val="0"/>
          <w:color w:val="000000" w:themeColor="text1"/>
          <w:position w:val="8"/>
          <w:sz w:val="22"/>
          <w:szCs w:val="22"/>
        </w:rPr>
        <w:t>następujących ekspertyz</w:t>
      </w:r>
      <w:r w:rsidRPr="009B78DA">
        <w:rPr>
          <w:rFonts w:ascii="Arial" w:hAnsi="Arial" w:cs="Arial"/>
          <w:snapToGrid w:val="0"/>
          <w:color w:val="000000" w:themeColor="text1"/>
          <w:position w:val="8"/>
          <w:sz w:val="22"/>
          <w:szCs w:val="22"/>
        </w:rPr>
        <w:t>:</w:t>
      </w:r>
    </w:p>
    <w:p w14:paraId="71B2DDC2" w14:textId="0AC5BCE9" w:rsidR="008D3E7F" w:rsidRPr="009B78DA" w:rsidRDefault="008D3E7F" w:rsidP="0066223D">
      <w:pPr>
        <w:pStyle w:val="Akapitzlist"/>
        <w:numPr>
          <w:ilvl w:val="0"/>
          <w:numId w:val="247"/>
        </w:numPr>
        <w:spacing w:after="0" w:line="276" w:lineRule="auto"/>
        <w:ind w:left="709" w:hanging="283"/>
        <w:rPr>
          <w:rFonts w:ascii="Arial" w:hAnsi="Arial" w:cs="Arial"/>
          <w:snapToGrid w:val="0"/>
          <w:color w:val="000000" w:themeColor="text1"/>
          <w:position w:val="8"/>
          <w:sz w:val="22"/>
          <w:szCs w:val="22"/>
        </w:rPr>
      </w:pPr>
      <w:r w:rsidRPr="009B78DA">
        <w:rPr>
          <w:rFonts w:ascii="Arial" w:hAnsi="Arial" w:cs="Arial"/>
          <w:snapToGrid w:val="0"/>
          <w:color w:val="000000" w:themeColor="text1"/>
          <w:position w:val="8"/>
          <w:sz w:val="22"/>
          <w:szCs w:val="22"/>
        </w:rPr>
        <w:t xml:space="preserve">pn. </w:t>
      </w:r>
      <w:bookmarkEnd w:id="377"/>
      <w:r w:rsidRPr="009B78DA">
        <w:rPr>
          <w:rFonts w:ascii="Arial" w:hAnsi="Arial" w:cs="Arial"/>
          <w:i/>
          <w:iCs/>
          <w:snapToGrid w:val="0"/>
          <w:color w:val="000000" w:themeColor="text1"/>
          <w:position w:val="8"/>
          <w:sz w:val="22"/>
          <w:szCs w:val="22"/>
        </w:rPr>
        <w:t>Rozwój transportu w województwie podkarpackim w perspektywie do 2030</w:t>
      </w:r>
      <w:r w:rsidRPr="009B78DA">
        <w:rPr>
          <w:rFonts w:ascii="Arial" w:hAnsi="Arial" w:cs="Arial"/>
          <w:snapToGrid w:val="0"/>
          <w:color w:val="000000" w:themeColor="text1"/>
          <w:position w:val="8"/>
          <w:sz w:val="22"/>
          <w:szCs w:val="22"/>
        </w:rPr>
        <w:t>.</w:t>
      </w:r>
    </w:p>
    <w:p w14:paraId="75F24A25" w14:textId="5F48C65C" w:rsidR="008D3E7F" w:rsidRPr="009B78DA" w:rsidRDefault="008D3E7F" w:rsidP="0066223D">
      <w:pPr>
        <w:pStyle w:val="Akapitzlist"/>
        <w:numPr>
          <w:ilvl w:val="0"/>
          <w:numId w:val="247"/>
        </w:numPr>
        <w:spacing w:after="0" w:line="276" w:lineRule="auto"/>
        <w:ind w:left="709" w:hanging="283"/>
        <w:rPr>
          <w:rFonts w:ascii="Arial" w:hAnsi="Arial" w:cs="Arial"/>
          <w:snapToGrid w:val="0"/>
          <w:color w:val="000000" w:themeColor="text1"/>
          <w:position w:val="8"/>
          <w:sz w:val="22"/>
          <w:szCs w:val="22"/>
        </w:rPr>
      </w:pPr>
      <w:r w:rsidRPr="009B78DA">
        <w:rPr>
          <w:rFonts w:ascii="Arial" w:hAnsi="Arial" w:cs="Arial"/>
          <w:snapToGrid w:val="0"/>
          <w:color w:val="000000" w:themeColor="text1"/>
          <w:position w:val="8"/>
          <w:sz w:val="22"/>
          <w:szCs w:val="22"/>
        </w:rPr>
        <w:t xml:space="preserve">pn. </w:t>
      </w:r>
      <w:r w:rsidRPr="009B78DA">
        <w:rPr>
          <w:rFonts w:ascii="Arial" w:hAnsi="Arial" w:cs="Arial"/>
          <w:i/>
          <w:iCs/>
          <w:snapToGrid w:val="0"/>
          <w:color w:val="000000" w:themeColor="text1"/>
          <w:position w:val="8"/>
          <w:sz w:val="22"/>
          <w:szCs w:val="22"/>
        </w:rPr>
        <w:t xml:space="preserve">Analiza infrastruktury oraz potencjału Portu Lotniczego „Rzeszów – Jasionka” </w:t>
      </w:r>
      <w:r w:rsidR="00C60EAF" w:rsidRPr="009B78DA">
        <w:rPr>
          <w:rFonts w:ascii="Arial" w:hAnsi="Arial" w:cs="Arial"/>
          <w:i/>
          <w:iCs/>
          <w:snapToGrid w:val="0"/>
          <w:color w:val="000000" w:themeColor="text1"/>
          <w:position w:val="8"/>
          <w:sz w:val="22"/>
          <w:szCs w:val="22"/>
        </w:rPr>
        <w:br/>
      </w:r>
      <w:r w:rsidRPr="009B78DA">
        <w:rPr>
          <w:rFonts w:ascii="Arial" w:hAnsi="Arial" w:cs="Arial"/>
          <w:i/>
          <w:iCs/>
          <w:snapToGrid w:val="0"/>
          <w:color w:val="000000" w:themeColor="text1"/>
          <w:position w:val="8"/>
          <w:sz w:val="22"/>
          <w:szCs w:val="22"/>
        </w:rPr>
        <w:t>w perspektywie do 2030 r</w:t>
      </w:r>
      <w:r w:rsidRPr="009B78DA">
        <w:rPr>
          <w:rFonts w:ascii="Arial" w:hAnsi="Arial" w:cs="Arial"/>
          <w:snapToGrid w:val="0"/>
          <w:color w:val="000000" w:themeColor="text1"/>
          <w:position w:val="8"/>
          <w:sz w:val="22"/>
          <w:szCs w:val="22"/>
        </w:rPr>
        <w:t>.</w:t>
      </w:r>
    </w:p>
    <w:p w14:paraId="6B135238" w14:textId="57739903" w:rsidR="008D3E7F" w:rsidRPr="009B78DA" w:rsidRDefault="008D3E7F" w:rsidP="0066223D">
      <w:pPr>
        <w:pStyle w:val="Akapitzlist"/>
        <w:numPr>
          <w:ilvl w:val="0"/>
          <w:numId w:val="247"/>
        </w:numPr>
        <w:spacing w:after="0" w:line="276" w:lineRule="auto"/>
        <w:ind w:left="709" w:hanging="283"/>
        <w:rPr>
          <w:rFonts w:ascii="Arial" w:hAnsi="Arial" w:cs="Arial"/>
          <w:snapToGrid w:val="0"/>
          <w:color w:val="000000" w:themeColor="text1"/>
          <w:position w:val="8"/>
          <w:sz w:val="22"/>
          <w:szCs w:val="22"/>
        </w:rPr>
      </w:pPr>
      <w:r w:rsidRPr="009B78DA">
        <w:rPr>
          <w:rFonts w:ascii="Arial" w:hAnsi="Arial" w:cs="Arial"/>
          <w:i/>
          <w:iCs/>
          <w:snapToGrid w:val="0"/>
          <w:color w:val="000000" w:themeColor="text1"/>
          <w:position w:val="8"/>
          <w:sz w:val="22"/>
          <w:szCs w:val="22"/>
        </w:rPr>
        <w:t>Stan obecny i prognozowane zmiany sytuacji transportowej województwa podkarpackiego w świetle krajowych modeli ruch</w:t>
      </w:r>
      <w:r w:rsidR="00075917" w:rsidRPr="009B78DA">
        <w:rPr>
          <w:rFonts w:ascii="Arial" w:hAnsi="Arial" w:cs="Arial"/>
          <w:i/>
          <w:iCs/>
          <w:snapToGrid w:val="0"/>
          <w:color w:val="000000" w:themeColor="text1"/>
          <w:position w:val="8"/>
          <w:sz w:val="22"/>
          <w:szCs w:val="22"/>
        </w:rPr>
        <w:t>.</w:t>
      </w:r>
    </w:p>
    <w:p w14:paraId="5F461405" w14:textId="74B5937B" w:rsidR="008D3E7F" w:rsidRPr="009B78DA" w:rsidRDefault="008D3E7F" w:rsidP="0066223D">
      <w:pPr>
        <w:spacing w:after="0" w:line="276" w:lineRule="auto"/>
        <w:rPr>
          <w:rFonts w:ascii="Arial" w:hAnsi="Arial" w:cs="Arial"/>
          <w:snapToGrid w:val="0"/>
          <w:color w:val="000000" w:themeColor="text1"/>
          <w:position w:val="8"/>
          <w:sz w:val="22"/>
          <w:szCs w:val="22"/>
        </w:rPr>
      </w:pPr>
      <w:r w:rsidRPr="009B78DA">
        <w:rPr>
          <w:rFonts w:ascii="Arial" w:hAnsi="Arial" w:cs="Arial"/>
          <w:snapToGrid w:val="0"/>
          <w:color w:val="000000" w:themeColor="text1"/>
          <w:position w:val="8"/>
          <w:sz w:val="22"/>
          <w:szCs w:val="22"/>
        </w:rPr>
        <w:t xml:space="preserve">Realizowano również cykliczne spotkania Zespołu ds. przygotowania </w:t>
      </w:r>
      <w:r w:rsidRPr="009B78DA">
        <w:rPr>
          <w:rFonts w:ascii="Arial" w:hAnsi="Arial" w:cs="Arial"/>
          <w:i/>
          <w:iCs/>
          <w:snapToGrid w:val="0"/>
          <w:color w:val="000000" w:themeColor="text1"/>
          <w:position w:val="8"/>
          <w:sz w:val="22"/>
          <w:szCs w:val="22"/>
        </w:rPr>
        <w:t>Programu Strategicznego Rozwoju Transportu Województwa Podkarpackiego do roku 2</w:t>
      </w:r>
      <w:r w:rsidR="006E1A5E" w:rsidRPr="009B78DA">
        <w:rPr>
          <w:rFonts w:ascii="Arial" w:hAnsi="Arial" w:cs="Arial"/>
          <w:i/>
          <w:iCs/>
          <w:snapToGrid w:val="0"/>
          <w:color w:val="000000" w:themeColor="text1"/>
          <w:position w:val="8"/>
          <w:sz w:val="22"/>
          <w:szCs w:val="22"/>
        </w:rPr>
        <w:t>030</w:t>
      </w:r>
      <w:r w:rsidRPr="009B78DA">
        <w:rPr>
          <w:rFonts w:ascii="Arial" w:hAnsi="Arial" w:cs="Arial"/>
          <w:i/>
          <w:iCs/>
          <w:snapToGrid w:val="0"/>
          <w:color w:val="000000" w:themeColor="text1"/>
          <w:position w:val="8"/>
          <w:sz w:val="22"/>
          <w:szCs w:val="22"/>
        </w:rPr>
        <w:t>:</w:t>
      </w:r>
    </w:p>
    <w:p w14:paraId="55059454" w14:textId="53E72E94" w:rsidR="0066223D" w:rsidRPr="0066223D" w:rsidRDefault="008D3E7F" w:rsidP="0066223D">
      <w:pPr>
        <w:pStyle w:val="Akapitzlist"/>
        <w:numPr>
          <w:ilvl w:val="0"/>
          <w:numId w:val="248"/>
        </w:numPr>
        <w:spacing w:after="0" w:line="276" w:lineRule="auto"/>
        <w:ind w:left="782" w:hanging="357"/>
        <w:rPr>
          <w:rFonts w:ascii="Arial" w:hAnsi="Arial" w:cs="Arial"/>
          <w:snapToGrid w:val="0"/>
          <w:color w:val="000000" w:themeColor="text1"/>
          <w:position w:val="8"/>
          <w:sz w:val="22"/>
          <w:szCs w:val="22"/>
        </w:rPr>
      </w:pPr>
      <w:r w:rsidRPr="009B78DA">
        <w:rPr>
          <w:rFonts w:ascii="Arial" w:hAnsi="Arial" w:cs="Arial"/>
          <w:snapToGrid w:val="0"/>
          <w:color w:val="000000" w:themeColor="text1"/>
          <w:position w:val="8"/>
          <w:sz w:val="22"/>
          <w:szCs w:val="22"/>
        </w:rPr>
        <w:t>I posiedzenie Zespołu od</w:t>
      </w:r>
      <w:r w:rsidR="0066223D">
        <w:rPr>
          <w:rFonts w:ascii="Arial" w:hAnsi="Arial" w:cs="Arial"/>
          <w:snapToGrid w:val="0"/>
          <w:color w:val="000000" w:themeColor="text1"/>
          <w:position w:val="8"/>
          <w:sz w:val="22"/>
          <w:szCs w:val="22"/>
        </w:rPr>
        <w:t>było się w dniu 29 maja 2020 r.</w:t>
      </w:r>
      <w:r w:rsidR="0066223D">
        <w:rPr>
          <w:rFonts w:ascii="Arial" w:hAnsi="Arial" w:cs="Arial"/>
          <w:snapToGrid w:val="0"/>
          <w:color w:val="000000" w:themeColor="text1"/>
          <w:position w:val="8"/>
          <w:sz w:val="22"/>
          <w:szCs w:val="22"/>
        </w:rPr>
        <w:br/>
      </w:r>
      <w:r w:rsidRPr="0066223D">
        <w:rPr>
          <w:rFonts w:ascii="Arial" w:hAnsi="Arial" w:cs="Arial"/>
          <w:color w:val="000000" w:themeColor="text1"/>
          <w:sz w:val="22"/>
          <w:szCs w:val="22"/>
        </w:rPr>
        <w:t xml:space="preserve">Celem spotkania było przedstawienie ogólnej informacji nt. konieczności spełnienia warunkowości podstawowej w zakresie Celu Polityki 3 na poziomie regionalnym, </w:t>
      </w:r>
      <w:r w:rsidR="006E1A5E" w:rsidRPr="0066223D">
        <w:rPr>
          <w:rFonts w:ascii="Arial" w:hAnsi="Arial" w:cs="Arial"/>
          <w:color w:val="000000" w:themeColor="text1"/>
          <w:sz w:val="22"/>
          <w:szCs w:val="22"/>
        </w:rPr>
        <w:br/>
      </w:r>
      <w:r w:rsidRPr="0066223D">
        <w:rPr>
          <w:rFonts w:ascii="Arial" w:hAnsi="Arial" w:cs="Arial"/>
          <w:color w:val="000000" w:themeColor="text1"/>
          <w:sz w:val="22"/>
          <w:szCs w:val="22"/>
        </w:rPr>
        <w:t>w perspektywie finansowej 2021 – 2027. Ponadto om</w:t>
      </w:r>
      <w:r w:rsidR="004015BE" w:rsidRPr="0066223D">
        <w:rPr>
          <w:rFonts w:ascii="Arial" w:hAnsi="Arial" w:cs="Arial"/>
          <w:color w:val="000000" w:themeColor="text1"/>
          <w:sz w:val="22"/>
          <w:szCs w:val="22"/>
        </w:rPr>
        <w:t>awiano</w:t>
      </w:r>
      <w:r w:rsidRPr="0066223D">
        <w:rPr>
          <w:rFonts w:ascii="Arial" w:hAnsi="Arial" w:cs="Arial"/>
          <w:color w:val="000000" w:themeColor="text1"/>
          <w:sz w:val="22"/>
          <w:szCs w:val="22"/>
        </w:rPr>
        <w:t xml:space="preserve"> wydatkowani</w:t>
      </w:r>
      <w:r w:rsidR="004015BE" w:rsidRPr="0066223D">
        <w:rPr>
          <w:rFonts w:ascii="Arial" w:hAnsi="Arial" w:cs="Arial"/>
          <w:color w:val="000000" w:themeColor="text1"/>
          <w:sz w:val="22"/>
          <w:szCs w:val="22"/>
        </w:rPr>
        <w:t>e</w:t>
      </w:r>
      <w:r w:rsidRPr="0066223D">
        <w:rPr>
          <w:rFonts w:ascii="Arial" w:hAnsi="Arial" w:cs="Arial"/>
          <w:color w:val="000000" w:themeColor="text1"/>
          <w:sz w:val="22"/>
          <w:szCs w:val="22"/>
        </w:rPr>
        <w:t xml:space="preserve"> środków na realizacj</w:t>
      </w:r>
      <w:r w:rsidR="004015BE" w:rsidRPr="0066223D">
        <w:rPr>
          <w:rFonts w:ascii="Arial" w:hAnsi="Arial" w:cs="Arial"/>
          <w:color w:val="000000" w:themeColor="text1"/>
          <w:sz w:val="22"/>
          <w:szCs w:val="22"/>
        </w:rPr>
        <w:t>ę</w:t>
      </w:r>
      <w:r w:rsidRPr="0066223D">
        <w:rPr>
          <w:rFonts w:ascii="Arial" w:hAnsi="Arial" w:cs="Arial"/>
          <w:color w:val="000000" w:themeColor="text1"/>
          <w:sz w:val="22"/>
          <w:szCs w:val="22"/>
        </w:rPr>
        <w:t xml:space="preserve"> projektów w zakresie infrastruktury transportowej, finansowanych </w:t>
      </w:r>
      <w:r w:rsidR="006E1A5E" w:rsidRPr="0066223D">
        <w:rPr>
          <w:rFonts w:ascii="Arial" w:hAnsi="Arial" w:cs="Arial"/>
          <w:color w:val="000000" w:themeColor="text1"/>
          <w:sz w:val="22"/>
          <w:szCs w:val="22"/>
        </w:rPr>
        <w:br/>
      </w:r>
      <w:r w:rsidR="0066223D">
        <w:rPr>
          <w:rFonts w:ascii="Arial" w:hAnsi="Arial" w:cs="Arial"/>
          <w:color w:val="000000" w:themeColor="text1"/>
          <w:sz w:val="22"/>
          <w:szCs w:val="22"/>
        </w:rPr>
        <w:t>w ramach RPO WP 2014-2020.</w:t>
      </w:r>
    </w:p>
    <w:p w14:paraId="6351172D" w14:textId="41AEF901" w:rsidR="0066223D" w:rsidRPr="0066223D" w:rsidRDefault="008D3E7F" w:rsidP="0066223D">
      <w:pPr>
        <w:pStyle w:val="Akapitzlist"/>
        <w:numPr>
          <w:ilvl w:val="0"/>
          <w:numId w:val="248"/>
        </w:numPr>
        <w:spacing w:after="0" w:line="276" w:lineRule="auto"/>
        <w:ind w:left="782" w:hanging="357"/>
        <w:rPr>
          <w:rFonts w:ascii="Arial" w:hAnsi="Arial" w:cs="Arial"/>
          <w:snapToGrid w:val="0"/>
          <w:color w:val="000000" w:themeColor="text1"/>
          <w:position w:val="8"/>
          <w:sz w:val="22"/>
          <w:szCs w:val="22"/>
        </w:rPr>
      </w:pPr>
      <w:r w:rsidRPr="0066223D">
        <w:rPr>
          <w:rFonts w:ascii="Arial" w:hAnsi="Arial" w:cs="Arial"/>
          <w:snapToGrid w:val="0"/>
          <w:color w:val="000000" w:themeColor="text1"/>
          <w:position w:val="8"/>
          <w:sz w:val="22"/>
          <w:szCs w:val="22"/>
        </w:rPr>
        <w:t>II posiedzenie Zespołu odbyło w dniu 30 czerwca 2020 r.</w:t>
      </w:r>
      <w:r w:rsidR="0066223D">
        <w:rPr>
          <w:rFonts w:ascii="Arial" w:hAnsi="Arial" w:cs="Arial"/>
          <w:snapToGrid w:val="0"/>
          <w:color w:val="000000" w:themeColor="text1"/>
          <w:position w:val="8"/>
          <w:sz w:val="22"/>
          <w:szCs w:val="22"/>
        </w:rPr>
        <w:br/>
      </w:r>
      <w:r w:rsidRPr="0066223D">
        <w:rPr>
          <w:rFonts w:ascii="Arial" w:hAnsi="Arial" w:cs="Arial"/>
          <w:color w:val="000000" w:themeColor="text1"/>
          <w:sz w:val="22"/>
          <w:szCs w:val="22"/>
        </w:rPr>
        <w:t>Podczas spotkania zaprezentowano podstawowe dane nt. Zintegrowanego Modelu Ruchu (Centrum Unijnych Projektów Transportowych), przedstawi</w:t>
      </w:r>
      <w:r w:rsidR="004015BE" w:rsidRPr="0066223D">
        <w:rPr>
          <w:rFonts w:ascii="Arial" w:hAnsi="Arial" w:cs="Arial"/>
          <w:color w:val="000000" w:themeColor="text1"/>
          <w:sz w:val="22"/>
          <w:szCs w:val="22"/>
        </w:rPr>
        <w:t>ono</w:t>
      </w:r>
      <w:r w:rsidRPr="0066223D">
        <w:rPr>
          <w:rFonts w:ascii="Arial" w:hAnsi="Arial" w:cs="Arial"/>
          <w:color w:val="000000" w:themeColor="text1"/>
          <w:sz w:val="22"/>
          <w:szCs w:val="22"/>
        </w:rPr>
        <w:t xml:space="preserve"> informacj</w:t>
      </w:r>
      <w:r w:rsidR="004015BE" w:rsidRPr="0066223D">
        <w:rPr>
          <w:rFonts w:ascii="Arial" w:hAnsi="Arial" w:cs="Arial"/>
          <w:color w:val="000000" w:themeColor="text1"/>
          <w:sz w:val="22"/>
          <w:szCs w:val="22"/>
        </w:rPr>
        <w:t>ę</w:t>
      </w:r>
      <w:r w:rsidRPr="0066223D">
        <w:rPr>
          <w:rFonts w:ascii="Arial" w:hAnsi="Arial" w:cs="Arial"/>
          <w:color w:val="000000" w:themeColor="text1"/>
          <w:sz w:val="22"/>
          <w:szCs w:val="22"/>
        </w:rPr>
        <w:t xml:space="preserve"> </w:t>
      </w:r>
      <w:r w:rsidR="0066223D">
        <w:rPr>
          <w:rFonts w:ascii="Arial" w:hAnsi="Arial" w:cs="Arial"/>
          <w:color w:val="000000" w:themeColor="text1"/>
          <w:sz w:val="22"/>
          <w:szCs w:val="22"/>
        </w:rPr>
        <w:br/>
      </w:r>
      <w:r w:rsidRPr="0066223D">
        <w:rPr>
          <w:rFonts w:ascii="Arial" w:hAnsi="Arial" w:cs="Arial"/>
          <w:color w:val="000000" w:themeColor="text1"/>
          <w:sz w:val="22"/>
          <w:szCs w:val="22"/>
        </w:rPr>
        <w:t xml:space="preserve">nt. szeroko rozumianego stanu transportu w regionie oraz planów jego rozwoju </w:t>
      </w:r>
      <w:r w:rsidR="0066223D" w:rsidRPr="0066223D">
        <w:rPr>
          <w:rFonts w:ascii="Arial" w:hAnsi="Arial" w:cs="Arial"/>
          <w:color w:val="000000" w:themeColor="text1"/>
          <w:sz w:val="22"/>
          <w:szCs w:val="22"/>
        </w:rPr>
        <w:br/>
      </w:r>
      <w:r w:rsidRPr="0066223D">
        <w:rPr>
          <w:rFonts w:ascii="Arial" w:hAnsi="Arial" w:cs="Arial"/>
          <w:color w:val="000000" w:themeColor="text1"/>
          <w:sz w:val="22"/>
          <w:szCs w:val="22"/>
        </w:rPr>
        <w:t>w perspektywie 2020-2030, a także powiązanych z tą problematyką zjawisk społeczno-gospodarczych.</w:t>
      </w:r>
    </w:p>
    <w:p w14:paraId="2E02DB15" w14:textId="0832E290" w:rsidR="0066223D" w:rsidRPr="0066223D" w:rsidRDefault="008D3E7F" w:rsidP="0066223D">
      <w:pPr>
        <w:pStyle w:val="Akapitzlist"/>
        <w:numPr>
          <w:ilvl w:val="0"/>
          <w:numId w:val="248"/>
        </w:numPr>
        <w:spacing w:after="0" w:line="276" w:lineRule="auto"/>
        <w:ind w:left="782" w:hanging="357"/>
        <w:rPr>
          <w:rFonts w:ascii="Arial" w:hAnsi="Arial" w:cs="Arial"/>
          <w:snapToGrid w:val="0"/>
          <w:color w:val="000000" w:themeColor="text1"/>
          <w:position w:val="8"/>
          <w:sz w:val="22"/>
          <w:szCs w:val="22"/>
        </w:rPr>
      </w:pPr>
      <w:r w:rsidRPr="0066223D">
        <w:rPr>
          <w:rFonts w:ascii="Arial" w:hAnsi="Arial" w:cs="Arial"/>
          <w:snapToGrid w:val="0"/>
          <w:color w:val="000000" w:themeColor="text1"/>
          <w:position w:val="8"/>
          <w:sz w:val="22"/>
          <w:szCs w:val="22"/>
        </w:rPr>
        <w:t>III posiedzenie Zespołu odbyło się w dniu 16 października 2</w:t>
      </w:r>
      <w:r w:rsidR="0066223D" w:rsidRPr="0066223D">
        <w:rPr>
          <w:rFonts w:ascii="Arial" w:hAnsi="Arial" w:cs="Arial"/>
          <w:snapToGrid w:val="0"/>
          <w:color w:val="000000" w:themeColor="text1"/>
          <w:position w:val="8"/>
          <w:sz w:val="22"/>
          <w:szCs w:val="22"/>
        </w:rPr>
        <w:t>020 r.</w:t>
      </w:r>
      <w:r w:rsidR="0066223D">
        <w:rPr>
          <w:rFonts w:ascii="Arial" w:hAnsi="Arial" w:cs="Arial"/>
          <w:snapToGrid w:val="0"/>
          <w:color w:val="000000" w:themeColor="text1"/>
          <w:position w:val="8"/>
          <w:sz w:val="22"/>
          <w:szCs w:val="22"/>
        </w:rPr>
        <w:br/>
      </w:r>
      <w:r w:rsidRPr="0066223D">
        <w:rPr>
          <w:rFonts w:ascii="Arial" w:hAnsi="Arial" w:cs="Arial"/>
          <w:color w:val="000000" w:themeColor="text1"/>
          <w:sz w:val="22"/>
          <w:szCs w:val="22"/>
        </w:rPr>
        <w:t xml:space="preserve">Celem spotkania była prezentacja projektu </w:t>
      </w:r>
      <w:r w:rsidRPr="0066223D">
        <w:rPr>
          <w:rFonts w:ascii="Arial" w:hAnsi="Arial" w:cs="Arial"/>
          <w:i/>
          <w:iCs/>
          <w:color w:val="000000" w:themeColor="text1"/>
          <w:sz w:val="22"/>
          <w:szCs w:val="22"/>
        </w:rPr>
        <w:t>Diagnozy Stanu Systemu Transportowego w Województwie Podkarpackim</w:t>
      </w:r>
      <w:r w:rsidRPr="0066223D">
        <w:rPr>
          <w:rFonts w:ascii="Arial" w:hAnsi="Arial" w:cs="Arial"/>
          <w:color w:val="000000" w:themeColor="text1"/>
          <w:sz w:val="22"/>
          <w:szCs w:val="22"/>
        </w:rPr>
        <w:t>. Ponadto wskazan</w:t>
      </w:r>
      <w:r w:rsidR="004015BE" w:rsidRPr="0066223D">
        <w:rPr>
          <w:rFonts w:ascii="Arial" w:hAnsi="Arial" w:cs="Arial"/>
          <w:color w:val="000000" w:themeColor="text1"/>
          <w:sz w:val="22"/>
          <w:szCs w:val="22"/>
        </w:rPr>
        <w:t>o</w:t>
      </w:r>
      <w:r w:rsidRPr="0066223D">
        <w:rPr>
          <w:rFonts w:ascii="Arial" w:hAnsi="Arial" w:cs="Arial"/>
          <w:color w:val="000000" w:themeColor="text1"/>
          <w:sz w:val="22"/>
          <w:szCs w:val="22"/>
        </w:rPr>
        <w:t xml:space="preserve"> zastosowani</w:t>
      </w:r>
      <w:r w:rsidR="004015BE" w:rsidRPr="0066223D">
        <w:rPr>
          <w:rFonts w:ascii="Arial" w:hAnsi="Arial" w:cs="Arial"/>
          <w:color w:val="000000" w:themeColor="text1"/>
          <w:sz w:val="22"/>
          <w:szCs w:val="22"/>
        </w:rPr>
        <w:t>e</w:t>
      </w:r>
      <w:r w:rsidRPr="0066223D">
        <w:rPr>
          <w:rFonts w:ascii="Arial" w:hAnsi="Arial" w:cs="Arial"/>
          <w:color w:val="000000" w:themeColor="text1"/>
          <w:sz w:val="22"/>
          <w:szCs w:val="22"/>
        </w:rPr>
        <w:t xml:space="preserve"> analizy popytowej uzupełnionej o wykorzystanie elementów istniejących modeli krajowych jako rozwiązania na potrzeby PSRT WP. Przedłożono także pod dyskusję wstępny projekt celów i kierunków rozwoju systemu transportowe</w:t>
      </w:r>
      <w:r w:rsidR="0066223D">
        <w:rPr>
          <w:rFonts w:ascii="Arial" w:hAnsi="Arial" w:cs="Arial"/>
          <w:color w:val="000000" w:themeColor="text1"/>
          <w:sz w:val="22"/>
          <w:szCs w:val="22"/>
        </w:rPr>
        <w:t>go w województwie podkarpackim.</w:t>
      </w:r>
    </w:p>
    <w:p w14:paraId="4BBA128D" w14:textId="232A6C0E" w:rsidR="0066223D" w:rsidRDefault="008D3E7F" w:rsidP="0066223D">
      <w:pPr>
        <w:pStyle w:val="Akapitzlist"/>
        <w:numPr>
          <w:ilvl w:val="0"/>
          <w:numId w:val="248"/>
        </w:numPr>
        <w:spacing w:after="0" w:line="276" w:lineRule="auto"/>
        <w:ind w:left="782" w:hanging="357"/>
        <w:rPr>
          <w:rFonts w:ascii="Arial" w:hAnsi="Arial" w:cs="Arial"/>
          <w:snapToGrid w:val="0"/>
          <w:color w:val="000000" w:themeColor="text1"/>
          <w:position w:val="8"/>
          <w:sz w:val="22"/>
          <w:szCs w:val="22"/>
        </w:rPr>
      </w:pPr>
      <w:r w:rsidRPr="0066223D">
        <w:rPr>
          <w:rFonts w:ascii="Arial" w:hAnsi="Arial" w:cs="Arial"/>
          <w:snapToGrid w:val="0"/>
          <w:color w:val="000000" w:themeColor="text1"/>
          <w:position w:val="8"/>
          <w:sz w:val="22"/>
          <w:szCs w:val="22"/>
        </w:rPr>
        <w:t xml:space="preserve">IV posiedzenie Zespołu odbyło się w dniu 22 grudnia 2020 r. </w:t>
      </w:r>
      <w:r w:rsidR="0066223D">
        <w:rPr>
          <w:rFonts w:ascii="Arial" w:hAnsi="Arial" w:cs="Arial"/>
          <w:snapToGrid w:val="0"/>
          <w:color w:val="000000" w:themeColor="text1"/>
          <w:position w:val="8"/>
          <w:sz w:val="22"/>
          <w:szCs w:val="22"/>
        </w:rPr>
        <w:br/>
      </w:r>
      <w:r w:rsidRPr="0066223D">
        <w:rPr>
          <w:rFonts w:ascii="Arial" w:hAnsi="Arial" w:cs="Arial"/>
          <w:snapToGrid w:val="0"/>
          <w:color w:val="000000" w:themeColor="text1"/>
          <w:position w:val="8"/>
          <w:sz w:val="22"/>
          <w:szCs w:val="22"/>
        </w:rPr>
        <w:t xml:space="preserve">Spotkanie poświęcone było przede wszystkim zaprezentowaniu informacji </w:t>
      </w:r>
      <w:r w:rsidR="0066223D">
        <w:rPr>
          <w:rFonts w:ascii="Arial" w:hAnsi="Arial" w:cs="Arial"/>
          <w:snapToGrid w:val="0"/>
          <w:color w:val="000000" w:themeColor="text1"/>
          <w:position w:val="8"/>
          <w:sz w:val="22"/>
          <w:szCs w:val="22"/>
        </w:rPr>
        <w:br/>
      </w:r>
      <w:r w:rsidRPr="0066223D">
        <w:rPr>
          <w:rFonts w:ascii="Arial" w:hAnsi="Arial" w:cs="Arial"/>
          <w:snapToGrid w:val="0"/>
          <w:color w:val="000000" w:themeColor="text1"/>
          <w:position w:val="8"/>
          <w:sz w:val="22"/>
          <w:szCs w:val="22"/>
        </w:rPr>
        <w:t>w zakresie inwestycji transportowych planowanych do zrealizowania na terenie województwa podkarpackiego do roku 2030. Przedstawione zostały m. in. planowane inwestycje drogowe i kolejowe (materiały zaprezentowali przedstawiciele PKP Polskich Linii Kolejowych S.A.; Zakładu Linii Kolejowych w Rzeszowie S.A.; Generalnej Dyrekcji Dróg Krajowych i Autostrad - Oddział w Rzeszowie; Podkarpackiego Zarządu Dróg Wojewódzkich w Rzeszowie).</w:t>
      </w:r>
    </w:p>
    <w:p w14:paraId="63D525C3" w14:textId="77777777" w:rsidR="0066223D" w:rsidRDefault="00CF1086" w:rsidP="0066223D">
      <w:pPr>
        <w:pStyle w:val="Akapitzlist"/>
        <w:numPr>
          <w:ilvl w:val="0"/>
          <w:numId w:val="248"/>
        </w:numPr>
        <w:spacing w:after="0" w:line="276" w:lineRule="auto"/>
        <w:ind w:left="782" w:hanging="357"/>
        <w:rPr>
          <w:rFonts w:ascii="Arial" w:hAnsi="Arial" w:cs="Arial"/>
          <w:snapToGrid w:val="0"/>
          <w:color w:val="000000" w:themeColor="text1"/>
          <w:position w:val="8"/>
          <w:sz w:val="22"/>
          <w:szCs w:val="22"/>
        </w:rPr>
      </w:pPr>
      <w:r w:rsidRPr="0066223D">
        <w:rPr>
          <w:rFonts w:ascii="Arial" w:hAnsi="Arial" w:cs="Arial"/>
          <w:snapToGrid w:val="0"/>
          <w:color w:val="000000" w:themeColor="text1"/>
          <w:position w:val="8"/>
          <w:sz w:val="22"/>
          <w:szCs w:val="22"/>
        </w:rPr>
        <w:t xml:space="preserve">V posiedzenie Zespołu odbyło się w dniu 14 lipca 2021 r. </w:t>
      </w:r>
      <w:r w:rsidR="0066223D">
        <w:rPr>
          <w:rFonts w:ascii="Arial" w:hAnsi="Arial" w:cs="Arial"/>
          <w:snapToGrid w:val="0"/>
          <w:color w:val="000000" w:themeColor="text1"/>
          <w:position w:val="8"/>
          <w:sz w:val="22"/>
          <w:szCs w:val="22"/>
        </w:rPr>
        <w:br/>
      </w:r>
      <w:r w:rsidRPr="0066223D">
        <w:rPr>
          <w:rFonts w:ascii="Arial" w:hAnsi="Arial" w:cs="Arial"/>
          <w:snapToGrid w:val="0"/>
          <w:color w:val="000000" w:themeColor="text1"/>
          <w:position w:val="8"/>
          <w:sz w:val="22"/>
          <w:szCs w:val="22"/>
        </w:rPr>
        <w:t xml:space="preserve">Spotkanie poświęcone było przede wszystkim zaprezentowaniu i omówieniu kryteriów priorytetyzujących inwestycje w zakresie dróg wojewódzkich planowanych do realizacji w PSRT WP. </w:t>
      </w:r>
    </w:p>
    <w:p w14:paraId="5E180D33" w14:textId="77777777" w:rsidR="0066223D" w:rsidRPr="0066223D" w:rsidRDefault="00177B08" w:rsidP="0066223D">
      <w:pPr>
        <w:pStyle w:val="Akapitzlist"/>
        <w:numPr>
          <w:ilvl w:val="0"/>
          <w:numId w:val="248"/>
        </w:numPr>
        <w:spacing w:after="0" w:line="276" w:lineRule="auto"/>
        <w:ind w:left="782" w:hanging="357"/>
        <w:rPr>
          <w:rFonts w:ascii="Arial" w:hAnsi="Arial" w:cs="Arial"/>
          <w:snapToGrid w:val="0"/>
          <w:color w:val="000000" w:themeColor="text1"/>
          <w:position w:val="8"/>
          <w:sz w:val="22"/>
          <w:szCs w:val="22"/>
        </w:rPr>
      </w:pPr>
      <w:r w:rsidRPr="0066223D">
        <w:rPr>
          <w:rFonts w:ascii="Arial" w:hAnsi="Arial" w:cs="Arial"/>
          <w:color w:val="000000" w:themeColor="text1"/>
          <w:sz w:val="22"/>
          <w:szCs w:val="22"/>
        </w:rPr>
        <w:t xml:space="preserve">VI posiedzenie Zespołu odbyło się 10 stycznia 2022 r. </w:t>
      </w:r>
      <w:r w:rsidR="0066223D">
        <w:rPr>
          <w:rFonts w:ascii="Arial" w:hAnsi="Arial" w:cs="Arial"/>
          <w:color w:val="000000" w:themeColor="text1"/>
          <w:sz w:val="22"/>
          <w:szCs w:val="22"/>
        </w:rPr>
        <w:br/>
      </w:r>
      <w:r w:rsidRPr="0066223D">
        <w:rPr>
          <w:rFonts w:ascii="Arial" w:hAnsi="Arial" w:cs="Arial"/>
          <w:color w:val="000000" w:themeColor="text1"/>
          <w:sz w:val="22"/>
          <w:szCs w:val="22"/>
        </w:rPr>
        <w:t xml:space="preserve">Spotkanie poświęcone było zaprezentowaniu projektu PSRT WP po wprowadzonych zmianach, które były wynikiem przeprowadzonych konsultacji z przedstawicielami  inicjatywy </w:t>
      </w:r>
      <w:r w:rsidR="00817602" w:rsidRPr="0066223D">
        <w:rPr>
          <w:rFonts w:ascii="Arial" w:hAnsi="Arial" w:cs="Arial"/>
          <w:color w:val="000000" w:themeColor="text1"/>
          <w:sz w:val="22"/>
          <w:szCs w:val="22"/>
        </w:rPr>
        <w:t>JASPERS</w:t>
      </w:r>
      <w:r w:rsidRPr="0066223D">
        <w:rPr>
          <w:rFonts w:ascii="Arial" w:hAnsi="Arial" w:cs="Arial"/>
          <w:color w:val="000000" w:themeColor="text1"/>
          <w:sz w:val="22"/>
          <w:szCs w:val="22"/>
        </w:rPr>
        <w:t xml:space="preserve"> w dniu 20 września 2021 r. Podczas spotkania zaprezentowano nowy układ Programu, omówiono zmiany, jakie zostały wdrożone w wyniku przeprowadzonych rozmów z ekspertami </w:t>
      </w:r>
      <w:r w:rsidR="00817602" w:rsidRPr="0066223D">
        <w:rPr>
          <w:rFonts w:ascii="Arial" w:hAnsi="Arial" w:cs="Arial"/>
          <w:color w:val="000000" w:themeColor="text1"/>
          <w:sz w:val="22"/>
          <w:szCs w:val="22"/>
        </w:rPr>
        <w:t>JASPERS</w:t>
      </w:r>
      <w:r w:rsidRPr="0066223D">
        <w:rPr>
          <w:rFonts w:ascii="Arial" w:hAnsi="Arial" w:cs="Arial"/>
          <w:color w:val="000000" w:themeColor="text1"/>
          <w:sz w:val="22"/>
          <w:szCs w:val="22"/>
        </w:rPr>
        <w:t>, a także przedstawiono dalsze etapy prac nad dokumentem.</w:t>
      </w:r>
    </w:p>
    <w:p w14:paraId="0D4E769C" w14:textId="65CB7B9A" w:rsidR="00177B08" w:rsidRPr="0066223D" w:rsidRDefault="00177B08" w:rsidP="0066223D">
      <w:pPr>
        <w:pStyle w:val="Akapitzlist"/>
        <w:numPr>
          <w:ilvl w:val="0"/>
          <w:numId w:val="248"/>
        </w:numPr>
        <w:spacing w:after="0" w:line="276" w:lineRule="auto"/>
        <w:ind w:left="782" w:hanging="357"/>
        <w:rPr>
          <w:rFonts w:ascii="Arial" w:hAnsi="Arial" w:cs="Arial"/>
          <w:snapToGrid w:val="0"/>
          <w:color w:val="000000" w:themeColor="text1"/>
          <w:position w:val="8"/>
          <w:sz w:val="22"/>
          <w:szCs w:val="22"/>
        </w:rPr>
      </w:pPr>
      <w:r w:rsidRPr="0066223D">
        <w:rPr>
          <w:rFonts w:ascii="Arial" w:hAnsi="Arial" w:cs="Arial"/>
          <w:color w:val="000000" w:themeColor="text1"/>
          <w:sz w:val="22"/>
          <w:szCs w:val="22"/>
        </w:rPr>
        <w:t xml:space="preserve">VII posiedzenie Zespołu odbyło się 4 kwietnia 2022 r. </w:t>
      </w:r>
      <w:r w:rsidR="0066223D">
        <w:rPr>
          <w:rFonts w:ascii="Arial" w:hAnsi="Arial" w:cs="Arial"/>
          <w:color w:val="000000" w:themeColor="text1"/>
          <w:sz w:val="22"/>
          <w:szCs w:val="22"/>
        </w:rPr>
        <w:br/>
      </w:r>
      <w:r w:rsidRPr="0066223D">
        <w:rPr>
          <w:rFonts w:ascii="Arial" w:hAnsi="Arial" w:cs="Arial"/>
          <w:color w:val="000000" w:themeColor="text1"/>
          <w:sz w:val="22"/>
          <w:szCs w:val="22"/>
        </w:rPr>
        <w:t xml:space="preserve">Podczas spotkania podsumowano wyniki przeprowadzonych w dniach 28 stycznia 2022 r. – 7 marca 2022 r. konsultacji społecznych projektu PSRT WP oraz projektu </w:t>
      </w:r>
      <w:r w:rsidRPr="0066223D">
        <w:rPr>
          <w:rFonts w:ascii="Arial" w:hAnsi="Arial" w:cs="Arial"/>
          <w:i/>
          <w:iCs/>
          <w:color w:val="000000" w:themeColor="text1"/>
          <w:sz w:val="22"/>
          <w:szCs w:val="22"/>
        </w:rPr>
        <w:t>Prognozy oddziaływania na środowisko</w:t>
      </w:r>
      <w:r w:rsidRPr="0066223D">
        <w:rPr>
          <w:rFonts w:ascii="Arial" w:hAnsi="Arial" w:cs="Arial"/>
          <w:color w:val="000000" w:themeColor="text1"/>
          <w:sz w:val="22"/>
          <w:szCs w:val="22"/>
        </w:rPr>
        <w:t xml:space="preserve"> przygotowanej do niniejszego dokumentu. Na spotkaniu przedstawiono Członkom Zespołu propozycję stanowisk</w:t>
      </w:r>
      <w:r w:rsidR="00BB50C9" w:rsidRPr="0066223D">
        <w:rPr>
          <w:rFonts w:ascii="Arial" w:hAnsi="Arial" w:cs="Arial"/>
          <w:color w:val="000000" w:themeColor="text1"/>
          <w:sz w:val="22"/>
          <w:szCs w:val="22"/>
        </w:rPr>
        <w:t xml:space="preserve"> </w:t>
      </w:r>
      <w:r w:rsidRPr="0066223D">
        <w:rPr>
          <w:rFonts w:ascii="Arial" w:hAnsi="Arial" w:cs="Arial"/>
          <w:color w:val="000000" w:themeColor="text1"/>
          <w:sz w:val="22"/>
          <w:szCs w:val="22"/>
        </w:rPr>
        <w:t xml:space="preserve">Zarządu Województwa Podkarpackiego do zgłoszonych w wyniku konsultacji uwag, które uprzednio zostały wspólnie wypracowane z przedstawicielami kluczowych systemów transportowych. Spotkanie miało na celu wypracowanie ostatecznych stanowisk do zgłoszonych uwag, zawartych w </w:t>
      </w:r>
      <w:r w:rsidRPr="0066223D">
        <w:rPr>
          <w:rFonts w:ascii="Arial" w:hAnsi="Arial" w:cs="Arial"/>
          <w:i/>
          <w:iCs/>
          <w:color w:val="000000" w:themeColor="text1"/>
          <w:sz w:val="22"/>
          <w:szCs w:val="22"/>
        </w:rPr>
        <w:t>Raporcie z konsultacji społecznych projektu Programu Strategicznego Rozwoju Transportu Województwa Podkarpackiego do roku 2030 oraz projektu Prognozy Oddziaływania na środowisko,</w:t>
      </w:r>
      <w:r w:rsidRPr="0066223D">
        <w:rPr>
          <w:rFonts w:ascii="Arial" w:hAnsi="Arial" w:cs="Arial"/>
          <w:color w:val="000000" w:themeColor="text1"/>
          <w:sz w:val="22"/>
          <w:szCs w:val="22"/>
        </w:rPr>
        <w:t xml:space="preserve"> który następnie został przyjęty przez Zarząd Województwa Podkarpackiego uchwałą nr </w:t>
      </w:r>
      <w:r w:rsidRPr="0066223D">
        <w:rPr>
          <w:rFonts w:ascii="Arial" w:eastAsiaTheme="minorHAnsi" w:hAnsi="Arial" w:cs="Arial"/>
          <w:color w:val="000000" w:themeColor="text1"/>
          <w:sz w:val="22"/>
          <w:szCs w:val="22"/>
        </w:rPr>
        <w:t xml:space="preserve">76/7505/22 </w:t>
      </w:r>
      <w:r w:rsidRPr="0066223D">
        <w:rPr>
          <w:rFonts w:ascii="Arial" w:hAnsi="Arial" w:cs="Arial"/>
          <w:color w:val="000000" w:themeColor="text1"/>
          <w:sz w:val="22"/>
          <w:szCs w:val="22"/>
        </w:rPr>
        <w:t xml:space="preserve">w dniu 5 kwietnia 2022r. </w:t>
      </w:r>
    </w:p>
    <w:p w14:paraId="5BA5586A" w14:textId="27B22180" w:rsidR="004015BE" w:rsidRPr="009B78DA" w:rsidRDefault="00302CA0" w:rsidP="0066223D">
      <w:pPr>
        <w:spacing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Zrealizowano również konsultację roboczych wersji dokumentów z ekspertami JASPERS</w:t>
      </w:r>
      <w:r w:rsidR="004015BE" w:rsidRPr="009B78DA">
        <w:rPr>
          <w:rFonts w:ascii="Arial" w:hAnsi="Arial" w:cs="Arial"/>
          <w:color w:val="000000" w:themeColor="text1"/>
          <w:sz w:val="22"/>
          <w:szCs w:val="22"/>
        </w:rPr>
        <w:t>, poddając</w:t>
      </w:r>
      <w:r w:rsidR="00BE714F" w:rsidRPr="009B78DA">
        <w:rPr>
          <w:rFonts w:ascii="Arial" w:hAnsi="Arial" w:cs="Arial"/>
          <w:color w:val="000000" w:themeColor="text1"/>
          <w:sz w:val="22"/>
          <w:szCs w:val="22"/>
        </w:rPr>
        <w:t xml:space="preserve"> </w:t>
      </w:r>
      <w:r w:rsidR="004C0868" w:rsidRPr="009B78DA">
        <w:rPr>
          <w:rFonts w:ascii="Arial" w:hAnsi="Arial" w:cs="Arial"/>
          <w:color w:val="000000" w:themeColor="text1"/>
          <w:sz w:val="22"/>
          <w:szCs w:val="22"/>
        </w:rPr>
        <w:t>analizie</w:t>
      </w:r>
      <w:r w:rsidR="004015BE" w:rsidRPr="009B78DA">
        <w:rPr>
          <w:rFonts w:ascii="Arial" w:hAnsi="Arial" w:cs="Arial"/>
          <w:color w:val="000000" w:themeColor="text1"/>
          <w:sz w:val="22"/>
          <w:szCs w:val="22"/>
        </w:rPr>
        <w:t xml:space="preserve"> </w:t>
      </w:r>
      <w:r w:rsidR="008D3E7F" w:rsidRPr="009B78DA">
        <w:rPr>
          <w:rFonts w:ascii="Arial" w:hAnsi="Arial" w:cs="Arial"/>
          <w:i/>
          <w:iCs/>
          <w:color w:val="000000" w:themeColor="text1"/>
          <w:sz w:val="22"/>
          <w:szCs w:val="22"/>
        </w:rPr>
        <w:t>Diagnozę Stanu Systemu Transportowego w Województwie Podkarpackim</w:t>
      </w:r>
      <w:r w:rsidR="008D3E7F" w:rsidRPr="009B78DA">
        <w:rPr>
          <w:rFonts w:ascii="Arial" w:hAnsi="Arial" w:cs="Arial"/>
          <w:color w:val="000000" w:themeColor="text1"/>
          <w:sz w:val="22"/>
          <w:szCs w:val="22"/>
        </w:rPr>
        <w:t xml:space="preserve"> (wraz z syntezą</w:t>
      </w:r>
      <w:r w:rsidR="004015BE" w:rsidRPr="009B78DA">
        <w:rPr>
          <w:rFonts w:ascii="Arial" w:hAnsi="Arial" w:cs="Arial"/>
          <w:color w:val="000000" w:themeColor="text1"/>
          <w:sz w:val="22"/>
          <w:szCs w:val="22"/>
        </w:rPr>
        <w:t xml:space="preserve">) oraz </w:t>
      </w:r>
      <w:r w:rsidR="009B3067" w:rsidRPr="009B78DA">
        <w:rPr>
          <w:rFonts w:ascii="Arial" w:hAnsi="Arial" w:cs="Arial"/>
          <w:color w:val="000000" w:themeColor="text1"/>
          <w:sz w:val="22"/>
          <w:szCs w:val="22"/>
        </w:rPr>
        <w:t>p</w:t>
      </w:r>
      <w:r w:rsidR="004015BE" w:rsidRPr="009B78DA">
        <w:rPr>
          <w:rFonts w:ascii="Arial" w:hAnsi="Arial" w:cs="Arial"/>
          <w:color w:val="000000" w:themeColor="text1"/>
          <w:sz w:val="22"/>
          <w:szCs w:val="22"/>
        </w:rPr>
        <w:t xml:space="preserve">rojekt </w:t>
      </w:r>
      <w:r w:rsidR="004015BE" w:rsidRPr="009B78DA">
        <w:rPr>
          <w:rFonts w:ascii="Arial" w:hAnsi="Arial" w:cs="Arial"/>
          <w:i/>
          <w:iCs/>
          <w:color w:val="000000" w:themeColor="text1"/>
          <w:sz w:val="22"/>
          <w:szCs w:val="22"/>
        </w:rPr>
        <w:t>Programu Strategicznego Rozwoju Transportu Województwa Podkarpackiego do roku 2030</w:t>
      </w:r>
      <w:r w:rsidR="0066223D">
        <w:rPr>
          <w:rFonts w:ascii="Arial" w:hAnsi="Arial" w:cs="Arial"/>
          <w:color w:val="000000" w:themeColor="text1"/>
          <w:sz w:val="22"/>
          <w:szCs w:val="22"/>
        </w:rPr>
        <w:t>.</w:t>
      </w:r>
    </w:p>
    <w:p w14:paraId="7D25CC9F" w14:textId="6E15C5A6" w:rsidR="00302CA0" w:rsidRPr="009B78DA" w:rsidRDefault="00302CA0" w:rsidP="0066223D">
      <w:pPr>
        <w:spacing w:after="0" w:line="276" w:lineRule="auto"/>
        <w:ind w:firstLine="709"/>
        <w:rPr>
          <w:rFonts w:ascii="Arial" w:hAnsi="Arial" w:cs="Arial"/>
          <w:snapToGrid w:val="0"/>
          <w:color w:val="000000" w:themeColor="text1"/>
          <w:position w:val="8"/>
          <w:sz w:val="22"/>
          <w:szCs w:val="22"/>
        </w:rPr>
      </w:pPr>
      <w:r w:rsidRPr="009B78DA">
        <w:rPr>
          <w:rFonts w:ascii="Arial" w:hAnsi="Arial" w:cs="Arial"/>
          <w:color w:val="000000" w:themeColor="text1"/>
          <w:sz w:val="22"/>
          <w:szCs w:val="22"/>
        </w:rPr>
        <w:t>Podczas przygotowań Programu, oprócz głównych podmiotów istotnych dla funkcjonowania sfery transportu regionu, Samorząd Województwa skupił się także na uwzględnieniu głosu poszczególnych grup zainteresowanych rozwojem systemu transportowego województwa oraz wyartykułowaniem w dokumencie opinii ogółu mieszkańców województwa organizując konsultacje społeczne</w:t>
      </w:r>
      <w:r w:rsidR="00BE714F" w:rsidRPr="009B78DA">
        <w:rPr>
          <w:rStyle w:val="Odwoanieprzypisudolnego"/>
          <w:rFonts w:ascii="Arial" w:hAnsi="Arial" w:cs="Arial"/>
          <w:color w:val="000000" w:themeColor="text1"/>
          <w:sz w:val="22"/>
          <w:szCs w:val="22"/>
        </w:rPr>
        <w:footnoteReference w:id="32"/>
      </w:r>
      <w:r w:rsidRPr="009B78DA">
        <w:rPr>
          <w:rFonts w:ascii="Arial" w:hAnsi="Arial" w:cs="Arial"/>
          <w:color w:val="000000" w:themeColor="text1"/>
          <w:sz w:val="22"/>
          <w:szCs w:val="22"/>
        </w:rPr>
        <w:t>, a także posiłkując się współpracą z ekspertami regionalnymi i zewnętrznymi z dziedziny transportu</w:t>
      </w:r>
      <w:r w:rsidR="009A20B8" w:rsidRPr="009B78DA">
        <w:rPr>
          <w:rStyle w:val="Odwoanieprzypisudolnego"/>
          <w:rFonts w:ascii="Arial" w:hAnsi="Arial" w:cs="Arial"/>
          <w:color w:val="000000" w:themeColor="text1"/>
          <w:sz w:val="22"/>
          <w:szCs w:val="22"/>
        </w:rPr>
        <w:footnoteReference w:id="33"/>
      </w:r>
      <w:r w:rsidRPr="009B78DA">
        <w:rPr>
          <w:rFonts w:ascii="Arial" w:hAnsi="Arial" w:cs="Arial"/>
          <w:color w:val="000000" w:themeColor="text1"/>
          <w:sz w:val="22"/>
          <w:szCs w:val="22"/>
        </w:rPr>
        <w:t>.</w:t>
      </w:r>
    </w:p>
    <w:p w14:paraId="52EEB8AE" w14:textId="77BBE052" w:rsidR="007F21F4" w:rsidRPr="009B78DA" w:rsidRDefault="00302CA0"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Celem harmonizacji rozwoju elementów systemu transportowego funkcjonujących </w:t>
      </w:r>
      <w:r w:rsidR="00833E77" w:rsidRPr="009B78DA">
        <w:rPr>
          <w:rFonts w:ascii="Arial" w:hAnsi="Arial" w:cs="Arial"/>
          <w:color w:val="000000" w:themeColor="text1"/>
          <w:sz w:val="22"/>
          <w:szCs w:val="22"/>
        </w:rPr>
        <w:br/>
      </w:r>
      <w:r w:rsidRPr="009B78DA">
        <w:rPr>
          <w:rFonts w:ascii="Arial" w:hAnsi="Arial" w:cs="Arial"/>
          <w:color w:val="000000" w:themeColor="text1"/>
          <w:sz w:val="22"/>
          <w:szCs w:val="22"/>
        </w:rPr>
        <w:t>w powiązaniu z analogiczną infrastrukturą województw sąsiednich, w trakcie prac nad Program</w:t>
      </w:r>
      <w:r w:rsidR="00C63EDF" w:rsidRPr="009B78DA">
        <w:rPr>
          <w:rFonts w:ascii="Arial" w:hAnsi="Arial" w:cs="Arial"/>
          <w:color w:val="000000" w:themeColor="text1"/>
          <w:sz w:val="22"/>
          <w:szCs w:val="22"/>
        </w:rPr>
        <w:t>em</w:t>
      </w:r>
      <w:r w:rsidRPr="009B78DA">
        <w:rPr>
          <w:rFonts w:ascii="Arial" w:hAnsi="Arial" w:cs="Arial"/>
          <w:color w:val="000000" w:themeColor="text1"/>
          <w:sz w:val="22"/>
          <w:szCs w:val="22"/>
        </w:rPr>
        <w:t>, Zarząd Województwa Podkarpackiego podczas spotkań z władzami tych regionów omawiał m.in. koncepcje przyszłych inwestycji w sferze transportu o charakterze ponadregionalnym.</w:t>
      </w:r>
    </w:p>
    <w:p w14:paraId="2A679525" w14:textId="0B6EA333" w:rsidR="007F21F4" w:rsidRPr="009B78DA" w:rsidRDefault="00833E77" w:rsidP="0066223D">
      <w:pPr>
        <w:pStyle w:val="Nagwek2"/>
        <w:numPr>
          <w:ilvl w:val="0"/>
          <w:numId w:val="266"/>
        </w:numPr>
        <w:spacing w:line="276" w:lineRule="auto"/>
        <w:rPr>
          <w:rFonts w:cs="Arial"/>
          <w:b w:val="0"/>
          <w:bCs/>
          <w:sz w:val="24"/>
          <w:szCs w:val="24"/>
        </w:rPr>
      </w:pPr>
      <w:bookmarkStart w:id="378" w:name="_Toc100335081"/>
      <w:bookmarkStart w:id="379" w:name="_Toc146785807"/>
      <w:r w:rsidRPr="009B78DA">
        <w:rPr>
          <w:rFonts w:cs="Arial"/>
          <w:bCs/>
          <w:sz w:val="24"/>
          <w:szCs w:val="24"/>
        </w:rPr>
        <w:t>Podmiot koordynujący realizację Programu</w:t>
      </w:r>
      <w:bookmarkEnd w:id="378"/>
      <w:bookmarkEnd w:id="379"/>
    </w:p>
    <w:p w14:paraId="7630B7A4" w14:textId="3C5F2DAA"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Zaangażowanie w realizację PSRT WP wielu podmiotów oraz szeroki zakres ich działań, których podjęcie jest niezbędne dla osiągnięcia założonych celów, powodują, że dużym wyzwaniem staje się koordynacja. Główny ciężar spoczywa na Samorządzie Województwa Podkarpackiego jako podmiocie odpowiedzialnym za kształtowanie polityki rozwoju transportu w regionie (reprezentowanym przez Dyrektora Departamentu Dróg </w:t>
      </w:r>
      <w:r w:rsidRPr="009B78DA">
        <w:rPr>
          <w:rFonts w:ascii="Arial" w:hAnsi="Arial" w:cs="Arial"/>
          <w:color w:val="000000" w:themeColor="text1"/>
          <w:sz w:val="22"/>
          <w:szCs w:val="22"/>
        </w:rPr>
        <w:br/>
        <w:t>i Publicznego Transportu Zbiorowego - na podstawie stosownych umocowań prawnych). Ze względu na złożoność problematyki, niezbędne jest zaangażowanie innych podmiotów oraz wykorzystanie instrumentów ułatwiających osiągnięcie pożądanych efektów realizacji PSRT WP. Wskazany wyżej Departament, będzie odpowiedzialny za:</w:t>
      </w:r>
    </w:p>
    <w:p w14:paraId="460205F0" w14:textId="77777777" w:rsidR="008D3E7F" w:rsidRPr="009B78DA" w:rsidRDefault="008D3E7F" w:rsidP="0066223D">
      <w:pPr>
        <w:pStyle w:val="Akapitzlist"/>
        <w:numPr>
          <w:ilvl w:val="0"/>
          <w:numId w:val="186"/>
        </w:numPr>
        <w:spacing w:after="0" w:line="276" w:lineRule="auto"/>
        <w:rPr>
          <w:rFonts w:ascii="Arial" w:hAnsi="Arial" w:cs="Arial"/>
          <w:b/>
          <w:color w:val="000000" w:themeColor="text1"/>
          <w:sz w:val="22"/>
          <w:szCs w:val="22"/>
        </w:rPr>
      </w:pPr>
      <w:r w:rsidRPr="009B78DA">
        <w:rPr>
          <w:rFonts w:ascii="Arial" w:hAnsi="Arial" w:cs="Arial"/>
          <w:b/>
          <w:color w:val="000000" w:themeColor="text1"/>
          <w:sz w:val="22"/>
          <w:szCs w:val="22"/>
        </w:rPr>
        <w:t>realizację celów Programu, w szczególności poprzez:</w:t>
      </w:r>
    </w:p>
    <w:p w14:paraId="56AAAFAA" w14:textId="77777777" w:rsidR="008D3E7F" w:rsidRPr="009B78DA" w:rsidRDefault="008D3E7F" w:rsidP="0066223D">
      <w:pPr>
        <w:pStyle w:val="Akapitzlist"/>
        <w:numPr>
          <w:ilvl w:val="0"/>
          <w:numId w:val="187"/>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organizację procesu wykonania zobowiązań przez Samorząd Województwa oraz pozyskiwania środków zewnętrznych na realizację zadań w zakresie wynikającym </w:t>
      </w:r>
      <w:r w:rsidRPr="009B78DA">
        <w:rPr>
          <w:rFonts w:ascii="Arial" w:hAnsi="Arial" w:cs="Arial"/>
          <w:color w:val="000000" w:themeColor="text1"/>
          <w:sz w:val="22"/>
          <w:szCs w:val="22"/>
        </w:rPr>
        <w:br/>
        <w:t>z dokumentu;</w:t>
      </w:r>
    </w:p>
    <w:p w14:paraId="6D21E0AD" w14:textId="77777777" w:rsidR="008D3E7F" w:rsidRPr="009B78DA" w:rsidRDefault="008D3E7F" w:rsidP="0066223D">
      <w:pPr>
        <w:pStyle w:val="Akapitzlist"/>
        <w:numPr>
          <w:ilvl w:val="0"/>
          <w:numId w:val="187"/>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koordynowanie procesów inwestycyjnych oraz organizację procesu przygotowania </w:t>
      </w:r>
      <w:r w:rsidRPr="009B78DA">
        <w:rPr>
          <w:rFonts w:ascii="Arial" w:hAnsi="Arial" w:cs="Arial"/>
          <w:color w:val="000000" w:themeColor="text1"/>
          <w:sz w:val="22"/>
          <w:szCs w:val="22"/>
        </w:rPr>
        <w:br/>
        <w:t>i wdrożenia przedsięwzięć strategicznych i nadzór nad ich realizacją;</w:t>
      </w:r>
    </w:p>
    <w:p w14:paraId="47B53778" w14:textId="77777777" w:rsidR="008D3E7F" w:rsidRPr="009B78DA" w:rsidRDefault="008D3E7F" w:rsidP="0066223D">
      <w:pPr>
        <w:pStyle w:val="Akapitzlist"/>
        <w:numPr>
          <w:ilvl w:val="0"/>
          <w:numId w:val="187"/>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formułowanie propozycji w zakresie zapewnienia źródeł finansowania Programu, we współpracy z właściwymi jednostkami organizacyjnymi odpowiedzialnymi za zarządzanie innymi dostępnymi w województwie instrumentami finansowymi oraz przygotowywanie propozycji do budżetu województwa i wieloletniej prognozy finansowej;</w:t>
      </w:r>
    </w:p>
    <w:p w14:paraId="0E1DE2B8" w14:textId="77777777" w:rsidR="008D3E7F" w:rsidRPr="009B78DA" w:rsidRDefault="008D3E7F" w:rsidP="0066223D">
      <w:pPr>
        <w:pStyle w:val="Akapitzlist"/>
        <w:numPr>
          <w:ilvl w:val="0"/>
          <w:numId w:val="187"/>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podejmowanie i realizacja działań służących egzekwowaniu i monitorowaniu oczekiwań wobec Rządu;</w:t>
      </w:r>
    </w:p>
    <w:p w14:paraId="2B8F6471" w14:textId="77777777" w:rsidR="008D3E7F" w:rsidRPr="009B78DA" w:rsidRDefault="008D3E7F" w:rsidP="0066223D">
      <w:pPr>
        <w:pStyle w:val="Akapitzlist"/>
        <w:numPr>
          <w:ilvl w:val="0"/>
          <w:numId w:val="187"/>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koordynacja prac wszystkich jednostek współpracujących w zakresie realizacji celów Programu;</w:t>
      </w:r>
    </w:p>
    <w:p w14:paraId="0BD2773F" w14:textId="77777777" w:rsidR="008D3E7F" w:rsidRPr="009B78DA" w:rsidRDefault="008D3E7F" w:rsidP="0066223D">
      <w:pPr>
        <w:pStyle w:val="Akapitzlist"/>
        <w:numPr>
          <w:ilvl w:val="0"/>
          <w:numId w:val="186"/>
        </w:numPr>
        <w:spacing w:after="0" w:line="276" w:lineRule="auto"/>
        <w:ind w:left="357" w:hanging="357"/>
        <w:rPr>
          <w:rFonts w:ascii="Arial" w:hAnsi="Arial" w:cs="Arial"/>
          <w:b/>
          <w:color w:val="000000" w:themeColor="text1"/>
          <w:sz w:val="22"/>
          <w:szCs w:val="22"/>
        </w:rPr>
      </w:pPr>
      <w:r w:rsidRPr="009B78DA">
        <w:rPr>
          <w:rFonts w:ascii="Arial" w:hAnsi="Arial" w:cs="Arial"/>
          <w:b/>
          <w:color w:val="000000" w:themeColor="text1"/>
          <w:sz w:val="22"/>
          <w:szCs w:val="22"/>
        </w:rPr>
        <w:t>zarządzanie bazą informacyjną związaną z realizacją Programu, w tym m.in. budowa bazy wskaźników oraz zbieranie niezbędnych informacji na potrzeby monitorowania realizacji dokumentu z następujących źródeł:</w:t>
      </w:r>
    </w:p>
    <w:p w14:paraId="2435685B" w14:textId="77777777" w:rsidR="008D3E7F" w:rsidRPr="009B78DA" w:rsidRDefault="008D3E7F" w:rsidP="0066223D">
      <w:pPr>
        <w:pStyle w:val="Akapitzlist"/>
        <w:numPr>
          <w:ilvl w:val="0"/>
          <w:numId w:val="188"/>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Departament Dróg i Publicznego Transportu Zbiorowego – w zakresie danych dotyczących infrastruktury transportowej i wykonywanych przewozów,</w:t>
      </w:r>
    </w:p>
    <w:p w14:paraId="5388B8C6" w14:textId="05CD3B1B" w:rsidR="008D3E7F" w:rsidRPr="009B78DA" w:rsidRDefault="008D3E7F" w:rsidP="0066223D">
      <w:pPr>
        <w:pStyle w:val="Akapitzlist"/>
        <w:numPr>
          <w:ilvl w:val="0"/>
          <w:numId w:val="188"/>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Departament Rozwoju Regionalnego – Regionalne Obserwatorium Terytorialne </w:t>
      </w:r>
      <w:r w:rsidR="00712835" w:rsidRPr="009B78DA">
        <w:rPr>
          <w:rFonts w:ascii="Arial" w:hAnsi="Arial" w:cs="Arial"/>
          <w:color w:val="000000" w:themeColor="text1"/>
          <w:sz w:val="22"/>
          <w:szCs w:val="22"/>
        </w:rPr>
        <w:t xml:space="preserve">– </w:t>
      </w:r>
      <w:r w:rsidR="00712835" w:rsidRPr="009B78DA">
        <w:rPr>
          <w:rFonts w:ascii="Arial" w:hAnsi="Arial" w:cs="Arial"/>
          <w:color w:val="000000" w:themeColor="text1"/>
          <w:sz w:val="22"/>
          <w:szCs w:val="22"/>
        </w:rPr>
        <w:br/>
      </w:r>
      <w:r w:rsidRPr="009B78DA">
        <w:rPr>
          <w:rFonts w:ascii="Arial" w:hAnsi="Arial" w:cs="Arial"/>
          <w:color w:val="000000" w:themeColor="text1"/>
          <w:sz w:val="22"/>
          <w:szCs w:val="22"/>
        </w:rPr>
        <w:t>w zakresie danych obejmujących statystykę publiczną oraz wymagających przeprowadzenia badań własnych;</w:t>
      </w:r>
    </w:p>
    <w:p w14:paraId="3F2558C0" w14:textId="2FAF3C16" w:rsidR="008D3E7F" w:rsidRPr="009B78DA" w:rsidRDefault="008D3E7F" w:rsidP="0066223D">
      <w:pPr>
        <w:pStyle w:val="Akapitzlist"/>
        <w:numPr>
          <w:ilvl w:val="0"/>
          <w:numId w:val="188"/>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Departament Zarządzania Regionalnym Programem Operacyjnym w zakresie sprawozdawczości z realizacji RPO WP 2014-2020 oraz Fundusze Europejskie dla Podkarpacia 2021-2027;</w:t>
      </w:r>
    </w:p>
    <w:p w14:paraId="16CA88E8" w14:textId="70A0E53E" w:rsidR="008D3E7F" w:rsidRPr="009B78DA" w:rsidRDefault="008D3E7F" w:rsidP="0066223D">
      <w:pPr>
        <w:pStyle w:val="Akapitzlist"/>
        <w:numPr>
          <w:ilvl w:val="0"/>
          <w:numId w:val="188"/>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innych źródeł danych związanych m. in. z krajowymi programami;</w:t>
      </w:r>
    </w:p>
    <w:p w14:paraId="064F394C" w14:textId="7A55B51F" w:rsidR="00886A8D" w:rsidRPr="009B78DA" w:rsidRDefault="00886A8D" w:rsidP="0066223D">
      <w:pPr>
        <w:pStyle w:val="Akapitzlist"/>
        <w:numPr>
          <w:ilvl w:val="0"/>
          <w:numId w:val="186"/>
        </w:numPr>
        <w:spacing w:after="0" w:line="276" w:lineRule="auto"/>
        <w:ind w:left="357" w:hanging="357"/>
        <w:rPr>
          <w:rFonts w:ascii="Arial" w:hAnsi="Arial" w:cs="Arial"/>
          <w:b/>
          <w:color w:val="000000" w:themeColor="text1"/>
          <w:sz w:val="22"/>
          <w:szCs w:val="22"/>
        </w:rPr>
      </w:pPr>
      <w:r w:rsidRPr="009B78DA">
        <w:rPr>
          <w:rFonts w:ascii="Arial" w:hAnsi="Arial" w:cs="Arial"/>
          <w:b/>
          <w:color w:val="000000" w:themeColor="text1"/>
          <w:sz w:val="22"/>
          <w:szCs w:val="22"/>
        </w:rPr>
        <w:t>okresową ocenę stopnia realizacji Programu oraz przygotowywanie rocznych raportów z realizacji ww. dokumentu i przedkładanie ich Zarządowi Województwa do akceptacji;</w:t>
      </w:r>
    </w:p>
    <w:p w14:paraId="72F2E6DF" w14:textId="063A5157" w:rsidR="008D3E7F" w:rsidRPr="009B78DA" w:rsidRDefault="008D3E7F" w:rsidP="0066223D">
      <w:pPr>
        <w:pStyle w:val="Akapitzlist"/>
        <w:numPr>
          <w:ilvl w:val="0"/>
          <w:numId w:val="186"/>
        </w:numPr>
        <w:spacing w:after="0" w:line="276" w:lineRule="auto"/>
        <w:rPr>
          <w:rFonts w:ascii="Arial" w:hAnsi="Arial" w:cs="Arial"/>
          <w:b/>
          <w:color w:val="000000" w:themeColor="text1"/>
          <w:sz w:val="22"/>
          <w:szCs w:val="22"/>
        </w:rPr>
      </w:pPr>
      <w:r w:rsidRPr="009B78DA">
        <w:rPr>
          <w:rFonts w:ascii="Arial" w:hAnsi="Arial" w:cs="Arial"/>
          <w:b/>
          <w:color w:val="000000" w:themeColor="text1"/>
          <w:sz w:val="22"/>
          <w:szCs w:val="22"/>
        </w:rPr>
        <w:t>przygotowywanie i uzasadnienie projektów zmian Programu i przedkładanie ich Zarządowi Województwa do akceptacji;</w:t>
      </w:r>
    </w:p>
    <w:p w14:paraId="6B8FFADC" w14:textId="77777777" w:rsidR="008D3E7F" w:rsidRPr="009B78DA" w:rsidRDefault="008D3E7F" w:rsidP="0066223D">
      <w:pPr>
        <w:pStyle w:val="Akapitzlist"/>
        <w:numPr>
          <w:ilvl w:val="0"/>
          <w:numId w:val="186"/>
        </w:numPr>
        <w:spacing w:after="0" w:line="276" w:lineRule="auto"/>
        <w:rPr>
          <w:rFonts w:ascii="Arial" w:hAnsi="Arial" w:cs="Arial"/>
          <w:b/>
          <w:color w:val="000000" w:themeColor="text1"/>
          <w:sz w:val="22"/>
          <w:szCs w:val="22"/>
        </w:rPr>
      </w:pPr>
      <w:r w:rsidRPr="009B78DA">
        <w:rPr>
          <w:rFonts w:ascii="Arial" w:hAnsi="Arial" w:cs="Arial"/>
          <w:b/>
          <w:color w:val="000000" w:themeColor="text1"/>
          <w:sz w:val="22"/>
          <w:szCs w:val="22"/>
        </w:rPr>
        <w:t xml:space="preserve">kontrolę Programu realizowaną zgodnie z ogólnymi zasadami kontroli przyjętymi </w:t>
      </w:r>
      <w:r w:rsidRPr="009B78DA">
        <w:rPr>
          <w:rFonts w:ascii="Arial" w:hAnsi="Arial" w:cs="Arial"/>
          <w:b/>
          <w:color w:val="000000" w:themeColor="text1"/>
          <w:sz w:val="22"/>
          <w:szCs w:val="22"/>
        </w:rPr>
        <w:br/>
        <w:t>w UMWP.</w:t>
      </w:r>
    </w:p>
    <w:p w14:paraId="0D97C1E3" w14:textId="77777777"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Za realizację PSRT WP odpowiada Dyrektor Departamentu Dróg i Publicznego Transportu Zbiorowego UMWP, w szczególności za realizację zobowiązań Samorządu Województwa Podkarpackiego, które wynikają ze </w:t>
      </w:r>
      <w:r w:rsidRPr="009B78DA">
        <w:rPr>
          <w:rFonts w:ascii="Arial" w:hAnsi="Arial" w:cs="Arial"/>
          <w:i/>
          <w:color w:val="000000" w:themeColor="text1"/>
          <w:sz w:val="22"/>
          <w:szCs w:val="22"/>
        </w:rPr>
        <w:t>Strategii Rozwoju Województwa – Podkarpackie 2030</w:t>
      </w:r>
      <w:r w:rsidRPr="009B78DA">
        <w:rPr>
          <w:rFonts w:ascii="Arial" w:hAnsi="Arial" w:cs="Arial"/>
          <w:color w:val="000000" w:themeColor="text1"/>
          <w:sz w:val="22"/>
          <w:szCs w:val="22"/>
        </w:rPr>
        <w:t>, a są realizowane w ramach Programu. Zachowuje on ogólną odpowiedzialność za realizację również tych części Programu, których wykonanie powierzone zostało innym komórkom lub jednostkom organizacyjnym.</w:t>
      </w:r>
    </w:p>
    <w:p w14:paraId="1DDD3FE6" w14:textId="3F2BE0CC"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Wobec tego, iż w proces wdrażania Programu, zaangażowana jest znaczna ilość podmiotów, Dyrektor Departamentu Dróg i Publicznego Transportu Zbiorowego, reprezentujący </w:t>
      </w:r>
      <w:r w:rsidR="00BE714F" w:rsidRPr="009B78DA">
        <w:rPr>
          <w:rFonts w:ascii="Arial" w:hAnsi="Arial" w:cs="Arial"/>
          <w:color w:val="000000" w:themeColor="text1"/>
          <w:sz w:val="22"/>
          <w:szCs w:val="22"/>
        </w:rPr>
        <w:t>S</w:t>
      </w:r>
      <w:r w:rsidRPr="009B78DA">
        <w:rPr>
          <w:rFonts w:ascii="Arial" w:hAnsi="Arial" w:cs="Arial"/>
          <w:color w:val="000000" w:themeColor="text1"/>
          <w:sz w:val="22"/>
          <w:szCs w:val="22"/>
        </w:rPr>
        <w:t xml:space="preserve">amorząd </w:t>
      </w:r>
      <w:r w:rsidR="00BE714F" w:rsidRPr="009B78DA">
        <w:rPr>
          <w:rFonts w:ascii="Arial" w:hAnsi="Arial" w:cs="Arial"/>
          <w:color w:val="000000" w:themeColor="text1"/>
          <w:sz w:val="22"/>
          <w:szCs w:val="22"/>
        </w:rPr>
        <w:t>W</w:t>
      </w:r>
      <w:r w:rsidRPr="009B78DA">
        <w:rPr>
          <w:rFonts w:ascii="Arial" w:hAnsi="Arial" w:cs="Arial"/>
          <w:color w:val="000000" w:themeColor="text1"/>
          <w:sz w:val="22"/>
          <w:szCs w:val="22"/>
        </w:rPr>
        <w:t>ojewództwa (na podstawie stosownych umocowań prawnych), będzie odpowiedzialny za współpracę pomiędzy tymi instytucjami oraz wymianę informacji.</w:t>
      </w:r>
      <w:r w:rsidR="005D501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Powołany Zespół ds. przygotowania PSRT WP przekształci się w Zespół ds. Monitorowania </w:t>
      </w:r>
      <w:r w:rsidR="005D5017" w:rsidRPr="009B78DA">
        <w:rPr>
          <w:rFonts w:ascii="Arial" w:hAnsi="Arial" w:cs="Arial"/>
          <w:color w:val="000000" w:themeColor="text1"/>
          <w:sz w:val="22"/>
          <w:szCs w:val="22"/>
        </w:rPr>
        <w:br/>
      </w:r>
      <w:r w:rsidRPr="009B78DA">
        <w:rPr>
          <w:rFonts w:ascii="Arial" w:hAnsi="Arial" w:cs="Arial"/>
          <w:color w:val="000000" w:themeColor="text1"/>
          <w:sz w:val="22"/>
          <w:szCs w:val="22"/>
        </w:rPr>
        <w:t>i Koordynowania</w:t>
      </w:r>
      <w:r w:rsidR="00BE714F" w:rsidRPr="009B78DA">
        <w:rPr>
          <w:rFonts w:ascii="Arial" w:hAnsi="Arial" w:cs="Arial"/>
          <w:color w:val="000000" w:themeColor="text1"/>
          <w:sz w:val="22"/>
          <w:szCs w:val="22"/>
        </w:rPr>
        <w:t xml:space="preserve"> Programu</w:t>
      </w:r>
      <w:r w:rsidR="007F21F4"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pełn</w:t>
      </w:r>
      <w:r w:rsidR="007F21F4" w:rsidRPr="009B78DA">
        <w:rPr>
          <w:rFonts w:ascii="Arial" w:hAnsi="Arial" w:cs="Arial"/>
          <w:color w:val="000000" w:themeColor="text1"/>
          <w:sz w:val="22"/>
          <w:szCs w:val="22"/>
        </w:rPr>
        <w:t>iący</w:t>
      </w:r>
      <w:r w:rsidRPr="009B78DA">
        <w:rPr>
          <w:rFonts w:ascii="Arial" w:hAnsi="Arial" w:cs="Arial"/>
          <w:color w:val="000000" w:themeColor="text1"/>
          <w:sz w:val="22"/>
          <w:szCs w:val="22"/>
        </w:rPr>
        <w:t xml:space="preserve"> obowiązki niezbędne do realizacji dokumentu. </w:t>
      </w:r>
      <w:r w:rsidR="00BE714F" w:rsidRPr="009B78DA">
        <w:rPr>
          <w:rFonts w:ascii="Arial" w:hAnsi="Arial" w:cs="Arial"/>
          <w:color w:val="000000" w:themeColor="text1"/>
          <w:sz w:val="22"/>
          <w:szCs w:val="22"/>
        </w:rPr>
        <w:t>Niniejszy Zespół</w:t>
      </w:r>
      <w:r w:rsidR="007F21F4" w:rsidRPr="009B78DA">
        <w:rPr>
          <w:rFonts w:ascii="Arial" w:hAnsi="Arial" w:cs="Arial"/>
          <w:color w:val="000000" w:themeColor="text1"/>
          <w:sz w:val="22"/>
          <w:szCs w:val="22"/>
        </w:rPr>
        <w:t>, którego skład tworzyć będą przedstawiciele podstawowych jednostek UMWP oraz zewnętrznych interesariuszy (publicznych i prywatnych), będzie realizował swoje funkcje</w:t>
      </w:r>
      <w:r w:rsidRPr="009B78DA">
        <w:rPr>
          <w:rFonts w:ascii="Arial" w:hAnsi="Arial" w:cs="Arial"/>
          <w:color w:val="000000" w:themeColor="text1"/>
          <w:sz w:val="22"/>
          <w:szCs w:val="22"/>
        </w:rPr>
        <w:t xml:space="preserve"> poprzez cykliczne spotkania. </w:t>
      </w:r>
      <w:r w:rsidR="00F26CB3" w:rsidRPr="009B78DA">
        <w:rPr>
          <w:rFonts w:ascii="Arial" w:hAnsi="Arial" w:cs="Arial"/>
          <w:color w:val="000000" w:themeColor="text1"/>
          <w:sz w:val="22"/>
          <w:szCs w:val="22"/>
        </w:rPr>
        <w:t>Ciało to będzie obradować przynajmniej raz w roku celem analizy bieżącego stanu systemu transportowego, a także w celu wypracowywania rekomendacj</w:t>
      </w:r>
      <w:r w:rsidR="0066223D">
        <w:rPr>
          <w:rFonts w:ascii="Arial" w:hAnsi="Arial" w:cs="Arial"/>
          <w:color w:val="000000" w:themeColor="text1"/>
          <w:sz w:val="22"/>
          <w:szCs w:val="22"/>
        </w:rPr>
        <w:t>i dotyczących rozwoju systemu.</w:t>
      </w:r>
    </w:p>
    <w:p w14:paraId="4BE921D0" w14:textId="115BBD31" w:rsidR="008D3E7F" w:rsidRPr="009B78DA" w:rsidRDefault="008D3E7F" w:rsidP="0066223D">
      <w:pPr>
        <w:spacing w:after="0" w:line="276" w:lineRule="auto"/>
        <w:ind w:firstLine="709"/>
        <w:rPr>
          <w:rFonts w:ascii="Arial" w:hAnsi="Arial" w:cs="Arial"/>
          <w:i/>
          <w:color w:val="000000" w:themeColor="text1"/>
          <w:sz w:val="22"/>
          <w:szCs w:val="22"/>
        </w:rPr>
      </w:pPr>
      <w:r w:rsidRPr="009B78DA">
        <w:rPr>
          <w:rFonts w:ascii="Arial" w:hAnsi="Arial" w:cs="Arial"/>
          <w:color w:val="000000" w:themeColor="text1"/>
          <w:sz w:val="22"/>
          <w:szCs w:val="22"/>
        </w:rPr>
        <w:t xml:space="preserve">Ponadto, ze względu na horyzontalny charakter Programu, tj. z tego względu, że jego powodzenie zależy od skutecznej realizacji przedsięwzięć w ramach </w:t>
      </w:r>
      <w:r w:rsidR="005A48AD" w:rsidRPr="009B78DA">
        <w:rPr>
          <w:rFonts w:ascii="Arial" w:hAnsi="Arial" w:cs="Arial"/>
          <w:color w:val="000000" w:themeColor="text1"/>
          <w:sz w:val="22"/>
          <w:szCs w:val="22"/>
        </w:rPr>
        <w:t>poszczególnych</w:t>
      </w:r>
      <w:r w:rsidRPr="009B78DA">
        <w:rPr>
          <w:rFonts w:ascii="Arial" w:hAnsi="Arial" w:cs="Arial"/>
          <w:color w:val="000000" w:themeColor="text1"/>
          <w:sz w:val="22"/>
          <w:szCs w:val="22"/>
        </w:rPr>
        <w:t xml:space="preserve"> </w:t>
      </w:r>
      <w:r w:rsidR="005A48AD" w:rsidRPr="009B78DA">
        <w:rPr>
          <w:rFonts w:ascii="Arial" w:hAnsi="Arial" w:cs="Arial"/>
          <w:color w:val="000000" w:themeColor="text1"/>
          <w:sz w:val="22"/>
          <w:szCs w:val="22"/>
        </w:rPr>
        <w:t>funduszy europejskich</w:t>
      </w:r>
      <w:r w:rsidRPr="009B78DA">
        <w:rPr>
          <w:rFonts w:ascii="Arial" w:hAnsi="Arial" w:cs="Arial"/>
          <w:color w:val="000000" w:themeColor="text1"/>
          <w:sz w:val="22"/>
          <w:szCs w:val="22"/>
        </w:rPr>
        <w:t xml:space="preserve"> zarządzanych przez różne instytucje, konieczna jest wzajemna wymiana informacji oraz koordynowanie podejmowanych działań. W sposób szczególny dotyczy to zapewnienia korelacji pomiędzy </w:t>
      </w:r>
      <w:r w:rsidRPr="009B78DA">
        <w:rPr>
          <w:rFonts w:ascii="Arial" w:hAnsi="Arial" w:cs="Arial"/>
          <w:i/>
          <w:color w:val="000000" w:themeColor="text1"/>
          <w:sz w:val="22"/>
          <w:szCs w:val="22"/>
        </w:rPr>
        <w:t>Fundusz</w:t>
      </w:r>
      <w:r w:rsidR="005A48AD" w:rsidRPr="009B78DA">
        <w:rPr>
          <w:rFonts w:ascii="Arial" w:hAnsi="Arial" w:cs="Arial"/>
          <w:i/>
          <w:color w:val="000000" w:themeColor="text1"/>
          <w:sz w:val="22"/>
          <w:szCs w:val="22"/>
        </w:rPr>
        <w:t>ami</w:t>
      </w:r>
      <w:r w:rsidRPr="009B78DA">
        <w:rPr>
          <w:rFonts w:ascii="Arial" w:hAnsi="Arial" w:cs="Arial"/>
          <w:i/>
          <w:color w:val="000000" w:themeColor="text1"/>
          <w:sz w:val="22"/>
          <w:szCs w:val="22"/>
        </w:rPr>
        <w:t xml:space="preserve"> Europejski</w:t>
      </w:r>
      <w:r w:rsidR="005A48AD" w:rsidRPr="009B78DA">
        <w:rPr>
          <w:rFonts w:ascii="Arial" w:hAnsi="Arial" w:cs="Arial"/>
          <w:i/>
          <w:color w:val="000000" w:themeColor="text1"/>
          <w:sz w:val="22"/>
          <w:szCs w:val="22"/>
        </w:rPr>
        <w:t>mi</w:t>
      </w:r>
      <w:r w:rsidRPr="009B78DA">
        <w:rPr>
          <w:rFonts w:ascii="Arial" w:hAnsi="Arial" w:cs="Arial"/>
          <w:i/>
          <w:color w:val="000000" w:themeColor="text1"/>
          <w:sz w:val="22"/>
          <w:szCs w:val="22"/>
        </w:rPr>
        <w:t xml:space="preserve"> dla Polski Wschodniej 2021-2027</w:t>
      </w:r>
      <w:r w:rsidRPr="009B78DA">
        <w:rPr>
          <w:rFonts w:ascii="Arial" w:hAnsi="Arial" w:cs="Arial"/>
          <w:color w:val="000000" w:themeColor="text1"/>
          <w:sz w:val="22"/>
          <w:szCs w:val="22"/>
        </w:rPr>
        <w:t xml:space="preserve"> i </w:t>
      </w:r>
      <w:r w:rsidRPr="009B78DA">
        <w:rPr>
          <w:rFonts w:ascii="Arial" w:hAnsi="Arial" w:cs="Arial"/>
          <w:i/>
          <w:color w:val="000000" w:themeColor="text1"/>
          <w:sz w:val="22"/>
          <w:szCs w:val="22"/>
        </w:rPr>
        <w:t>Fundusz</w:t>
      </w:r>
      <w:r w:rsidR="00F06B2C" w:rsidRPr="009B78DA">
        <w:rPr>
          <w:rFonts w:ascii="Arial" w:hAnsi="Arial" w:cs="Arial"/>
          <w:i/>
          <w:color w:val="000000" w:themeColor="text1"/>
          <w:sz w:val="22"/>
          <w:szCs w:val="22"/>
        </w:rPr>
        <w:t>ami</w:t>
      </w:r>
      <w:r w:rsidRPr="009B78DA">
        <w:rPr>
          <w:rFonts w:ascii="Arial" w:hAnsi="Arial" w:cs="Arial"/>
          <w:i/>
          <w:color w:val="000000" w:themeColor="text1"/>
          <w:sz w:val="22"/>
          <w:szCs w:val="22"/>
        </w:rPr>
        <w:t xml:space="preserve"> Europejski</w:t>
      </w:r>
      <w:r w:rsidR="00F06B2C" w:rsidRPr="009B78DA">
        <w:rPr>
          <w:rFonts w:ascii="Arial" w:hAnsi="Arial" w:cs="Arial"/>
          <w:i/>
          <w:color w:val="000000" w:themeColor="text1"/>
          <w:sz w:val="22"/>
          <w:szCs w:val="22"/>
        </w:rPr>
        <w:t>mi</w:t>
      </w:r>
      <w:r w:rsidRPr="009B78DA">
        <w:rPr>
          <w:rFonts w:ascii="Arial" w:hAnsi="Arial" w:cs="Arial"/>
          <w:i/>
          <w:color w:val="000000" w:themeColor="text1"/>
          <w:sz w:val="22"/>
          <w:szCs w:val="22"/>
        </w:rPr>
        <w:t xml:space="preserve"> dla Podkarpacia 2021-2027.</w:t>
      </w:r>
    </w:p>
    <w:p w14:paraId="57C1AC4A" w14:textId="78629EA3"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 uwagi na to, iż Program stanowi spełnienie warunkowości podstawowej CP3 dla </w:t>
      </w:r>
      <w:r w:rsidRPr="009B78DA">
        <w:rPr>
          <w:rFonts w:ascii="Arial" w:hAnsi="Arial" w:cs="Arial"/>
          <w:i/>
          <w:color w:val="000000" w:themeColor="text1"/>
          <w:sz w:val="22"/>
          <w:szCs w:val="22"/>
        </w:rPr>
        <w:t>Programu Fundusze Europejskie dla Podkarpacia 2021-2027</w:t>
      </w:r>
      <w:r w:rsidRPr="009B78DA">
        <w:rPr>
          <w:rFonts w:ascii="Arial" w:hAnsi="Arial" w:cs="Arial"/>
          <w:color w:val="000000" w:themeColor="text1"/>
          <w:sz w:val="22"/>
          <w:szCs w:val="22"/>
        </w:rPr>
        <w:t>, szczególna rola w zakresie zarządzania i monitorowania, przypada Komitetowi Monitorującemu. Rolą Komitetu Monitorującego jest koncentrowanie się na analizie efektów Programu i podejmowanie kluczowych decyzji w kontekście ewentualnych modyfikacji jego zapisów. Wobec powyższego, Komitet Monitorujący, powinien przynajmniej dwa razy w roku, w trakcie swojego posiedzenia dokonywać analizy postępów w realizacji</w:t>
      </w:r>
      <w:r w:rsidR="006E5498" w:rsidRPr="009B78DA">
        <w:rPr>
          <w:rFonts w:ascii="Arial" w:hAnsi="Arial" w:cs="Arial"/>
          <w:color w:val="000000" w:themeColor="text1"/>
          <w:sz w:val="22"/>
          <w:szCs w:val="22"/>
        </w:rPr>
        <w:t xml:space="preserve"> </w:t>
      </w:r>
      <w:r w:rsidRPr="009B78DA">
        <w:rPr>
          <w:rFonts w:ascii="Arial" w:hAnsi="Arial" w:cs="Arial"/>
          <w:i/>
          <w:color w:val="000000" w:themeColor="text1"/>
          <w:sz w:val="22"/>
          <w:szCs w:val="22"/>
        </w:rPr>
        <w:t>Programu Strategicznego Rozwoju Transportu Województwa Podkarpackiego do roku 2030</w:t>
      </w:r>
      <w:r w:rsidRPr="009B78DA">
        <w:rPr>
          <w:rFonts w:ascii="Arial" w:hAnsi="Arial" w:cs="Arial"/>
          <w:color w:val="000000" w:themeColor="text1"/>
          <w:sz w:val="22"/>
          <w:szCs w:val="22"/>
        </w:rPr>
        <w:t>.</w:t>
      </w:r>
    </w:p>
    <w:p w14:paraId="5AE4F112" w14:textId="4957A393" w:rsidR="005B425F" w:rsidRPr="009B78DA" w:rsidRDefault="005B425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Należy podkreślić, że w skład Komitetów Monitorujących powoływanych dla poszczególnych </w:t>
      </w:r>
      <w:r w:rsidR="003E29D5" w:rsidRPr="009B78DA">
        <w:rPr>
          <w:rFonts w:ascii="Arial" w:hAnsi="Arial" w:cs="Arial"/>
          <w:color w:val="000000" w:themeColor="text1"/>
          <w:sz w:val="22"/>
          <w:szCs w:val="22"/>
        </w:rPr>
        <w:t>funduszy europejskich</w:t>
      </w:r>
      <w:r w:rsidRPr="009B78DA">
        <w:rPr>
          <w:rFonts w:ascii="Arial" w:hAnsi="Arial" w:cs="Arial"/>
          <w:color w:val="000000" w:themeColor="text1"/>
          <w:sz w:val="22"/>
          <w:szCs w:val="22"/>
        </w:rPr>
        <w:t>, zarówno krajowych, jak i regionalnego, wchodzą przedstawiciele głównych kategorii interesariuszy zaangażowanych w proces wdrażania Programu, będą one zatem stanowiły kluczowe elementy systemu jego wdrażania.</w:t>
      </w:r>
    </w:p>
    <w:p w14:paraId="3BFB774A" w14:textId="789B8C5E"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Nie przewiduje się wprowadzenia odrębnego systemu monitorowania dla Programu. Odpowiednie informacje oraz dane będzie można pozyskać z poszczególnych </w:t>
      </w:r>
      <w:r w:rsidR="003E29D5" w:rsidRPr="009B78DA">
        <w:rPr>
          <w:rFonts w:ascii="Arial" w:hAnsi="Arial" w:cs="Arial"/>
          <w:color w:val="000000" w:themeColor="text1"/>
          <w:sz w:val="22"/>
          <w:szCs w:val="22"/>
        </w:rPr>
        <w:t>funduszy europejskich</w:t>
      </w:r>
      <w:r w:rsidRPr="009B78DA">
        <w:rPr>
          <w:rFonts w:ascii="Arial" w:hAnsi="Arial" w:cs="Arial"/>
          <w:color w:val="000000" w:themeColor="text1"/>
          <w:sz w:val="22"/>
          <w:szCs w:val="22"/>
        </w:rPr>
        <w:t xml:space="preserve"> realizujących inwestycje drogowe na obszarze województwa podkarpackiego. Do monitorowania Programu wykorzystywane będą bazy danych znajdujące się </w:t>
      </w:r>
      <w:r w:rsidR="00A26349">
        <w:rPr>
          <w:rFonts w:ascii="Arial" w:hAnsi="Arial" w:cs="Arial"/>
          <w:color w:val="000000" w:themeColor="text1"/>
          <w:sz w:val="22"/>
          <w:szCs w:val="22"/>
        </w:rPr>
        <w:br/>
      </w:r>
      <w:r w:rsidRPr="009B78DA">
        <w:rPr>
          <w:rFonts w:ascii="Arial" w:hAnsi="Arial" w:cs="Arial"/>
          <w:color w:val="000000" w:themeColor="text1"/>
          <w:sz w:val="22"/>
          <w:szCs w:val="22"/>
        </w:rPr>
        <w:t>w posiadaniu Departamentu Dróg</w:t>
      </w:r>
      <w:r w:rsidR="007F21F4"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i Publicznego Transportu Zbiorowego UMWP,</w:t>
      </w:r>
      <w:r w:rsidR="007F21F4"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pozostałych</w:t>
      </w:r>
      <w:r w:rsidR="007F21F4"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departamentów Urzędu oraz jednostek organizacyjnych samorządu województwa.</w:t>
      </w:r>
    </w:p>
    <w:p w14:paraId="391C14A5" w14:textId="55C6848C"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Na podstawie cyklicznie aktualizowanych danych odnoszących się do województwa podkarpackiego m. in. dostępnych w ramach Krajowego Modelu Ruchu tworzonego na zlecenie CUPT, będzie przeprowadzana coroczna weryfikacja realizacji działań zaplanowanych w niniejszym Programie. Przegląd postępów w realizacji PSRT WP będzie pozwalał w określonych sytuacjach na zmianę</w:t>
      </w:r>
      <w:r w:rsidR="0066223D">
        <w:rPr>
          <w:rFonts w:ascii="Arial" w:hAnsi="Arial" w:cs="Arial"/>
          <w:color w:val="000000" w:themeColor="text1"/>
          <w:sz w:val="22"/>
          <w:szCs w:val="22"/>
        </w:rPr>
        <w:t xml:space="preserve"> kwalifikacji danego działania </w:t>
      </w:r>
      <w:r w:rsidR="0066223D">
        <w:rPr>
          <w:rFonts w:ascii="Arial" w:hAnsi="Arial" w:cs="Arial"/>
          <w:color w:val="000000" w:themeColor="text1"/>
          <w:sz w:val="22"/>
          <w:szCs w:val="22"/>
        </w:rPr>
        <w:br/>
      </w:r>
      <w:r w:rsidRPr="009B78DA">
        <w:rPr>
          <w:rFonts w:ascii="Arial" w:hAnsi="Arial" w:cs="Arial"/>
          <w:color w:val="000000" w:themeColor="text1"/>
          <w:sz w:val="22"/>
          <w:szCs w:val="22"/>
        </w:rPr>
        <w:t>i przemieszczenie go z wyższej kategorii A do kategorii B (lub odwrotnie)</w:t>
      </w:r>
      <w:r w:rsidR="007F21F4"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redefiniując tym samym rangę i priorytet realizacyjny danej inwestycji (Priorytet A lub Priorytet B).</w:t>
      </w:r>
    </w:p>
    <w:p w14:paraId="0550D1B7" w14:textId="0264E6BE"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Do bieżącej oceny stopnia realizacji PSRT WP będzie można wykorzystać również dane, które będą zbierane w ramach systemu monitorowania przyjętego dla </w:t>
      </w:r>
      <w:r w:rsidRPr="009B78DA">
        <w:rPr>
          <w:rFonts w:ascii="Arial" w:hAnsi="Arial" w:cs="Arial"/>
          <w:i/>
          <w:color w:val="000000" w:themeColor="text1"/>
          <w:sz w:val="22"/>
          <w:szCs w:val="22"/>
        </w:rPr>
        <w:t>Strategii Rozwoju Województwa – Podkarpackie 2030</w:t>
      </w:r>
      <w:r w:rsidRPr="009B78DA">
        <w:rPr>
          <w:rFonts w:ascii="Arial" w:hAnsi="Arial" w:cs="Arial"/>
          <w:color w:val="000000" w:themeColor="text1"/>
          <w:sz w:val="22"/>
          <w:szCs w:val="22"/>
        </w:rPr>
        <w:t>. Powyższy system gw</w:t>
      </w:r>
      <w:r w:rsidR="0066223D">
        <w:rPr>
          <w:rFonts w:ascii="Arial" w:hAnsi="Arial" w:cs="Arial"/>
          <w:color w:val="000000" w:themeColor="text1"/>
          <w:sz w:val="22"/>
          <w:szCs w:val="22"/>
        </w:rPr>
        <w:t xml:space="preserve">arantuje uzyskiwanie bieżących </w:t>
      </w:r>
      <w:r w:rsidRPr="009B78DA">
        <w:rPr>
          <w:rFonts w:ascii="Arial" w:hAnsi="Arial" w:cs="Arial"/>
          <w:color w:val="000000" w:themeColor="text1"/>
          <w:sz w:val="22"/>
          <w:szCs w:val="22"/>
        </w:rPr>
        <w:t>i okresowych informacji na temat poszczególnych celów u</w:t>
      </w:r>
      <w:r w:rsidR="0066223D">
        <w:rPr>
          <w:rFonts w:ascii="Arial" w:hAnsi="Arial" w:cs="Arial"/>
          <w:color w:val="000000" w:themeColor="text1"/>
          <w:sz w:val="22"/>
          <w:szCs w:val="22"/>
        </w:rPr>
        <w:t xml:space="preserve">jętych w powyższym dokumencie, </w:t>
      </w:r>
      <w:r w:rsidRPr="009B78DA">
        <w:rPr>
          <w:rFonts w:ascii="Arial" w:hAnsi="Arial" w:cs="Arial"/>
          <w:color w:val="000000" w:themeColor="text1"/>
          <w:sz w:val="22"/>
          <w:szCs w:val="22"/>
        </w:rPr>
        <w:t xml:space="preserve">w tym dotyczącego wzmocnienia spójności wewnętrznej regionu. Ponadto umożliwia on obserwację trendów i zjawisk zachodzących w województwie w szerszym kontekście społeczno-gospodarczych uwarunkowań rozwojowych. Informacje pozyskane </w:t>
      </w:r>
      <w:r w:rsidR="0066223D">
        <w:rPr>
          <w:rFonts w:ascii="Arial" w:hAnsi="Arial" w:cs="Arial"/>
          <w:color w:val="000000" w:themeColor="text1"/>
          <w:sz w:val="22"/>
          <w:szCs w:val="22"/>
        </w:rPr>
        <w:br/>
      </w:r>
      <w:r w:rsidRPr="009B78DA">
        <w:rPr>
          <w:rFonts w:ascii="Arial" w:hAnsi="Arial" w:cs="Arial"/>
          <w:color w:val="000000" w:themeColor="text1"/>
          <w:sz w:val="22"/>
          <w:szCs w:val="22"/>
        </w:rPr>
        <w:t xml:space="preserve">w procesie monitorowania będą mogły być wykorzystywane w ramach koordynacji działań realizowanych na obszarze objętym Programem. Funkcje związane z monitoringiem </w:t>
      </w:r>
      <w:r w:rsidR="00A26349">
        <w:rPr>
          <w:rFonts w:ascii="Arial" w:hAnsi="Arial" w:cs="Arial"/>
          <w:color w:val="000000" w:themeColor="text1"/>
          <w:sz w:val="22"/>
          <w:szCs w:val="22"/>
        </w:rPr>
        <w:br/>
      </w:r>
      <w:r w:rsidRPr="009B78DA">
        <w:rPr>
          <w:rFonts w:ascii="Arial" w:hAnsi="Arial" w:cs="Arial"/>
          <w:color w:val="000000" w:themeColor="text1"/>
          <w:sz w:val="22"/>
          <w:szCs w:val="22"/>
        </w:rPr>
        <w:t>i sprawozdawczością dokumentu realizuje Departament Dróg i Publicznego Transportu Zbiorowego UMWP, współdziałając z odpowiednimi departamentami, wojewódzkimi jednostkami organizacyjnymi oraz instytucjami zewnętrznymi.</w:t>
      </w:r>
    </w:p>
    <w:p w14:paraId="088A0FCF" w14:textId="260C3707"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Program, w szczególności, obejmuje swoim zakresem realizację przedsięwzięć inwestycyjnych, które realizowane będą przez podmioty zarządzające infrastrukturą komunikacyjną. W </w:t>
      </w:r>
      <w:r w:rsidRPr="009B78DA">
        <w:rPr>
          <w:rFonts w:ascii="Arial" w:hAnsi="Arial" w:cs="Arial"/>
          <w:i/>
          <w:color w:val="000000" w:themeColor="text1"/>
          <w:sz w:val="22"/>
          <w:szCs w:val="22"/>
        </w:rPr>
        <w:t>Dokumencie Implementacyjnym do Strategii Transportu</w:t>
      </w:r>
      <w:r w:rsidRPr="009B78DA">
        <w:rPr>
          <w:rFonts w:ascii="Arial" w:hAnsi="Arial" w:cs="Arial"/>
          <w:color w:val="000000" w:themeColor="text1"/>
          <w:sz w:val="22"/>
          <w:szCs w:val="22"/>
        </w:rPr>
        <w:t xml:space="preserve"> zostały wskazane główne podmioty realizujące inwestycje w zakresie infrastruktury o znaczeniu krajowym. </w:t>
      </w:r>
      <w:r w:rsidRPr="009B78DA">
        <w:rPr>
          <w:rFonts w:ascii="Arial" w:hAnsi="Arial" w:cs="Arial"/>
          <w:color w:val="000000" w:themeColor="text1"/>
          <w:sz w:val="22"/>
          <w:szCs w:val="22"/>
        </w:rPr>
        <w:br/>
        <w:t>W dokumencie tym, zostały również przedstawione ich zdolności instytucjonalne.</w:t>
      </w:r>
    </w:p>
    <w:p w14:paraId="338D1FC3" w14:textId="77777777"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zakresie regionalnej infrastruktury drogowej, podstawową instytucją jest Podkarpacki Zarząd Dróg Wojewódzkich z siedzibą w Rzeszowie. Instytucja ta jest jednostką organizacyjną Samorządu Województwa Podkarpackiego i administruje drogami wojewódzkimi na terenie województwa podkarpackiego.</w:t>
      </w:r>
    </w:p>
    <w:p w14:paraId="48085215" w14:textId="77777777"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Zakres podstawowej działalności PZDW obejmuje m.in. zapewnienie ciągłości komunikacyjnej i bezpieczeństwa ruchu na drogach wojewódzkich oraz sukcesywne podnoszenie parametrów technicznych dróg i mostów do wymogów Unii Europejskiej.</w:t>
      </w:r>
    </w:p>
    <w:p w14:paraId="0241CC18" w14:textId="77777777"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Podkarpacki Zarząd Dróg Wojewódzkich jako wykonujący obowiązki zarządu dróg oraz inwestora na sieci dróg wojewódzkich, w imieniu Urzędu Marszałkowskiego Województwa Podkarpackiego, swoje działanie dostosowuje do rozmiarów środków finansowych desygnowanych przez Sejmik Województwa Podkarpackiego.</w:t>
      </w:r>
    </w:p>
    <w:p w14:paraId="313F6DBE" w14:textId="7BA227F7" w:rsidR="008D3E7F" w:rsidRPr="009B78DA"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Realizacja przedsięwzięć dotyczących pozostałej infrastruktury, w tym na drogach lokalnych realizowana będzie przez podmioty zarządzające tą infrastrukturą, których zdolność instytucjonalna będzie oceniana na poziomie weryfikacji poszczególnych projektów</w:t>
      </w:r>
      <w:r w:rsidR="0066223D">
        <w:rPr>
          <w:rFonts w:ascii="Arial" w:hAnsi="Arial" w:cs="Arial"/>
          <w:color w:val="000000" w:themeColor="text1"/>
          <w:sz w:val="22"/>
          <w:szCs w:val="22"/>
        </w:rPr>
        <w:t xml:space="preserve"> zgłaszanych do dofinansowania.</w:t>
      </w:r>
    </w:p>
    <w:p w14:paraId="2665CEB3" w14:textId="499347E3" w:rsidR="00656CFD" w:rsidRPr="0066223D" w:rsidRDefault="008D3E7F" w:rsidP="0066223D">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związku z powyższym w ramach otoczenia infrastrukturalnego i instytucjonalnego ważne będzie utworzenie nowoczesnego modelu zarządzania systemem transportowym województwa obejmującego powiązanie prac różnych podmiotów odpowiedzialnych za strategiczne planowanie rozwoju transportu w regionie i kształtowanie polityki rozwoju nowoczesnych technologii transportowych i logistycznych. Wsparcie prac wszystkich zaangażowanych podmiotów umożliwi nadzór merytoryczny nad „gałęziowymi” zarządcami infrastruktury transportowej mający na celu opt</w:t>
      </w:r>
      <w:r w:rsidR="0066223D">
        <w:rPr>
          <w:rFonts w:ascii="Arial" w:hAnsi="Arial" w:cs="Arial"/>
          <w:color w:val="000000" w:themeColor="text1"/>
          <w:sz w:val="22"/>
          <w:szCs w:val="22"/>
        </w:rPr>
        <w:t>ymalną koordynację jej rozwoju.</w:t>
      </w:r>
    </w:p>
    <w:p w14:paraId="2E64F385" w14:textId="0AE47630" w:rsidR="00411DCD" w:rsidRPr="009B78DA" w:rsidRDefault="00853BDD" w:rsidP="0066223D">
      <w:pPr>
        <w:pStyle w:val="Nagwek2"/>
        <w:numPr>
          <w:ilvl w:val="0"/>
          <w:numId w:val="125"/>
        </w:numPr>
        <w:spacing w:line="276" w:lineRule="auto"/>
        <w:rPr>
          <w:rFonts w:cs="Arial"/>
          <w:b w:val="0"/>
          <w:bCs/>
          <w:sz w:val="24"/>
          <w:szCs w:val="24"/>
        </w:rPr>
      </w:pPr>
      <w:bookmarkStart w:id="380" w:name="_Toc100335082"/>
      <w:bookmarkStart w:id="381" w:name="_Toc146785808"/>
      <w:bookmarkStart w:id="382" w:name="_Hlk122684803"/>
      <w:bookmarkEnd w:id="365"/>
      <w:r w:rsidRPr="009B78DA">
        <w:rPr>
          <w:rFonts w:cs="Arial"/>
          <w:bCs/>
          <w:sz w:val="24"/>
          <w:szCs w:val="24"/>
        </w:rPr>
        <w:t>Kryteria wyboru projek</w:t>
      </w:r>
      <w:r w:rsidR="008F6E68" w:rsidRPr="009B78DA">
        <w:rPr>
          <w:rFonts w:cs="Arial"/>
          <w:bCs/>
          <w:sz w:val="24"/>
          <w:szCs w:val="24"/>
        </w:rPr>
        <w:t>tów</w:t>
      </w:r>
      <w:bookmarkEnd w:id="380"/>
      <w:bookmarkEnd w:id="381"/>
    </w:p>
    <w:p w14:paraId="3B3D72DA" w14:textId="73F4AC69" w:rsidR="00DD1D57" w:rsidRPr="009B78DA" w:rsidRDefault="00DD1D57" w:rsidP="0066223D">
      <w:pPr>
        <w:pStyle w:val="Tekstkomentarza"/>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Przedstawione przez Komisję Europejską wytyczne inwestycyjne dla Polski</w:t>
      </w:r>
      <w:r w:rsidRPr="009B78DA">
        <w:rPr>
          <w:rStyle w:val="Odwoanieprzypisudolnego"/>
          <w:rFonts w:ascii="Arial" w:hAnsi="Arial" w:cs="Arial"/>
          <w:color w:val="000000" w:themeColor="text1"/>
          <w:sz w:val="22"/>
          <w:szCs w:val="22"/>
        </w:rPr>
        <w:footnoteReference w:id="34"/>
      </w:r>
      <w:r w:rsidRPr="009B78DA">
        <w:rPr>
          <w:rFonts w:ascii="Arial" w:hAnsi="Arial" w:cs="Arial"/>
          <w:color w:val="000000" w:themeColor="text1"/>
          <w:sz w:val="22"/>
          <w:szCs w:val="22"/>
        </w:rPr>
        <w:t xml:space="preserve">,  wskazują priorytetowe obszary, które powinny zostać wspierane w perspektywie finansowej 2021-2027 w celu osiągnięcia zrównoważonej mobilności intermodalnej </w:t>
      </w:r>
      <w:r w:rsidR="00A26349">
        <w:rPr>
          <w:rFonts w:ascii="Arial" w:hAnsi="Arial" w:cs="Arial"/>
          <w:color w:val="000000" w:themeColor="text1"/>
          <w:sz w:val="22"/>
          <w:szCs w:val="22"/>
        </w:rPr>
        <w:br/>
      </w:r>
      <w:r w:rsidRPr="009B78DA">
        <w:rPr>
          <w:rFonts w:ascii="Arial" w:hAnsi="Arial" w:cs="Arial"/>
          <w:color w:val="000000" w:themeColor="text1"/>
          <w:sz w:val="22"/>
          <w:szCs w:val="22"/>
        </w:rPr>
        <w:t>(w tym zrównoważonej mobilności miejskiej).  Należą do nich następujące obszary:</w:t>
      </w:r>
    </w:p>
    <w:p w14:paraId="71DF0D94" w14:textId="5DF4B491" w:rsidR="00411DCD" w:rsidRPr="009B78DA" w:rsidRDefault="00411DCD" w:rsidP="0066223D">
      <w:pPr>
        <w:pStyle w:val="Tekstkomentarza"/>
        <w:numPr>
          <w:ilvl w:val="0"/>
          <w:numId w:val="240"/>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Usunięcie luk w kolejowej sieci TEN-T oraz przejście do transportu zrównoważonego </w:t>
      </w:r>
      <w:r w:rsidR="006014D4" w:rsidRPr="009B78DA">
        <w:rPr>
          <w:rFonts w:ascii="Arial" w:hAnsi="Arial" w:cs="Arial"/>
          <w:color w:val="000000" w:themeColor="text1"/>
          <w:sz w:val="22"/>
          <w:szCs w:val="22"/>
        </w:rPr>
        <w:br/>
      </w:r>
      <w:r w:rsidRPr="009B78DA">
        <w:rPr>
          <w:rFonts w:ascii="Arial" w:hAnsi="Arial" w:cs="Arial"/>
          <w:color w:val="000000" w:themeColor="text1"/>
          <w:sz w:val="22"/>
          <w:szCs w:val="22"/>
        </w:rPr>
        <w:t>(w tym kolei).</w:t>
      </w:r>
    </w:p>
    <w:p w14:paraId="1518E5EC" w14:textId="0C872A7E" w:rsidR="00411DCD" w:rsidRPr="009B78DA" w:rsidRDefault="00411DCD" w:rsidP="0066223D">
      <w:pPr>
        <w:pStyle w:val="Tekstkomentarza"/>
        <w:numPr>
          <w:ilvl w:val="0"/>
          <w:numId w:val="240"/>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Poprawa transportu publicznego na obszarach peryferyjnych, wiejskich </w:t>
      </w:r>
      <w:r w:rsidR="00A26349">
        <w:rPr>
          <w:rFonts w:ascii="Arial" w:hAnsi="Arial" w:cs="Arial"/>
          <w:color w:val="000000" w:themeColor="text1"/>
          <w:sz w:val="22"/>
          <w:szCs w:val="22"/>
        </w:rPr>
        <w:br/>
      </w:r>
      <w:r w:rsidRPr="009B78DA">
        <w:rPr>
          <w:rFonts w:ascii="Arial" w:hAnsi="Arial" w:cs="Arial"/>
          <w:color w:val="000000" w:themeColor="text1"/>
          <w:sz w:val="22"/>
          <w:szCs w:val="22"/>
        </w:rPr>
        <w:t>i transgranicznych.</w:t>
      </w:r>
    </w:p>
    <w:p w14:paraId="77394BA6" w14:textId="77777777" w:rsidR="00411DCD" w:rsidRPr="009B78DA" w:rsidRDefault="00411DCD" w:rsidP="0066223D">
      <w:pPr>
        <w:pStyle w:val="Tekstkomentarza"/>
        <w:numPr>
          <w:ilvl w:val="0"/>
          <w:numId w:val="240"/>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Wspieranie multimodalnej zrównoważonej mobilności miejskiej zgodnie z SUMP.</w:t>
      </w:r>
    </w:p>
    <w:p w14:paraId="587DF2DE" w14:textId="5B3B3CAA" w:rsidR="00DD1D57" w:rsidRPr="009B78DA" w:rsidRDefault="00411DCD" w:rsidP="0066223D">
      <w:pPr>
        <w:pStyle w:val="Tekstkomentarza"/>
        <w:numPr>
          <w:ilvl w:val="0"/>
          <w:numId w:val="240"/>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Dalsze ograniczenie wpływu transportu na środowisko i poprawy jego bezpieczeństwa</w:t>
      </w:r>
      <w:r w:rsidR="00DD1D57" w:rsidRPr="009B78DA">
        <w:rPr>
          <w:rFonts w:ascii="Arial" w:hAnsi="Arial" w:cs="Arial"/>
          <w:color w:val="000000" w:themeColor="text1"/>
          <w:sz w:val="22"/>
          <w:szCs w:val="22"/>
        </w:rPr>
        <w:t>.</w:t>
      </w:r>
    </w:p>
    <w:p w14:paraId="4F87C552" w14:textId="33D240A7" w:rsidR="009E181A" w:rsidRPr="009B78DA" w:rsidRDefault="00DD1D57" w:rsidP="0066223D">
      <w:pPr>
        <w:pStyle w:val="Tekstkomentarza"/>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Ponieważ w swym założeniu PSRT WP wypełniać będzie cele zmierzające do zwiększenia dostępności transportowej przy jednoczesnej poprawie bezpieczeństwa uczestników ruchu, ochronie środowiska naturalnego (w tym ochronie klimatu) oraz efektywności sektora transportowego poprzez tworzenie spójnego, zrównoważonego </w:t>
      </w:r>
      <w:r w:rsidR="00F67B2D"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i przyjaznego użytkownikowi systemu transportowego, wskazane powyżej wytyczne polityki spójności zostały uwzględnione w Programie także przy opracowaniu kryteriów umożliwiających wybór inwestycji planowanych do realizacji na poziomie regionalnym. </w:t>
      </w:r>
      <w:bookmarkStart w:id="383" w:name="_Hlk92194945"/>
      <w:r w:rsidR="00656CFD" w:rsidRPr="009B78DA">
        <w:rPr>
          <w:rFonts w:ascii="Arial" w:hAnsi="Arial" w:cs="Arial"/>
          <w:color w:val="000000" w:themeColor="text1"/>
          <w:sz w:val="22"/>
          <w:szCs w:val="22"/>
        </w:rPr>
        <w:br/>
      </w:r>
      <w:bookmarkStart w:id="384" w:name="_Hlk92262689"/>
      <w:r w:rsidR="00AE200E" w:rsidRPr="009B78DA">
        <w:rPr>
          <w:rFonts w:ascii="Arial" w:hAnsi="Arial" w:cs="Arial"/>
          <w:color w:val="000000" w:themeColor="text1"/>
          <w:sz w:val="22"/>
          <w:szCs w:val="22"/>
        </w:rPr>
        <w:t>Na podstawie opracowanych kryteriów przygotowana została spriorytetyzowana lista kluczowych</w:t>
      </w:r>
      <w:r w:rsidR="002D7F09" w:rsidRPr="009B78DA">
        <w:rPr>
          <w:rFonts w:ascii="Arial" w:hAnsi="Arial" w:cs="Arial"/>
          <w:color w:val="000000" w:themeColor="text1"/>
          <w:sz w:val="22"/>
          <w:szCs w:val="22"/>
        </w:rPr>
        <w:t>/strategicznych</w:t>
      </w:r>
      <w:r w:rsidR="00AE200E" w:rsidRPr="009B78DA">
        <w:rPr>
          <w:rFonts w:ascii="Arial" w:hAnsi="Arial" w:cs="Arial"/>
          <w:color w:val="000000" w:themeColor="text1"/>
          <w:sz w:val="22"/>
          <w:szCs w:val="22"/>
        </w:rPr>
        <w:t xml:space="preserve"> inwestycji, planowanych do wsparcia w ramach </w:t>
      </w:r>
      <w:r w:rsidR="002D7F09" w:rsidRPr="009B78DA">
        <w:rPr>
          <w:rFonts w:ascii="Arial" w:hAnsi="Arial" w:cs="Arial"/>
          <w:color w:val="000000" w:themeColor="text1"/>
          <w:sz w:val="22"/>
          <w:szCs w:val="22"/>
        </w:rPr>
        <w:t>regionalnego programu FEP 2021-2027 oraz programu FEPW 2021-2027</w:t>
      </w:r>
      <w:r w:rsidR="00AE200E" w:rsidRPr="009B78DA">
        <w:rPr>
          <w:rFonts w:ascii="Arial" w:hAnsi="Arial" w:cs="Arial"/>
          <w:color w:val="000000" w:themeColor="text1"/>
          <w:sz w:val="22"/>
          <w:szCs w:val="22"/>
        </w:rPr>
        <w:t>.</w:t>
      </w:r>
      <w:r w:rsidR="006650D9" w:rsidRPr="009B78DA">
        <w:rPr>
          <w:rFonts w:ascii="Arial" w:hAnsi="Arial" w:cs="Arial"/>
          <w:color w:val="000000" w:themeColor="text1"/>
          <w:sz w:val="22"/>
          <w:szCs w:val="22"/>
        </w:rPr>
        <w:t xml:space="preserve"> Ponadto, w odniesieniu do</w:t>
      </w:r>
      <w:r w:rsidR="009E181A" w:rsidRPr="009B78DA">
        <w:rPr>
          <w:rFonts w:ascii="Arial" w:hAnsi="Arial" w:cs="Arial"/>
          <w:color w:val="000000" w:themeColor="text1"/>
          <w:sz w:val="22"/>
          <w:szCs w:val="22"/>
        </w:rPr>
        <w:t xml:space="preserve"> każdego z zaproponowanych projektów</w:t>
      </w:r>
      <w:r w:rsidR="006650D9" w:rsidRPr="009B78DA">
        <w:rPr>
          <w:rFonts w:ascii="Arial" w:hAnsi="Arial" w:cs="Arial"/>
          <w:color w:val="000000" w:themeColor="text1"/>
          <w:sz w:val="22"/>
          <w:szCs w:val="22"/>
        </w:rPr>
        <w:t>,</w:t>
      </w:r>
      <w:r w:rsidR="009E181A" w:rsidRPr="009B78DA">
        <w:rPr>
          <w:rFonts w:ascii="Arial" w:hAnsi="Arial" w:cs="Arial"/>
          <w:color w:val="000000" w:themeColor="text1"/>
          <w:sz w:val="22"/>
          <w:szCs w:val="22"/>
        </w:rPr>
        <w:t xml:space="preserve"> zastosowan</w:t>
      </w:r>
      <w:r w:rsidR="003D0745" w:rsidRPr="009B78DA">
        <w:rPr>
          <w:rFonts w:ascii="Arial" w:hAnsi="Arial" w:cs="Arial"/>
          <w:color w:val="000000" w:themeColor="text1"/>
          <w:sz w:val="22"/>
          <w:szCs w:val="22"/>
        </w:rPr>
        <w:t>ie ma</w:t>
      </w:r>
      <w:r w:rsidR="009E181A" w:rsidRPr="009B78DA">
        <w:rPr>
          <w:rFonts w:ascii="Arial" w:hAnsi="Arial" w:cs="Arial"/>
          <w:color w:val="000000" w:themeColor="text1"/>
          <w:sz w:val="22"/>
          <w:szCs w:val="22"/>
        </w:rPr>
        <w:t xml:space="preserve"> </w:t>
      </w:r>
      <w:r w:rsidR="006650D9" w:rsidRPr="009B78DA">
        <w:rPr>
          <w:rFonts w:ascii="Arial" w:hAnsi="Arial" w:cs="Arial"/>
          <w:color w:val="000000" w:themeColor="text1"/>
          <w:sz w:val="22"/>
          <w:szCs w:val="22"/>
        </w:rPr>
        <w:t>kryterium wstępne (</w:t>
      </w:r>
      <w:r w:rsidR="009E181A" w:rsidRPr="009B78DA">
        <w:rPr>
          <w:rFonts w:ascii="Arial" w:hAnsi="Arial" w:cs="Arial"/>
          <w:color w:val="000000" w:themeColor="text1"/>
          <w:sz w:val="22"/>
          <w:szCs w:val="22"/>
        </w:rPr>
        <w:t>kryterium dopuszczające</w:t>
      </w:r>
      <w:r w:rsidR="006650D9" w:rsidRPr="009B78DA">
        <w:rPr>
          <w:rFonts w:ascii="Arial" w:hAnsi="Arial" w:cs="Arial"/>
          <w:color w:val="000000" w:themeColor="text1"/>
          <w:sz w:val="22"/>
          <w:szCs w:val="22"/>
        </w:rPr>
        <w:t>)</w:t>
      </w:r>
      <w:r w:rsidR="009E181A" w:rsidRPr="009B78DA">
        <w:rPr>
          <w:rFonts w:ascii="Arial" w:hAnsi="Arial" w:cs="Arial"/>
          <w:color w:val="000000" w:themeColor="text1"/>
          <w:sz w:val="22"/>
          <w:szCs w:val="22"/>
        </w:rPr>
        <w:t>, które opiera</w:t>
      </w:r>
      <w:r w:rsidR="006650D9" w:rsidRPr="009B78DA">
        <w:rPr>
          <w:rFonts w:ascii="Arial" w:hAnsi="Arial" w:cs="Arial"/>
          <w:color w:val="000000" w:themeColor="text1"/>
          <w:sz w:val="22"/>
          <w:szCs w:val="22"/>
        </w:rPr>
        <w:t xml:space="preserve"> się</w:t>
      </w:r>
      <w:r w:rsidR="009E181A" w:rsidRPr="009B78DA">
        <w:rPr>
          <w:rFonts w:ascii="Arial" w:hAnsi="Arial" w:cs="Arial"/>
          <w:color w:val="000000" w:themeColor="text1"/>
          <w:sz w:val="22"/>
          <w:szCs w:val="22"/>
        </w:rPr>
        <w:t xml:space="preserve"> na uwzględnieniu ekonomicznego aspektu projektu.</w:t>
      </w:r>
      <w:r w:rsidR="006650D9" w:rsidRPr="009B78DA">
        <w:rPr>
          <w:rFonts w:ascii="Arial" w:hAnsi="Arial" w:cs="Arial"/>
          <w:color w:val="000000" w:themeColor="text1"/>
          <w:sz w:val="22"/>
          <w:szCs w:val="22"/>
        </w:rPr>
        <w:t xml:space="preserve"> Dla</w:t>
      </w:r>
      <w:r w:rsidR="009E181A" w:rsidRPr="009B78DA">
        <w:rPr>
          <w:rFonts w:ascii="Arial" w:hAnsi="Arial" w:cs="Arial"/>
          <w:color w:val="000000" w:themeColor="text1"/>
          <w:sz w:val="22"/>
          <w:szCs w:val="22"/>
        </w:rPr>
        <w:t xml:space="preserve"> każdego z projektów </w:t>
      </w:r>
      <w:r w:rsidR="006650D9" w:rsidRPr="009B78DA">
        <w:rPr>
          <w:rFonts w:ascii="Arial" w:hAnsi="Arial" w:cs="Arial"/>
          <w:color w:val="000000" w:themeColor="text1"/>
          <w:sz w:val="22"/>
          <w:szCs w:val="22"/>
        </w:rPr>
        <w:t xml:space="preserve">jest </w:t>
      </w:r>
      <w:r w:rsidR="009E181A" w:rsidRPr="009B78DA">
        <w:rPr>
          <w:rFonts w:ascii="Arial" w:hAnsi="Arial" w:cs="Arial"/>
          <w:color w:val="000000" w:themeColor="text1"/>
          <w:sz w:val="22"/>
          <w:szCs w:val="22"/>
        </w:rPr>
        <w:t>przeprowadz</w:t>
      </w:r>
      <w:r w:rsidR="006650D9" w:rsidRPr="009B78DA">
        <w:rPr>
          <w:rFonts w:ascii="Arial" w:hAnsi="Arial" w:cs="Arial"/>
          <w:color w:val="000000" w:themeColor="text1"/>
          <w:sz w:val="22"/>
          <w:szCs w:val="22"/>
        </w:rPr>
        <w:t>a</w:t>
      </w:r>
      <w:r w:rsidR="009E181A" w:rsidRPr="009B78DA">
        <w:rPr>
          <w:rFonts w:ascii="Arial" w:hAnsi="Arial" w:cs="Arial"/>
          <w:color w:val="000000" w:themeColor="text1"/>
          <w:sz w:val="22"/>
          <w:szCs w:val="22"/>
        </w:rPr>
        <w:t xml:space="preserve">na analiza, która ma wykazać ocenę </w:t>
      </w:r>
      <w:r w:rsidR="006650D9" w:rsidRPr="009B78DA">
        <w:rPr>
          <w:rFonts w:ascii="Arial" w:hAnsi="Arial" w:cs="Arial"/>
          <w:color w:val="000000" w:themeColor="text1"/>
          <w:sz w:val="22"/>
          <w:szCs w:val="22"/>
        </w:rPr>
        <w:t xml:space="preserve">opłacalności </w:t>
      </w:r>
      <w:r w:rsidR="009E181A" w:rsidRPr="009B78DA">
        <w:rPr>
          <w:rFonts w:ascii="Arial" w:hAnsi="Arial" w:cs="Arial"/>
          <w:color w:val="000000" w:themeColor="text1"/>
          <w:sz w:val="22"/>
          <w:szCs w:val="22"/>
        </w:rPr>
        <w:t xml:space="preserve">konkretnej inwestycji na zasadzie </w:t>
      </w:r>
      <w:r w:rsidR="006650D9" w:rsidRPr="009B78DA">
        <w:rPr>
          <w:rFonts w:ascii="Arial" w:hAnsi="Arial" w:cs="Arial"/>
          <w:color w:val="000000" w:themeColor="text1"/>
          <w:sz w:val="22"/>
          <w:szCs w:val="22"/>
        </w:rPr>
        <w:t>„</w:t>
      </w:r>
      <w:r w:rsidR="009E181A" w:rsidRPr="009B78DA">
        <w:rPr>
          <w:rFonts w:ascii="Arial" w:hAnsi="Arial" w:cs="Arial"/>
          <w:color w:val="000000" w:themeColor="text1"/>
          <w:sz w:val="22"/>
          <w:szCs w:val="22"/>
        </w:rPr>
        <w:t>TAK lub NIE" (0-1).</w:t>
      </w:r>
      <w:r w:rsidR="003D0745" w:rsidRPr="009B78DA">
        <w:rPr>
          <w:rFonts w:ascii="Arial" w:hAnsi="Arial" w:cs="Arial"/>
          <w:color w:val="000000" w:themeColor="text1"/>
          <w:sz w:val="22"/>
          <w:szCs w:val="22"/>
        </w:rPr>
        <w:t xml:space="preserve"> </w:t>
      </w:r>
    </w:p>
    <w:p w14:paraId="4B607246" w14:textId="54D137E0" w:rsidR="00DD1D57" w:rsidRPr="00F1012A" w:rsidRDefault="00AE200E" w:rsidP="00F1012A">
      <w:pPr>
        <w:pStyle w:val="Tekstkomentarza"/>
        <w:spacing w:after="120" w:line="276" w:lineRule="auto"/>
        <w:ind w:firstLine="709"/>
        <w:rPr>
          <w:rFonts w:ascii="Arial" w:hAnsi="Arial" w:cs="Arial"/>
          <w:color w:val="000000" w:themeColor="text1"/>
          <w:sz w:val="22"/>
          <w:szCs w:val="22"/>
          <w:highlight w:val="yellow"/>
        </w:rPr>
      </w:pPr>
      <w:r w:rsidRPr="009B78DA">
        <w:rPr>
          <w:rFonts w:ascii="Arial" w:hAnsi="Arial" w:cs="Arial"/>
          <w:iCs/>
          <w:color w:val="000000" w:themeColor="text1"/>
          <w:sz w:val="22"/>
          <w:szCs w:val="22"/>
        </w:rPr>
        <w:t>W przypadku inwestycji planowanych do wsparcia w ramach wskazanych powyżej programów</w:t>
      </w:r>
      <w:r w:rsidR="00227805" w:rsidRPr="009B78DA">
        <w:rPr>
          <w:rFonts w:ascii="Arial" w:hAnsi="Arial" w:cs="Arial"/>
          <w:iCs/>
          <w:color w:val="000000" w:themeColor="text1"/>
          <w:sz w:val="22"/>
          <w:szCs w:val="22"/>
        </w:rPr>
        <w:t>,</w:t>
      </w:r>
      <w:r w:rsidRPr="009B78DA">
        <w:rPr>
          <w:rFonts w:ascii="Arial" w:hAnsi="Arial" w:cs="Arial"/>
          <w:iCs/>
          <w:color w:val="000000" w:themeColor="text1"/>
          <w:sz w:val="22"/>
          <w:szCs w:val="22"/>
        </w:rPr>
        <w:t xml:space="preserve"> </w:t>
      </w:r>
      <w:r w:rsidR="003D0745" w:rsidRPr="009B78DA">
        <w:rPr>
          <w:rFonts w:ascii="Arial" w:hAnsi="Arial" w:cs="Arial"/>
          <w:iCs/>
          <w:color w:val="000000" w:themeColor="text1"/>
          <w:sz w:val="22"/>
          <w:szCs w:val="22"/>
        </w:rPr>
        <w:t xml:space="preserve">po uzyskaniu oceny „TAK”, </w:t>
      </w:r>
      <w:r w:rsidRPr="009B78DA">
        <w:rPr>
          <w:rFonts w:ascii="Arial" w:hAnsi="Arial" w:cs="Arial"/>
          <w:iCs/>
          <w:color w:val="000000" w:themeColor="text1"/>
          <w:sz w:val="22"/>
          <w:szCs w:val="22"/>
        </w:rPr>
        <w:t xml:space="preserve">inwestycje wybrane zostaną </w:t>
      </w:r>
      <w:r w:rsidR="00227805" w:rsidRPr="009B78DA">
        <w:rPr>
          <w:rFonts w:ascii="Arial" w:hAnsi="Arial" w:cs="Arial"/>
          <w:iCs/>
          <w:color w:val="000000" w:themeColor="text1"/>
          <w:sz w:val="22"/>
          <w:szCs w:val="22"/>
        </w:rPr>
        <w:t xml:space="preserve">na podstawie </w:t>
      </w:r>
      <w:r w:rsidRPr="009B78DA">
        <w:rPr>
          <w:rFonts w:ascii="Arial" w:hAnsi="Arial" w:cs="Arial"/>
          <w:iCs/>
          <w:color w:val="000000" w:themeColor="text1"/>
          <w:sz w:val="22"/>
          <w:szCs w:val="22"/>
        </w:rPr>
        <w:t>opracowan</w:t>
      </w:r>
      <w:r w:rsidR="00227805" w:rsidRPr="009B78DA">
        <w:rPr>
          <w:rFonts w:ascii="Arial" w:hAnsi="Arial" w:cs="Arial"/>
          <w:iCs/>
          <w:color w:val="000000" w:themeColor="text1"/>
          <w:sz w:val="22"/>
          <w:szCs w:val="22"/>
        </w:rPr>
        <w:t>ych kryteriów</w:t>
      </w:r>
      <w:r w:rsidRPr="009B78DA">
        <w:rPr>
          <w:rFonts w:ascii="Arial" w:hAnsi="Arial" w:cs="Arial"/>
          <w:iCs/>
          <w:color w:val="000000" w:themeColor="text1"/>
          <w:sz w:val="22"/>
          <w:szCs w:val="22"/>
        </w:rPr>
        <w:t xml:space="preserve"> w treści przedmiotowych dokumentów</w:t>
      </w:r>
      <w:r w:rsidR="00227805" w:rsidRPr="009B78DA">
        <w:rPr>
          <w:rStyle w:val="Odwoanieprzypisudolnego"/>
          <w:rFonts w:ascii="Arial" w:hAnsi="Arial" w:cs="Arial"/>
          <w:iCs/>
          <w:color w:val="000000" w:themeColor="text1"/>
          <w:sz w:val="22"/>
          <w:szCs w:val="22"/>
        </w:rPr>
        <w:footnoteReference w:id="35"/>
      </w:r>
      <w:r w:rsidR="00D62159" w:rsidRPr="009B78DA">
        <w:rPr>
          <w:color w:val="000000" w:themeColor="text1"/>
        </w:rPr>
        <w:t>.</w:t>
      </w:r>
      <w:r w:rsidR="00DD1D57" w:rsidRPr="009B78DA">
        <w:rPr>
          <w:rFonts w:ascii="Arial" w:hAnsi="Arial" w:cs="Arial"/>
          <w:color w:val="000000" w:themeColor="text1"/>
          <w:sz w:val="22"/>
          <w:szCs w:val="22"/>
        </w:rPr>
        <w:t xml:space="preserve"> </w:t>
      </w:r>
      <w:bookmarkStart w:id="386" w:name="_Hlk92192841"/>
      <w:r w:rsidR="00194480" w:rsidRPr="009B78DA">
        <w:rPr>
          <w:rFonts w:ascii="Arial" w:hAnsi="Arial" w:cs="Arial"/>
          <w:color w:val="000000" w:themeColor="text1"/>
          <w:sz w:val="22"/>
          <w:szCs w:val="22"/>
        </w:rPr>
        <w:t>Ocenie wg kryteriów</w:t>
      </w:r>
      <w:r w:rsidR="00380F2B">
        <w:rPr>
          <w:rFonts w:ascii="Arial" w:hAnsi="Arial" w:cs="Arial"/>
          <w:color w:val="000000" w:themeColor="text1"/>
          <w:sz w:val="22"/>
          <w:szCs w:val="22"/>
        </w:rPr>
        <w:t xml:space="preserve"> </w:t>
      </w:r>
      <w:r w:rsidR="00380F2B">
        <w:rPr>
          <w:rFonts w:ascii="Arial" w:hAnsi="Arial" w:cs="Arial"/>
          <w:color w:val="000000" w:themeColor="text1"/>
          <w:sz w:val="22"/>
          <w:szCs w:val="22"/>
        </w:rPr>
        <w:br/>
      </w:r>
      <w:r w:rsidR="00194480" w:rsidRPr="009B78DA">
        <w:rPr>
          <w:rFonts w:ascii="Arial" w:hAnsi="Arial" w:cs="Arial"/>
          <w:color w:val="000000" w:themeColor="text1"/>
          <w:sz w:val="22"/>
          <w:szCs w:val="22"/>
        </w:rPr>
        <w:t>i wskazanej punktacji będą podlegały tylko te projekty, które wykażą opłacalność ekonomiczną.</w:t>
      </w:r>
      <w:bookmarkEnd w:id="383"/>
      <w:bookmarkEnd w:id="384"/>
      <w:bookmarkEnd w:id="386"/>
    </w:p>
    <w:p w14:paraId="578F0DC9" w14:textId="11E80A83" w:rsidR="00F67B2D" w:rsidRPr="00250F8C" w:rsidRDefault="00C64374" w:rsidP="00250F8C">
      <w:pPr>
        <w:jc w:val="center"/>
        <w:rPr>
          <w:rFonts w:ascii="Arial" w:hAnsi="Arial" w:cs="Arial"/>
          <w:b/>
          <w:bCs/>
          <w:color w:val="000000" w:themeColor="text1"/>
          <w:sz w:val="22"/>
          <w:szCs w:val="22"/>
        </w:rPr>
      </w:pPr>
      <w:bookmarkStart w:id="387" w:name="_Hlk92263492"/>
      <w:bookmarkStart w:id="388" w:name="_Hlk92263571"/>
      <w:r w:rsidRPr="009B78DA">
        <w:rPr>
          <w:rFonts w:ascii="Arial" w:hAnsi="Arial" w:cs="Arial"/>
          <w:b/>
          <w:bCs/>
          <w:color w:val="000000" w:themeColor="text1"/>
          <w:sz w:val="22"/>
          <w:szCs w:val="22"/>
        </w:rPr>
        <w:t xml:space="preserve">Kryteria priorytetyzacji projektów dotyczących infrastruktury drogowej </w:t>
      </w:r>
      <w:r w:rsidR="00DA7B48" w:rsidRPr="009B78DA">
        <w:rPr>
          <w:rFonts w:ascii="Arial" w:hAnsi="Arial" w:cs="Arial"/>
          <w:b/>
          <w:bCs/>
          <w:color w:val="000000" w:themeColor="text1"/>
          <w:sz w:val="22"/>
          <w:szCs w:val="22"/>
        </w:rPr>
        <w:t xml:space="preserve">- </w:t>
      </w:r>
      <w:r w:rsidR="00F20423" w:rsidRPr="009B78DA">
        <w:rPr>
          <w:rFonts w:ascii="Arial" w:hAnsi="Arial" w:cs="Arial"/>
          <w:b/>
          <w:bCs/>
          <w:color w:val="000000" w:themeColor="text1"/>
          <w:sz w:val="22"/>
          <w:szCs w:val="22"/>
        </w:rPr>
        <w:br/>
      </w:r>
      <w:r w:rsidR="001A511F" w:rsidRPr="009B78DA">
        <w:rPr>
          <w:rFonts w:ascii="Arial" w:hAnsi="Arial" w:cs="Arial"/>
          <w:b/>
          <w:bCs/>
          <w:color w:val="000000" w:themeColor="text1"/>
          <w:sz w:val="22"/>
          <w:szCs w:val="22"/>
        </w:rPr>
        <w:t>DROGI WOJEWÓDZKIE</w:t>
      </w:r>
      <w:bookmarkEnd w:id="387"/>
    </w:p>
    <w:p w14:paraId="08E2A100" w14:textId="10B3953F" w:rsidR="00EC5A92" w:rsidRPr="009B78DA" w:rsidRDefault="00EC5A92" w:rsidP="00F1012A">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niniejszym dokumencie został wskazany szereg inwestycji drogowych, które</w:t>
      </w:r>
      <w:r w:rsidR="00DA4537" w:rsidRPr="009B78DA">
        <w:rPr>
          <w:rFonts w:ascii="Arial" w:hAnsi="Arial" w:cs="Arial"/>
          <w:color w:val="000000" w:themeColor="text1"/>
          <w:sz w:val="22"/>
          <w:szCs w:val="22"/>
        </w:rPr>
        <w:t xml:space="preserve"> </w:t>
      </w:r>
      <w:r w:rsidR="00F1012A">
        <w:rPr>
          <w:rFonts w:ascii="Arial" w:hAnsi="Arial" w:cs="Arial"/>
          <w:color w:val="000000" w:themeColor="text1"/>
          <w:sz w:val="22"/>
          <w:szCs w:val="22"/>
        </w:rPr>
        <w:br/>
      </w:r>
      <w:r w:rsidRPr="009B78DA">
        <w:rPr>
          <w:rFonts w:ascii="Arial" w:hAnsi="Arial" w:cs="Arial"/>
          <w:color w:val="000000" w:themeColor="text1"/>
          <w:sz w:val="22"/>
          <w:szCs w:val="22"/>
        </w:rPr>
        <w:t>w</w:t>
      </w:r>
      <w:r w:rsidR="00F1012A">
        <w:rPr>
          <w:rFonts w:ascii="Arial" w:hAnsi="Arial" w:cs="Arial"/>
          <w:color w:val="000000" w:themeColor="text1"/>
          <w:sz w:val="22"/>
          <w:szCs w:val="22"/>
        </w:rPr>
        <w:t xml:space="preserve"> </w:t>
      </w:r>
      <w:r w:rsidRPr="009B78DA">
        <w:rPr>
          <w:rFonts w:ascii="Arial" w:hAnsi="Arial" w:cs="Arial"/>
          <w:color w:val="000000" w:themeColor="text1"/>
          <w:sz w:val="22"/>
          <w:szCs w:val="22"/>
        </w:rPr>
        <w:t>największym stopniu realizują cele podstawowe i horyzontalne ustalone i planowane do osiągnięcia w PSRT WP, m. in. w zakresie zwiększenia dostępności zewnętrznej regionu, zwiększenia powiązań transportowych w regionie, poprawy bezpieczeństwa w</w:t>
      </w:r>
      <w:r w:rsidR="001A511F" w:rsidRPr="009B78DA">
        <w:rPr>
          <w:rFonts w:ascii="Arial" w:hAnsi="Arial" w:cs="Arial"/>
          <w:color w:val="000000" w:themeColor="text1"/>
          <w:sz w:val="22"/>
          <w:szCs w:val="22"/>
        </w:rPr>
        <w:t> </w:t>
      </w:r>
      <w:r w:rsidRPr="009B78DA">
        <w:rPr>
          <w:rFonts w:ascii="Arial" w:hAnsi="Arial" w:cs="Arial"/>
          <w:color w:val="000000" w:themeColor="text1"/>
          <w:sz w:val="22"/>
          <w:szCs w:val="22"/>
        </w:rPr>
        <w:t>transporcie</w:t>
      </w:r>
      <w:r w:rsidR="00F1012A">
        <w:rPr>
          <w:rFonts w:ascii="Arial" w:hAnsi="Arial" w:cs="Arial"/>
          <w:color w:val="000000" w:themeColor="text1"/>
          <w:sz w:val="22"/>
          <w:szCs w:val="22"/>
        </w:rPr>
        <w:t xml:space="preserve"> </w:t>
      </w:r>
      <w:r w:rsidR="00F1012A">
        <w:rPr>
          <w:rFonts w:ascii="Arial" w:hAnsi="Arial" w:cs="Arial"/>
          <w:color w:val="000000" w:themeColor="text1"/>
          <w:sz w:val="22"/>
          <w:szCs w:val="22"/>
        </w:rPr>
        <w:br/>
      </w:r>
      <w:r w:rsidRPr="009B78DA">
        <w:rPr>
          <w:rFonts w:ascii="Arial" w:hAnsi="Arial" w:cs="Arial"/>
          <w:color w:val="000000" w:themeColor="text1"/>
          <w:sz w:val="22"/>
          <w:szCs w:val="22"/>
        </w:rPr>
        <w:t>i ograniczenia negatywnego oddziały</w:t>
      </w:r>
      <w:r w:rsidR="00F1012A">
        <w:rPr>
          <w:rFonts w:ascii="Arial" w:hAnsi="Arial" w:cs="Arial"/>
          <w:color w:val="000000" w:themeColor="text1"/>
          <w:sz w:val="22"/>
          <w:szCs w:val="22"/>
        </w:rPr>
        <w:t>wania transportu na środowisko.</w:t>
      </w:r>
    </w:p>
    <w:p w14:paraId="79472070" w14:textId="1A2B1F31" w:rsidR="00EC5A92" w:rsidRPr="009B78DA" w:rsidRDefault="00EC5A92" w:rsidP="00F1012A">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celu identyfikacji i uszeregowania inwestycji przyczyniających się do realizacji Programu od tych, których realizacja przeniesie największe korzyści  w usprawnieniu systemu transportowego do tych, które w mniejszym stopniu będą miały takie oddziaływanie, przygotowano kryteria priorytetyzacji projektów dotyczących infrastruktury drogowej</w:t>
      </w:r>
      <w:r w:rsidR="00DA453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w</w:t>
      </w:r>
      <w:r w:rsidR="001A511F" w:rsidRPr="009B78DA">
        <w:rPr>
          <w:rFonts w:ascii="Arial" w:hAnsi="Arial" w:cs="Arial"/>
          <w:color w:val="000000" w:themeColor="text1"/>
          <w:sz w:val="22"/>
          <w:szCs w:val="22"/>
        </w:rPr>
        <w:t> </w:t>
      </w:r>
      <w:r w:rsidR="00F1012A">
        <w:rPr>
          <w:rFonts w:ascii="Arial" w:hAnsi="Arial" w:cs="Arial"/>
          <w:color w:val="000000" w:themeColor="text1"/>
          <w:sz w:val="22"/>
          <w:szCs w:val="22"/>
        </w:rPr>
        <w:t>zakresie dróg wojewódzkich.</w:t>
      </w:r>
    </w:p>
    <w:p w14:paraId="38B465AB" w14:textId="6DA5ECA0" w:rsidR="00EC5A92" w:rsidRPr="009B78DA" w:rsidRDefault="00EC5A92" w:rsidP="00F1012A">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Wytypowano łącznie </w:t>
      </w:r>
      <w:r w:rsidR="001A511F" w:rsidRPr="009B78DA">
        <w:rPr>
          <w:rFonts w:ascii="Arial" w:hAnsi="Arial" w:cs="Arial"/>
          <w:color w:val="000000" w:themeColor="text1"/>
          <w:sz w:val="22"/>
          <w:szCs w:val="22"/>
        </w:rPr>
        <w:t>8</w:t>
      </w:r>
      <w:r w:rsidRPr="009B78DA">
        <w:rPr>
          <w:rFonts w:ascii="Arial" w:hAnsi="Arial" w:cs="Arial"/>
          <w:color w:val="000000" w:themeColor="text1"/>
          <w:sz w:val="22"/>
          <w:szCs w:val="22"/>
        </w:rPr>
        <w:t xml:space="preserve"> kryteriów, a przeprowadzona ocena projektów pozwoliła na przygotowanie spriorytetyzowanej listy kluczowych/strategicznych projektów drogowych dla Regionu - przyjmując zasadę, że projekty które uzyskują największą liczbę punktów pozwolą osiągnąć maksymalne r</w:t>
      </w:r>
      <w:r w:rsidR="00F1012A">
        <w:rPr>
          <w:rFonts w:ascii="Arial" w:hAnsi="Arial" w:cs="Arial"/>
          <w:color w:val="000000" w:themeColor="text1"/>
          <w:sz w:val="22"/>
          <w:szCs w:val="22"/>
        </w:rPr>
        <w:t>ezultaty określone w Programie.</w:t>
      </w:r>
    </w:p>
    <w:p w14:paraId="54E6E9F6" w14:textId="1173B49B" w:rsidR="005D5017" w:rsidRPr="00F1012A" w:rsidRDefault="00EC5A92" w:rsidP="00F1012A">
      <w:pPr>
        <w:spacing w:after="12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Oceny dokonano zarówno dla priorytetu A, jak i B. Każde z kryteriów zostało pokrótce opisane i dla każdego z nich przyporządkowana została liczba punktów, jakie dany projekt może uzyskać w ramach przeprowadzonej oceny. Maksymalna liczba punktów, jakie mógł uzyskać projekt to 100.</w:t>
      </w:r>
      <w:bookmarkEnd w:id="388"/>
    </w:p>
    <w:p w14:paraId="34863D9F" w14:textId="11B43A0B" w:rsidR="005961AA" w:rsidRPr="00F1012A" w:rsidRDefault="005961AA" w:rsidP="00F1012A">
      <w:pPr>
        <w:spacing w:after="120"/>
        <w:rPr>
          <w:rFonts w:ascii="Arial" w:hAnsi="Arial" w:cs="Arial"/>
          <w:b/>
          <w:color w:val="000000" w:themeColor="text1"/>
          <w:sz w:val="22"/>
          <w:szCs w:val="22"/>
        </w:rPr>
      </w:pPr>
      <w:r w:rsidRPr="009B78DA">
        <w:rPr>
          <w:rFonts w:ascii="Arial" w:hAnsi="Arial" w:cs="Arial"/>
          <w:b/>
          <w:color w:val="000000" w:themeColor="text1"/>
          <w:sz w:val="22"/>
          <w:szCs w:val="22"/>
        </w:rPr>
        <w:t>Przyj</w:t>
      </w:r>
      <w:r w:rsidR="00F1012A">
        <w:rPr>
          <w:rFonts w:ascii="Arial" w:hAnsi="Arial" w:cs="Arial"/>
          <w:b/>
          <w:color w:val="000000" w:themeColor="text1"/>
          <w:sz w:val="22"/>
          <w:szCs w:val="22"/>
        </w:rPr>
        <w:t>ęte kryteria:</w:t>
      </w:r>
    </w:p>
    <w:tbl>
      <w:tblPr>
        <w:tblStyle w:val="Tabela-Siatka"/>
        <w:tblW w:w="5000" w:type="pct"/>
        <w:jc w:val="center"/>
        <w:tblLook w:val="04A0" w:firstRow="1" w:lastRow="0" w:firstColumn="1" w:lastColumn="0" w:noHBand="0" w:noVBand="1"/>
        <w:tblCaption w:val="Przyjęte kryteria:"/>
        <w:tblDescription w:val="Tabela zawiera L.p., Przyjęte kryteria, Wartość"/>
      </w:tblPr>
      <w:tblGrid>
        <w:gridCol w:w="583"/>
        <w:gridCol w:w="6272"/>
        <w:gridCol w:w="2207"/>
      </w:tblGrid>
      <w:tr w:rsidR="00F1012A" w:rsidRPr="009B78DA" w14:paraId="4E537157" w14:textId="77777777" w:rsidTr="00F1012A">
        <w:trPr>
          <w:tblHeader/>
          <w:jc w:val="center"/>
        </w:trPr>
        <w:tc>
          <w:tcPr>
            <w:tcW w:w="291" w:type="pct"/>
            <w:shd w:val="clear" w:color="auto" w:fill="auto"/>
            <w:vAlign w:val="center"/>
          </w:tcPr>
          <w:p w14:paraId="4418F05D" w14:textId="3B31932E" w:rsidR="00F1012A" w:rsidRPr="009B78DA" w:rsidRDefault="00F1012A" w:rsidP="00F1012A">
            <w:pPr>
              <w:pStyle w:val="Default"/>
              <w:spacing w:line="276" w:lineRule="auto"/>
              <w:jc w:val="both"/>
              <w:rPr>
                <w:color w:val="000000" w:themeColor="text1"/>
                <w:sz w:val="22"/>
                <w:szCs w:val="22"/>
              </w:rPr>
            </w:pPr>
            <w:r>
              <w:rPr>
                <w:color w:val="auto"/>
                <w:sz w:val="22"/>
                <w:szCs w:val="22"/>
              </w:rPr>
              <w:t>L.p.</w:t>
            </w:r>
          </w:p>
        </w:tc>
        <w:tc>
          <w:tcPr>
            <w:tcW w:w="3476" w:type="pct"/>
            <w:vAlign w:val="center"/>
          </w:tcPr>
          <w:p w14:paraId="0BC9F2E2" w14:textId="77E819DC" w:rsidR="00F1012A" w:rsidRPr="009B78DA" w:rsidRDefault="00F1012A" w:rsidP="00F1012A">
            <w:pPr>
              <w:pStyle w:val="Default"/>
              <w:spacing w:line="276" w:lineRule="auto"/>
              <w:rPr>
                <w:color w:val="000000" w:themeColor="text1"/>
                <w:sz w:val="22"/>
                <w:szCs w:val="22"/>
              </w:rPr>
            </w:pPr>
            <w:r w:rsidRPr="001B0E3A">
              <w:rPr>
                <w:color w:val="auto"/>
                <w:sz w:val="22"/>
                <w:szCs w:val="22"/>
              </w:rPr>
              <w:t>Przyjęte kryteria</w:t>
            </w:r>
          </w:p>
        </w:tc>
        <w:tc>
          <w:tcPr>
            <w:tcW w:w="1233" w:type="pct"/>
            <w:vAlign w:val="center"/>
          </w:tcPr>
          <w:p w14:paraId="5D778C6F" w14:textId="1E34F812" w:rsidR="00F1012A" w:rsidRPr="009B78DA" w:rsidRDefault="00F1012A" w:rsidP="00F1012A">
            <w:pPr>
              <w:pStyle w:val="Default"/>
              <w:spacing w:line="276" w:lineRule="auto"/>
              <w:jc w:val="center"/>
              <w:rPr>
                <w:color w:val="000000" w:themeColor="text1"/>
                <w:sz w:val="22"/>
                <w:szCs w:val="22"/>
              </w:rPr>
            </w:pPr>
            <w:r w:rsidRPr="004309A3">
              <w:rPr>
                <w:color w:val="000000" w:themeColor="text1"/>
                <w:sz w:val="22"/>
                <w:szCs w:val="22"/>
              </w:rPr>
              <w:t>Wartość</w:t>
            </w:r>
          </w:p>
        </w:tc>
      </w:tr>
      <w:tr w:rsidR="009854E6" w:rsidRPr="009B78DA" w14:paraId="0D4B5110" w14:textId="77777777" w:rsidTr="00F1012A">
        <w:trPr>
          <w:jc w:val="center"/>
        </w:trPr>
        <w:tc>
          <w:tcPr>
            <w:tcW w:w="291" w:type="pct"/>
            <w:shd w:val="clear" w:color="auto" w:fill="auto"/>
            <w:vAlign w:val="center"/>
          </w:tcPr>
          <w:p w14:paraId="0511BAB8" w14:textId="77777777" w:rsidR="00FC71A4" w:rsidRPr="009B78DA" w:rsidRDefault="00FC71A4" w:rsidP="00A6431B">
            <w:pPr>
              <w:pStyle w:val="Default"/>
              <w:spacing w:line="276" w:lineRule="auto"/>
              <w:jc w:val="both"/>
              <w:rPr>
                <w:color w:val="000000" w:themeColor="text1"/>
                <w:sz w:val="22"/>
                <w:szCs w:val="22"/>
              </w:rPr>
            </w:pPr>
            <w:r w:rsidRPr="009B78DA">
              <w:rPr>
                <w:color w:val="000000" w:themeColor="text1"/>
                <w:sz w:val="22"/>
                <w:szCs w:val="22"/>
              </w:rPr>
              <w:t>1</w:t>
            </w:r>
          </w:p>
        </w:tc>
        <w:tc>
          <w:tcPr>
            <w:tcW w:w="3476" w:type="pct"/>
            <w:vAlign w:val="center"/>
          </w:tcPr>
          <w:p w14:paraId="1434C6A4" w14:textId="77777777" w:rsidR="00FC71A4" w:rsidRPr="009B78DA" w:rsidRDefault="00FC71A4" w:rsidP="00A6431B">
            <w:pPr>
              <w:pStyle w:val="Default"/>
              <w:spacing w:line="276" w:lineRule="auto"/>
              <w:rPr>
                <w:color w:val="000000" w:themeColor="text1"/>
                <w:sz w:val="22"/>
                <w:szCs w:val="22"/>
              </w:rPr>
            </w:pPr>
            <w:r w:rsidRPr="009B78DA">
              <w:rPr>
                <w:color w:val="000000" w:themeColor="text1"/>
                <w:sz w:val="22"/>
                <w:szCs w:val="22"/>
              </w:rPr>
              <w:t>Połączenie do sieci TEN-T</w:t>
            </w:r>
          </w:p>
        </w:tc>
        <w:tc>
          <w:tcPr>
            <w:tcW w:w="1233" w:type="pct"/>
            <w:vAlign w:val="center"/>
          </w:tcPr>
          <w:p w14:paraId="47B531FB" w14:textId="1D924D89" w:rsidR="00FC71A4" w:rsidRPr="009B78DA" w:rsidRDefault="001A511F" w:rsidP="00A6431B">
            <w:pPr>
              <w:pStyle w:val="Default"/>
              <w:spacing w:line="276" w:lineRule="auto"/>
              <w:jc w:val="center"/>
              <w:rPr>
                <w:color w:val="000000" w:themeColor="text1"/>
                <w:sz w:val="22"/>
                <w:szCs w:val="22"/>
              </w:rPr>
            </w:pPr>
            <w:r w:rsidRPr="009B78DA">
              <w:rPr>
                <w:color w:val="000000" w:themeColor="text1"/>
                <w:sz w:val="22"/>
                <w:szCs w:val="22"/>
              </w:rPr>
              <w:t>2</w:t>
            </w:r>
            <w:r w:rsidR="00FC71A4" w:rsidRPr="009B78DA">
              <w:rPr>
                <w:color w:val="000000" w:themeColor="text1"/>
                <w:sz w:val="22"/>
                <w:szCs w:val="22"/>
              </w:rPr>
              <w:t>0</w:t>
            </w:r>
          </w:p>
        </w:tc>
      </w:tr>
      <w:tr w:rsidR="009854E6" w:rsidRPr="009B78DA" w14:paraId="5837A3CD" w14:textId="77777777" w:rsidTr="00F1012A">
        <w:trPr>
          <w:jc w:val="center"/>
        </w:trPr>
        <w:tc>
          <w:tcPr>
            <w:tcW w:w="291" w:type="pct"/>
            <w:shd w:val="clear" w:color="auto" w:fill="auto"/>
            <w:vAlign w:val="center"/>
          </w:tcPr>
          <w:p w14:paraId="1D71955A" w14:textId="77777777" w:rsidR="00FC71A4" w:rsidRPr="009B78DA" w:rsidRDefault="00FC71A4" w:rsidP="00A6431B">
            <w:pPr>
              <w:pStyle w:val="Default"/>
              <w:spacing w:line="276" w:lineRule="auto"/>
              <w:jc w:val="both"/>
              <w:rPr>
                <w:color w:val="000000" w:themeColor="text1"/>
                <w:sz w:val="22"/>
                <w:szCs w:val="22"/>
              </w:rPr>
            </w:pPr>
            <w:r w:rsidRPr="009B78DA">
              <w:rPr>
                <w:color w:val="000000" w:themeColor="text1"/>
                <w:sz w:val="22"/>
                <w:szCs w:val="22"/>
              </w:rPr>
              <w:t>2</w:t>
            </w:r>
          </w:p>
        </w:tc>
        <w:tc>
          <w:tcPr>
            <w:tcW w:w="3476" w:type="pct"/>
            <w:vAlign w:val="center"/>
          </w:tcPr>
          <w:p w14:paraId="297B5C90" w14:textId="77777777" w:rsidR="00FC71A4" w:rsidRPr="009B78DA" w:rsidRDefault="00FC71A4" w:rsidP="00A6431B">
            <w:pPr>
              <w:pStyle w:val="Default"/>
              <w:spacing w:line="276" w:lineRule="auto"/>
              <w:rPr>
                <w:color w:val="000000" w:themeColor="text1"/>
                <w:sz w:val="22"/>
                <w:szCs w:val="22"/>
              </w:rPr>
            </w:pPr>
            <w:r w:rsidRPr="009B78DA">
              <w:rPr>
                <w:color w:val="000000" w:themeColor="text1"/>
                <w:sz w:val="22"/>
                <w:szCs w:val="22"/>
              </w:rPr>
              <w:t>Poprawa połączeń obszarów słabo skomunikowanych</w:t>
            </w:r>
          </w:p>
        </w:tc>
        <w:tc>
          <w:tcPr>
            <w:tcW w:w="1233" w:type="pct"/>
            <w:vAlign w:val="center"/>
          </w:tcPr>
          <w:p w14:paraId="7C9AC2FF" w14:textId="77777777" w:rsidR="00FC71A4" w:rsidRPr="009B78DA" w:rsidRDefault="00FC71A4" w:rsidP="00A6431B">
            <w:pPr>
              <w:pStyle w:val="Default"/>
              <w:spacing w:line="276" w:lineRule="auto"/>
              <w:jc w:val="center"/>
              <w:rPr>
                <w:color w:val="000000" w:themeColor="text1"/>
                <w:sz w:val="22"/>
                <w:szCs w:val="22"/>
              </w:rPr>
            </w:pPr>
            <w:r w:rsidRPr="009B78DA">
              <w:rPr>
                <w:color w:val="000000" w:themeColor="text1"/>
                <w:sz w:val="22"/>
                <w:szCs w:val="22"/>
              </w:rPr>
              <w:t>10</w:t>
            </w:r>
          </w:p>
        </w:tc>
      </w:tr>
      <w:tr w:rsidR="009854E6" w:rsidRPr="009B78DA" w14:paraId="3E4C1D39" w14:textId="77777777" w:rsidTr="00F1012A">
        <w:trPr>
          <w:jc w:val="center"/>
        </w:trPr>
        <w:tc>
          <w:tcPr>
            <w:tcW w:w="291" w:type="pct"/>
            <w:shd w:val="clear" w:color="auto" w:fill="auto"/>
            <w:vAlign w:val="center"/>
          </w:tcPr>
          <w:p w14:paraId="6993D05A" w14:textId="77777777" w:rsidR="00FC71A4" w:rsidRPr="009B78DA" w:rsidRDefault="00FC71A4" w:rsidP="00A6431B">
            <w:pPr>
              <w:pStyle w:val="Default"/>
              <w:spacing w:line="276" w:lineRule="auto"/>
              <w:jc w:val="both"/>
              <w:rPr>
                <w:color w:val="000000" w:themeColor="text1"/>
                <w:sz w:val="22"/>
                <w:szCs w:val="22"/>
              </w:rPr>
            </w:pPr>
            <w:r w:rsidRPr="009B78DA">
              <w:rPr>
                <w:color w:val="000000" w:themeColor="text1"/>
                <w:sz w:val="22"/>
                <w:szCs w:val="22"/>
              </w:rPr>
              <w:t>3</w:t>
            </w:r>
          </w:p>
        </w:tc>
        <w:tc>
          <w:tcPr>
            <w:tcW w:w="3476" w:type="pct"/>
            <w:vAlign w:val="center"/>
          </w:tcPr>
          <w:p w14:paraId="66AD0793" w14:textId="77777777" w:rsidR="00FC71A4" w:rsidRPr="009B78DA" w:rsidRDefault="00FC71A4" w:rsidP="00A6431B">
            <w:pPr>
              <w:rPr>
                <w:rFonts w:ascii="Arial" w:hAnsi="Arial" w:cs="Arial"/>
                <w:color w:val="000000" w:themeColor="text1"/>
                <w:sz w:val="22"/>
                <w:szCs w:val="22"/>
              </w:rPr>
            </w:pPr>
            <w:r w:rsidRPr="009B78DA">
              <w:rPr>
                <w:rFonts w:ascii="Arial" w:hAnsi="Arial" w:cs="Arial"/>
                <w:color w:val="000000" w:themeColor="text1"/>
                <w:sz w:val="22"/>
                <w:szCs w:val="22"/>
              </w:rPr>
              <w:t xml:space="preserve">Kryterium przepustowość drogi a środowisko </w:t>
            </w:r>
          </w:p>
        </w:tc>
        <w:tc>
          <w:tcPr>
            <w:tcW w:w="1233" w:type="pct"/>
            <w:vAlign w:val="center"/>
          </w:tcPr>
          <w:p w14:paraId="17088E69" w14:textId="77777777" w:rsidR="00FC71A4" w:rsidRPr="009B78DA" w:rsidRDefault="00FC71A4" w:rsidP="00A6431B">
            <w:pPr>
              <w:pStyle w:val="Default"/>
              <w:spacing w:line="276" w:lineRule="auto"/>
              <w:jc w:val="center"/>
              <w:rPr>
                <w:color w:val="000000" w:themeColor="text1"/>
                <w:sz w:val="22"/>
                <w:szCs w:val="22"/>
              </w:rPr>
            </w:pPr>
            <w:r w:rsidRPr="009B78DA">
              <w:rPr>
                <w:color w:val="000000" w:themeColor="text1"/>
                <w:sz w:val="22"/>
                <w:szCs w:val="22"/>
              </w:rPr>
              <w:t>10</w:t>
            </w:r>
          </w:p>
        </w:tc>
      </w:tr>
      <w:tr w:rsidR="009854E6" w:rsidRPr="009B78DA" w14:paraId="25F0DFBE" w14:textId="77777777" w:rsidTr="00F1012A">
        <w:trPr>
          <w:jc w:val="center"/>
        </w:trPr>
        <w:tc>
          <w:tcPr>
            <w:tcW w:w="291" w:type="pct"/>
            <w:shd w:val="clear" w:color="auto" w:fill="auto"/>
            <w:vAlign w:val="center"/>
          </w:tcPr>
          <w:p w14:paraId="0909EDB3" w14:textId="77777777" w:rsidR="00FC71A4" w:rsidRPr="009B78DA" w:rsidRDefault="00FC71A4" w:rsidP="00A6431B">
            <w:pPr>
              <w:pStyle w:val="Default"/>
              <w:spacing w:line="276" w:lineRule="auto"/>
              <w:jc w:val="both"/>
              <w:rPr>
                <w:color w:val="000000" w:themeColor="text1"/>
                <w:sz w:val="22"/>
                <w:szCs w:val="22"/>
              </w:rPr>
            </w:pPr>
            <w:r w:rsidRPr="009B78DA">
              <w:rPr>
                <w:color w:val="000000" w:themeColor="text1"/>
                <w:sz w:val="22"/>
                <w:szCs w:val="22"/>
              </w:rPr>
              <w:t>4</w:t>
            </w:r>
          </w:p>
        </w:tc>
        <w:tc>
          <w:tcPr>
            <w:tcW w:w="3476" w:type="pct"/>
            <w:vAlign w:val="center"/>
          </w:tcPr>
          <w:p w14:paraId="5CF0A545" w14:textId="77777777" w:rsidR="00FC71A4" w:rsidRPr="009B78DA" w:rsidRDefault="00FC71A4" w:rsidP="00A6431B">
            <w:pPr>
              <w:pStyle w:val="Default"/>
              <w:jc w:val="both"/>
              <w:rPr>
                <w:color w:val="000000" w:themeColor="text1"/>
                <w:sz w:val="22"/>
                <w:szCs w:val="22"/>
              </w:rPr>
            </w:pPr>
            <w:r w:rsidRPr="009B78DA">
              <w:rPr>
                <w:color w:val="000000" w:themeColor="text1"/>
                <w:sz w:val="22"/>
                <w:szCs w:val="22"/>
              </w:rPr>
              <w:t>Kontynuacja projektów</w:t>
            </w:r>
          </w:p>
        </w:tc>
        <w:tc>
          <w:tcPr>
            <w:tcW w:w="1233" w:type="pct"/>
            <w:vAlign w:val="center"/>
          </w:tcPr>
          <w:p w14:paraId="17013F94" w14:textId="77777777" w:rsidR="00FC71A4" w:rsidRPr="009B78DA" w:rsidRDefault="00FC71A4" w:rsidP="00A6431B">
            <w:pPr>
              <w:pStyle w:val="Default"/>
              <w:spacing w:line="276" w:lineRule="auto"/>
              <w:jc w:val="center"/>
              <w:rPr>
                <w:color w:val="000000" w:themeColor="text1"/>
                <w:sz w:val="22"/>
                <w:szCs w:val="22"/>
              </w:rPr>
            </w:pPr>
            <w:r w:rsidRPr="009B78DA">
              <w:rPr>
                <w:color w:val="000000" w:themeColor="text1"/>
                <w:sz w:val="22"/>
                <w:szCs w:val="22"/>
              </w:rPr>
              <w:t>20</w:t>
            </w:r>
          </w:p>
        </w:tc>
      </w:tr>
      <w:tr w:rsidR="009854E6" w:rsidRPr="009B78DA" w14:paraId="702E37BC" w14:textId="77777777" w:rsidTr="00F1012A">
        <w:trPr>
          <w:jc w:val="center"/>
        </w:trPr>
        <w:tc>
          <w:tcPr>
            <w:tcW w:w="291" w:type="pct"/>
            <w:shd w:val="clear" w:color="auto" w:fill="auto"/>
            <w:vAlign w:val="center"/>
          </w:tcPr>
          <w:p w14:paraId="24C440BC" w14:textId="77777777" w:rsidR="00FC71A4" w:rsidRPr="009B78DA" w:rsidRDefault="00FC71A4" w:rsidP="00A6431B">
            <w:pPr>
              <w:pStyle w:val="Default"/>
              <w:spacing w:line="276" w:lineRule="auto"/>
              <w:jc w:val="both"/>
              <w:rPr>
                <w:color w:val="000000" w:themeColor="text1"/>
                <w:sz w:val="22"/>
                <w:szCs w:val="22"/>
              </w:rPr>
            </w:pPr>
            <w:r w:rsidRPr="009B78DA">
              <w:rPr>
                <w:color w:val="000000" w:themeColor="text1"/>
                <w:sz w:val="22"/>
                <w:szCs w:val="22"/>
              </w:rPr>
              <w:t>5</w:t>
            </w:r>
          </w:p>
        </w:tc>
        <w:tc>
          <w:tcPr>
            <w:tcW w:w="3476" w:type="pct"/>
            <w:tcBorders>
              <w:bottom w:val="single" w:sz="4" w:space="0" w:color="auto"/>
            </w:tcBorders>
            <w:vAlign w:val="center"/>
          </w:tcPr>
          <w:p w14:paraId="17F4356E" w14:textId="77777777" w:rsidR="00FC71A4" w:rsidRPr="009B78DA" w:rsidRDefault="00FC71A4" w:rsidP="00A6431B">
            <w:pPr>
              <w:pStyle w:val="Default"/>
              <w:spacing w:line="276" w:lineRule="auto"/>
              <w:rPr>
                <w:color w:val="000000" w:themeColor="text1"/>
                <w:sz w:val="22"/>
                <w:szCs w:val="22"/>
              </w:rPr>
            </w:pPr>
            <w:r w:rsidRPr="009B78DA">
              <w:rPr>
                <w:color w:val="000000" w:themeColor="text1"/>
                <w:sz w:val="22"/>
                <w:szCs w:val="22"/>
              </w:rPr>
              <w:t xml:space="preserve">Spójność transportowa </w:t>
            </w:r>
          </w:p>
        </w:tc>
        <w:tc>
          <w:tcPr>
            <w:tcW w:w="1233" w:type="pct"/>
            <w:tcBorders>
              <w:bottom w:val="single" w:sz="4" w:space="0" w:color="auto"/>
            </w:tcBorders>
            <w:vAlign w:val="center"/>
          </w:tcPr>
          <w:p w14:paraId="0EB27B3B" w14:textId="77777777" w:rsidR="00FC71A4" w:rsidRPr="009B78DA" w:rsidRDefault="00FC71A4" w:rsidP="00A6431B">
            <w:pPr>
              <w:pStyle w:val="Default"/>
              <w:spacing w:line="276" w:lineRule="auto"/>
              <w:jc w:val="center"/>
              <w:rPr>
                <w:color w:val="000000" w:themeColor="text1"/>
                <w:sz w:val="22"/>
                <w:szCs w:val="22"/>
              </w:rPr>
            </w:pPr>
            <w:r w:rsidRPr="009B78DA">
              <w:rPr>
                <w:color w:val="000000" w:themeColor="text1"/>
                <w:sz w:val="22"/>
                <w:szCs w:val="22"/>
              </w:rPr>
              <w:t>10</w:t>
            </w:r>
          </w:p>
        </w:tc>
      </w:tr>
      <w:tr w:rsidR="009854E6" w:rsidRPr="009B78DA" w14:paraId="070C591D" w14:textId="77777777" w:rsidTr="00F1012A">
        <w:trPr>
          <w:jc w:val="center"/>
        </w:trPr>
        <w:tc>
          <w:tcPr>
            <w:tcW w:w="291" w:type="pct"/>
            <w:shd w:val="clear" w:color="auto" w:fill="auto"/>
            <w:vAlign w:val="center"/>
          </w:tcPr>
          <w:p w14:paraId="381D1511" w14:textId="77777777" w:rsidR="00FC71A4" w:rsidRPr="009B78DA" w:rsidRDefault="00FC71A4" w:rsidP="00A6431B">
            <w:pPr>
              <w:pStyle w:val="Default"/>
              <w:spacing w:line="276" w:lineRule="auto"/>
              <w:jc w:val="both"/>
              <w:rPr>
                <w:color w:val="000000" w:themeColor="text1"/>
                <w:sz w:val="22"/>
                <w:szCs w:val="22"/>
              </w:rPr>
            </w:pPr>
            <w:r w:rsidRPr="009B78DA">
              <w:rPr>
                <w:color w:val="000000" w:themeColor="text1"/>
                <w:sz w:val="22"/>
                <w:szCs w:val="22"/>
              </w:rPr>
              <w:t>6</w:t>
            </w:r>
          </w:p>
        </w:tc>
        <w:tc>
          <w:tcPr>
            <w:tcW w:w="3476" w:type="pct"/>
            <w:tcBorders>
              <w:bottom w:val="single" w:sz="4" w:space="0" w:color="auto"/>
            </w:tcBorders>
            <w:vAlign w:val="center"/>
          </w:tcPr>
          <w:p w14:paraId="4EBE0B0F" w14:textId="77777777" w:rsidR="00FC71A4" w:rsidRPr="009B78DA" w:rsidRDefault="00FC71A4" w:rsidP="00A6431B">
            <w:pPr>
              <w:pStyle w:val="Default"/>
              <w:spacing w:line="276" w:lineRule="auto"/>
              <w:rPr>
                <w:color w:val="000000" w:themeColor="text1"/>
                <w:sz w:val="22"/>
                <w:szCs w:val="22"/>
              </w:rPr>
            </w:pPr>
            <w:r w:rsidRPr="009B78DA">
              <w:rPr>
                <w:color w:val="000000" w:themeColor="text1"/>
                <w:sz w:val="22"/>
                <w:szCs w:val="22"/>
              </w:rPr>
              <w:t xml:space="preserve">Publiczny transport drogowy </w:t>
            </w:r>
          </w:p>
        </w:tc>
        <w:tc>
          <w:tcPr>
            <w:tcW w:w="1233" w:type="pct"/>
            <w:tcBorders>
              <w:bottom w:val="single" w:sz="4" w:space="0" w:color="auto"/>
            </w:tcBorders>
            <w:vAlign w:val="center"/>
          </w:tcPr>
          <w:p w14:paraId="6BBB2F24" w14:textId="77777777" w:rsidR="00FC71A4" w:rsidRPr="009B78DA" w:rsidRDefault="00FC71A4" w:rsidP="00A6431B">
            <w:pPr>
              <w:pStyle w:val="Default"/>
              <w:spacing w:line="276" w:lineRule="auto"/>
              <w:jc w:val="center"/>
              <w:rPr>
                <w:color w:val="000000" w:themeColor="text1"/>
                <w:sz w:val="22"/>
                <w:szCs w:val="22"/>
              </w:rPr>
            </w:pPr>
            <w:r w:rsidRPr="009B78DA">
              <w:rPr>
                <w:color w:val="000000" w:themeColor="text1"/>
                <w:sz w:val="22"/>
                <w:szCs w:val="22"/>
              </w:rPr>
              <w:t>10</w:t>
            </w:r>
          </w:p>
        </w:tc>
      </w:tr>
      <w:tr w:rsidR="009854E6" w:rsidRPr="009B78DA" w14:paraId="10DB8FED" w14:textId="77777777" w:rsidTr="00F1012A">
        <w:trPr>
          <w:jc w:val="center"/>
        </w:trPr>
        <w:tc>
          <w:tcPr>
            <w:tcW w:w="291" w:type="pct"/>
            <w:shd w:val="clear" w:color="auto" w:fill="auto"/>
            <w:vAlign w:val="center"/>
          </w:tcPr>
          <w:p w14:paraId="7FC369B3" w14:textId="77777777" w:rsidR="00FC71A4" w:rsidRPr="009B78DA" w:rsidRDefault="00FC71A4" w:rsidP="00A6431B">
            <w:pPr>
              <w:pStyle w:val="Default"/>
              <w:spacing w:line="276" w:lineRule="auto"/>
              <w:jc w:val="both"/>
              <w:rPr>
                <w:color w:val="000000" w:themeColor="text1"/>
                <w:sz w:val="22"/>
                <w:szCs w:val="22"/>
              </w:rPr>
            </w:pPr>
            <w:r w:rsidRPr="009B78DA">
              <w:rPr>
                <w:color w:val="000000" w:themeColor="text1"/>
                <w:sz w:val="22"/>
                <w:szCs w:val="22"/>
              </w:rPr>
              <w:t>7</w:t>
            </w:r>
          </w:p>
        </w:tc>
        <w:tc>
          <w:tcPr>
            <w:tcW w:w="3476" w:type="pct"/>
            <w:tcBorders>
              <w:bottom w:val="single" w:sz="4" w:space="0" w:color="auto"/>
            </w:tcBorders>
            <w:vAlign w:val="center"/>
          </w:tcPr>
          <w:p w14:paraId="06BAF2C4" w14:textId="77777777" w:rsidR="00FC71A4" w:rsidRPr="009B78DA" w:rsidRDefault="00FC71A4" w:rsidP="00A6431B">
            <w:pPr>
              <w:pStyle w:val="Default"/>
              <w:spacing w:line="276" w:lineRule="auto"/>
              <w:rPr>
                <w:color w:val="000000" w:themeColor="text1"/>
                <w:sz w:val="22"/>
                <w:szCs w:val="22"/>
              </w:rPr>
            </w:pPr>
            <w:r w:rsidRPr="009B78DA">
              <w:rPr>
                <w:color w:val="000000" w:themeColor="text1"/>
                <w:sz w:val="22"/>
                <w:szCs w:val="22"/>
              </w:rPr>
              <w:t>Bezpieczeństwo ruchu drogowego</w:t>
            </w:r>
          </w:p>
        </w:tc>
        <w:tc>
          <w:tcPr>
            <w:tcW w:w="1233" w:type="pct"/>
            <w:tcBorders>
              <w:bottom w:val="single" w:sz="4" w:space="0" w:color="auto"/>
            </w:tcBorders>
            <w:vAlign w:val="center"/>
          </w:tcPr>
          <w:p w14:paraId="4CFFEAB2" w14:textId="77777777" w:rsidR="00FC71A4" w:rsidRPr="009B78DA" w:rsidRDefault="00FC71A4" w:rsidP="00A6431B">
            <w:pPr>
              <w:pStyle w:val="Default"/>
              <w:spacing w:line="276" w:lineRule="auto"/>
              <w:jc w:val="center"/>
              <w:rPr>
                <w:color w:val="000000" w:themeColor="text1"/>
                <w:sz w:val="22"/>
                <w:szCs w:val="22"/>
              </w:rPr>
            </w:pPr>
            <w:r w:rsidRPr="009B78DA">
              <w:rPr>
                <w:color w:val="000000" w:themeColor="text1"/>
                <w:sz w:val="22"/>
                <w:szCs w:val="22"/>
              </w:rPr>
              <w:t>10</w:t>
            </w:r>
          </w:p>
        </w:tc>
      </w:tr>
      <w:tr w:rsidR="001A511F" w:rsidRPr="009B78DA" w14:paraId="48C02B44" w14:textId="77777777" w:rsidTr="00F1012A">
        <w:trPr>
          <w:jc w:val="center"/>
        </w:trPr>
        <w:tc>
          <w:tcPr>
            <w:tcW w:w="291" w:type="pct"/>
            <w:shd w:val="clear" w:color="auto" w:fill="auto"/>
            <w:vAlign w:val="center"/>
          </w:tcPr>
          <w:p w14:paraId="5173E97A" w14:textId="63BA546D" w:rsidR="001A511F" w:rsidRPr="009B78DA" w:rsidRDefault="001A511F" w:rsidP="001A511F">
            <w:pPr>
              <w:pStyle w:val="Default"/>
              <w:spacing w:line="276" w:lineRule="auto"/>
              <w:jc w:val="both"/>
              <w:rPr>
                <w:color w:val="000000" w:themeColor="text1"/>
                <w:sz w:val="22"/>
                <w:szCs w:val="22"/>
              </w:rPr>
            </w:pPr>
            <w:r w:rsidRPr="009B78DA">
              <w:rPr>
                <w:color w:val="000000" w:themeColor="text1"/>
                <w:sz w:val="22"/>
                <w:szCs w:val="22"/>
              </w:rPr>
              <w:t>8</w:t>
            </w:r>
          </w:p>
        </w:tc>
        <w:tc>
          <w:tcPr>
            <w:tcW w:w="3476" w:type="pct"/>
            <w:tcBorders>
              <w:bottom w:val="single" w:sz="4" w:space="0" w:color="auto"/>
            </w:tcBorders>
            <w:vAlign w:val="center"/>
          </w:tcPr>
          <w:p w14:paraId="66D0C18A" w14:textId="191D2C06" w:rsidR="001A511F" w:rsidRPr="009B78DA" w:rsidRDefault="001A511F" w:rsidP="001A511F">
            <w:pPr>
              <w:pStyle w:val="Default"/>
              <w:spacing w:line="276" w:lineRule="auto"/>
              <w:rPr>
                <w:color w:val="000000" w:themeColor="text1"/>
                <w:sz w:val="22"/>
                <w:szCs w:val="22"/>
              </w:rPr>
            </w:pPr>
            <w:r w:rsidRPr="009B78DA">
              <w:rPr>
                <w:color w:val="000000" w:themeColor="text1"/>
                <w:sz w:val="22"/>
                <w:szCs w:val="22"/>
              </w:rPr>
              <w:t>Dostosowanie drogi do transportu zbiorowego</w:t>
            </w:r>
          </w:p>
        </w:tc>
        <w:tc>
          <w:tcPr>
            <w:tcW w:w="1233" w:type="pct"/>
            <w:tcBorders>
              <w:bottom w:val="single" w:sz="4" w:space="0" w:color="auto"/>
            </w:tcBorders>
            <w:vAlign w:val="center"/>
          </w:tcPr>
          <w:p w14:paraId="719DAB43" w14:textId="0BD39F6C" w:rsidR="001A511F" w:rsidRPr="009B78DA" w:rsidRDefault="001A511F" w:rsidP="001A511F">
            <w:pPr>
              <w:pStyle w:val="Default"/>
              <w:spacing w:line="276" w:lineRule="auto"/>
              <w:jc w:val="center"/>
              <w:rPr>
                <w:color w:val="000000" w:themeColor="text1"/>
                <w:sz w:val="22"/>
                <w:szCs w:val="22"/>
              </w:rPr>
            </w:pPr>
            <w:r w:rsidRPr="009B78DA">
              <w:rPr>
                <w:color w:val="000000" w:themeColor="text1"/>
                <w:sz w:val="22"/>
                <w:szCs w:val="22"/>
              </w:rPr>
              <w:t>10</w:t>
            </w:r>
          </w:p>
        </w:tc>
      </w:tr>
      <w:tr w:rsidR="00F1012A" w:rsidRPr="009B78DA" w14:paraId="1CD79CDC" w14:textId="77777777" w:rsidTr="00F1012A">
        <w:trPr>
          <w:jc w:val="center"/>
        </w:trPr>
        <w:tc>
          <w:tcPr>
            <w:tcW w:w="291" w:type="pct"/>
            <w:shd w:val="clear" w:color="auto" w:fill="auto"/>
            <w:vAlign w:val="center"/>
          </w:tcPr>
          <w:p w14:paraId="7A881512" w14:textId="54972427" w:rsidR="00F1012A" w:rsidRPr="00F1012A" w:rsidRDefault="00F1012A" w:rsidP="00F1012A">
            <w:pPr>
              <w:pStyle w:val="Default"/>
              <w:spacing w:line="276" w:lineRule="auto"/>
              <w:jc w:val="both"/>
              <w:rPr>
                <w:b/>
                <w:color w:val="000000" w:themeColor="text1"/>
                <w:sz w:val="22"/>
                <w:szCs w:val="22"/>
              </w:rPr>
            </w:pPr>
            <w:r w:rsidRPr="00F1012A">
              <w:rPr>
                <w:b/>
                <w:color w:val="000000" w:themeColor="text1"/>
                <w:sz w:val="22"/>
                <w:szCs w:val="22"/>
              </w:rPr>
              <w:t>9</w:t>
            </w:r>
          </w:p>
        </w:tc>
        <w:tc>
          <w:tcPr>
            <w:tcW w:w="3476" w:type="pct"/>
            <w:tcBorders>
              <w:bottom w:val="single" w:sz="4" w:space="0" w:color="auto"/>
            </w:tcBorders>
            <w:vAlign w:val="center"/>
          </w:tcPr>
          <w:p w14:paraId="519D4774" w14:textId="14798C90" w:rsidR="00F1012A" w:rsidRPr="00F1012A" w:rsidRDefault="00F1012A" w:rsidP="00F1012A">
            <w:pPr>
              <w:pStyle w:val="Default"/>
              <w:spacing w:line="276" w:lineRule="auto"/>
              <w:rPr>
                <w:b/>
                <w:color w:val="000000" w:themeColor="text1"/>
                <w:sz w:val="22"/>
                <w:szCs w:val="22"/>
              </w:rPr>
            </w:pPr>
            <w:r w:rsidRPr="00F1012A">
              <w:rPr>
                <w:b/>
                <w:color w:val="000000" w:themeColor="text1"/>
                <w:sz w:val="22"/>
                <w:szCs w:val="22"/>
              </w:rPr>
              <w:t>SUMA</w:t>
            </w:r>
          </w:p>
        </w:tc>
        <w:tc>
          <w:tcPr>
            <w:tcW w:w="1233" w:type="pct"/>
            <w:tcBorders>
              <w:bottom w:val="single" w:sz="4" w:space="0" w:color="auto"/>
            </w:tcBorders>
            <w:vAlign w:val="center"/>
          </w:tcPr>
          <w:p w14:paraId="19CB06FB" w14:textId="16123C11" w:rsidR="00F1012A" w:rsidRPr="00F1012A" w:rsidRDefault="00F1012A" w:rsidP="00F1012A">
            <w:pPr>
              <w:pStyle w:val="Default"/>
              <w:spacing w:line="276" w:lineRule="auto"/>
              <w:jc w:val="center"/>
              <w:rPr>
                <w:b/>
                <w:color w:val="000000" w:themeColor="text1"/>
                <w:sz w:val="22"/>
                <w:szCs w:val="22"/>
              </w:rPr>
            </w:pPr>
            <w:r w:rsidRPr="00F1012A">
              <w:rPr>
                <w:b/>
                <w:color w:val="000000" w:themeColor="text1"/>
                <w:sz w:val="22"/>
                <w:szCs w:val="22"/>
              </w:rPr>
              <w:t>100</w:t>
            </w:r>
          </w:p>
        </w:tc>
      </w:tr>
    </w:tbl>
    <w:p w14:paraId="07762EAF" w14:textId="42E58684" w:rsidR="00022C8D" w:rsidRPr="00F1012A" w:rsidRDefault="00022C8D" w:rsidP="00F1012A">
      <w:pPr>
        <w:spacing w:before="120" w:after="120" w:line="288" w:lineRule="auto"/>
        <w:rPr>
          <w:rFonts w:ascii="Arial" w:hAnsi="Arial" w:cs="Arial"/>
          <w:b/>
          <w:color w:val="000000" w:themeColor="text1"/>
          <w:sz w:val="22"/>
          <w:szCs w:val="22"/>
        </w:rPr>
      </w:pPr>
      <w:r w:rsidRPr="009B78DA">
        <w:rPr>
          <w:rFonts w:ascii="Arial" w:hAnsi="Arial" w:cs="Arial"/>
          <w:b/>
          <w:color w:val="000000" w:themeColor="text1"/>
          <w:sz w:val="22"/>
          <w:szCs w:val="22"/>
        </w:rPr>
        <w:t>Szczegółowy opis kryteriów:</w:t>
      </w:r>
    </w:p>
    <w:p w14:paraId="6794CC83" w14:textId="318F30EF" w:rsidR="005961AA" w:rsidRPr="009B78DA" w:rsidRDefault="005961AA" w:rsidP="00F1012A">
      <w:pPr>
        <w:spacing w:after="120"/>
        <w:rPr>
          <w:rFonts w:ascii="Arial" w:hAnsi="Arial" w:cs="Arial"/>
          <w:b/>
          <w:color w:val="000000" w:themeColor="text1"/>
          <w:sz w:val="22"/>
          <w:szCs w:val="22"/>
        </w:rPr>
      </w:pPr>
      <w:r w:rsidRPr="009B78DA">
        <w:rPr>
          <w:rFonts w:ascii="Arial" w:hAnsi="Arial" w:cs="Arial"/>
          <w:b/>
          <w:color w:val="000000" w:themeColor="text1"/>
          <w:sz w:val="22"/>
          <w:szCs w:val="22"/>
        </w:rPr>
        <w:t>1 . Kryterium połączenia do sieci TEN-T</w:t>
      </w:r>
    </w:p>
    <w:tbl>
      <w:tblPr>
        <w:tblStyle w:val="Tabela-Siatka1"/>
        <w:tblW w:w="0" w:type="auto"/>
        <w:tblLook w:val="04A0" w:firstRow="1" w:lastRow="0" w:firstColumn="1" w:lastColumn="0" w:noHBand="0" w:noVBand="1"/>
        <w:tblCaption w:val="1 . Kryterium połączenia do sieci TEN-T"/>
        <w:tblDescription w:val="Tabela zawiera Kryterium, Punkty, Max liczba punktów"/>
      </w:tblPr>
      <w:tblGrid>
        <w:gridCol w:w="3326"/>
        <w:gridCol w:w="3326"/>
        <w:gridCol w:w="2387"/>
      </w:tblGrid>
      <w:tr w:rsidR="006F4FD2" w:rsidRPr="009B78DA" w14:paraId="5E31FD22" w14:textId="77777777" w:rsidTr="00F1012A">
        <w:trPr>
          <w:trHeight w:val="158"/>
          <w:tblHeader/>
        </w:trPr>
        <w:tc>
          <w:tcPr>
            <w:tcW w:w="3326" w:type="dxa"/>
            <w:shd w:val="clear" w:color="auto" w:fill="DEEAF6" w:themeFill="accent1" w:themeFillTint="33"/>
          </w:tcPr>
          <w:p w14:paraId="5276A1EB" w14:textId="77777777" w:rsidR="005961AA" w:rsidRPr="009B78DA" w:rsidRDefault="005961AA" w:rsidP="00F1012A">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Kryterium</w:t>
            </w:r>
          </w:p>
        </w:tc>
        <w:tc>
          <w:tcPr>
            <w:tcW w:w="3326" w:type="dxa"/>
            <w:shd w:val="clear" w:color="auto" w:fill="DEEAF6" w:themeFill="accent1" w:themeFillTint="33"/>
          </w:tcPr>
          <w:p w14:paraId="2C2E9687" w14:textId="77777777" w:rsidR="005961AA" w:rsidRPr="009B78DA" w:rsidRDefault="005961AA" w:rsidP="00F1012A">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Punkty</w:t>
            </w:r>
          </w:p>
        </w:tc>
        <w:tc>
          <w:tcPr>
            <w:tcW w:w="2387" w:type="dxa"/>
            <w:shd w:val="clear" w:color="auto" w:fill="DEEAF6" w:themeFill="accent1" w:themeFillTint="33"/>
          </w:tcPr>
          <w:p w14:paraId="125190F0" w14:textId="77777777" w:rsidR="005961AA" w:rsidRPr="009B78DA" w:rsidRDefault="005961AA" w:rsidP="00F1012A">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Max liczba punktów</w:t>
            </w:r>
          </w:p>
        </w:tc>
      </w:tr>
      <w:tr w:rsidR="005961AA" w:rsidRPr="009B78DA" w14:paraId="17F81CAB" w14:textId="77777777" w:rsidTr="00F1012A">
        <w:tc>
          <w:tcPr>
            <w:tcW w:w="3326" w:type="dxa"/>
          </w:tcPr>
          <w:p w14:paraId="3EC8F92A" w14:textId="6A4F20E5" w:rsidR="005961AA" w:rsidRPr="009B78DA" w:rsidRDefault="00FC71A4" w:rsidP="00F1012A">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P</w:t>
            </w:r>
            <w:r w:rsidR="00F1012A">
              <w:rPr>
                <w:rFonts w:ascii="Arial" w:hAnsi="Arial" w:cs="Arial"/>
                <w:color w:val="000000" w:themeColor="text1"/>
                <w:sz w:val="22"/>
                <w:szCs w:val="22"/>
              </w:rPr>
              <w:t>ołączenie do sieci TEN-T</w:t>
            </w:r>
          </w:p>
        </w:tc>
        <w:tc>
          <w:tcPr>
            <w:tcW w:w="3326" w:type="dxa"/>
          </w:tcPr>
          <w:p w14:paraId="3F0B84BE" w14:textId="5900B8A1" w:rsidR="005961AA" w:rsidRPr="009B78DA" w:rsidRDefault="007E1A41" w:rsidP="00F1012A">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r w:rsidR="0008795D" w:rsidRPr="009B78DA">
              <w:rPr>
                <w:rFonts w:ascii="Arial" w:hAnsi="Arial" w:cs="Arial"/>
                <w:color w:val="000000" w:themeColor="text1"/>
                <w:sz w:val="22"/>
                <w:szCs w:val="22"/>
              </w:rPr>
              <w:t>0</w:t>
            </w:r>
          </w:p>
        </w:tc>
        <w:tc>
          <w:tcPr>
            <w:tcW w:w="2387" w:type="dxa"/>
          </w:tcPr>
          <w:p w14:paraId="37F0479D" w14:textId="26E4487D" w:rsidR="005961AA" w:rsidRPr="009B78DA" w:rsidRDefault="007E1A41" w:rsidP="00F1012A">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w:t>
            </w:r>
            <w:r w:rsidR="0008795D" w:rsidRPr="009B78DA">
              <w:rPr>
                <w:rFonts w:ascii="Arial" w:hAnsi="Arial" w:cs="Arial"/>
                <w:color w:val="000000" w:themeColor="text1"/>
                <w:sz w:val="22"/>
                <w:szCs w:val="22"/>
              </w:rPr>
              <w:t>0</w:t>
            </w:r>
          </w:p>
        </w:tc>
      </w:tr>
    </w:tbl>
    <w:p w14:paraId="0D3CCD05" w14:textId="281072A1" w:rsidR="009D3918" w:rsidRPr="009B78DA" w:rsidRDefault="009D3918" w:rsidP="00F1012A">
      <w:pPr>
        <w:suppressAutoHyphens/>
        <w:spacing w:before="120"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Sieć transportowa województwa podkarpackiego, z uwagi na położenie tranzytowe Podkarpacia jest ściśle powiązana z układ</w:t>
      </w:r>
      <w:r w:rsidR="00F1012A">
        <w:rPr>
          <w:rFonts w:ascii="Arial" w:hAnsi="Arial" w:cs="Arial"/>
          <w:color w:val="000000" w:themeColor="text1"/>
          <w:sz w:val="22"/>
          <w:szCs w:val="22"/>
        </w:rPr>
        <w:t>em krajowym i transeuropejskim.</w:t>
      </w:r>
    </w:p>
    <w:p w14:paraId="7091F32F" w14:textId="66F0403D" w:rsidR="009D3918" w:rsidRPr="009B78DA" w:rsidRDefault="009D3918" w:rsidP="00F1012A">
      <w:pPr>
        <w:suppressAutoHyphens/>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PSRT WP jako istotny wpływ na poprawę dostępności zewnętrznej Podkarpacia </w:t>
      </w:r>
      <w:r w:rsidR="00F1012A">
        <w:rPr>
          <w:rFonts w:ascii="Arial" w:hAnsi="Arial" w:cs="Arial"/>
          <w:color w:val="000000" w:themeColor="text1"/>
          <w:sz w:val="22"/>
          <w:szCs w:val="22"/>
        </w:rPr>
        <w:br/>
      </w:r>
      <w:r w:rsidRPr="009B78DA">
        <w:rPr>
          <w:rFonts w:ascii="Arial" w:hAnsi="Arial" w:cs="Arial"/>
          <w:color w:val="000000" w:themeColor="text1"/>
          <w:sz w:val="22"/>
          <w:szCs w:val="22"/>
        </w:rPr>
        <w:t>w ramach celu podstawowego w zakresie dostępności zewnętrznej wskazano konieczność tworzenia integralności sieci drogowej z bazową i kompleksową transeuropejską siecią transportową (TEN-T). W tym kontekście istotnym było wskazanie kryterium, które premiuje drogi łączące się bezpośrednio z siecią TEN-T, zapewniając w ten sposób lepszą dostępność zewnętrzną Województwa. Przez bezpośrednie połącznie DW do sieci TEN-T rozumie się drogę wojewódzką, która prowadzi ruch bezpośrednio do szlaków drogowych, kolejowych, portów lotniczych a także terminali drogowo-kolejowych wchodzących w skład sieci TEN-T szczegółowo wskazanych w Rozporządzeniu Parlamentu Europejskiego i Rady (UE) nr 1315/2013 z dnia 11 grudnia 2013 r. w sprawie unijnych wytycznych dotyczących rozwoju transeuropejskiej sieci transportowej.</w:t>
      </w:r>
    </w:p>
    <w:p w14:paraId="2A2B3F06" w14:textId="77777777" w:rsidR="009D3918" w:rsidRPr="009B78DA" w:rsidRDefault="009D3918" w:rsidP="00F1012A">
      <w:pPr>
        <w:suppressAutoHyphens/>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Dodatkowo, z uwagi na uwarunkowania terenowe Województwa Podkarpackiego kryterium to premiuje również pośrednie połączenia do sieci TEN-T na obszarach górskich. Obszar górski został definiowany, jako Górski Obszar Funkcjonalny wskazany w Diagnozie sytuacji społeczno-gospodarczej województwa podkarpackiego z 2019 r.</w:t>
      </w:r>
    </w:p>
    <w:p w14:paraId="75289092" w14:textId="18E08AF9" w:rsidR="000C06E0" w:rsidRPr="009B78DA" w:rsidRDefault="009D3918" w:rsidP="001D0B46">
      <w:pPr>
        <w:suppressAutoHyphens/>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Działanie takie wpisuje się w politykę transportową UE mająca na celu w pierwszej kolejności poprawę dostępności transportowej Województwa do sieci TEN-T.</w:t>
      </w:r>
    </w:p>
    <w:p w14:paraId="5A5B558A" w14:textId="10AC41D4" w:rsidR="005961AA" w:rsidRPr="009B78DA" w:rsidRDefault="005961AA" w:rsidP="001D0B46">
      <w:pPr>
        <w:pStyle w:val="Akapitzlist"/>
        <w:numPr>
          <w:ilvl w:val="0"/>
          <w:numId w:val="274"/>
        </w:numPr>
        <w:spacing w:after="120" w:line="276" w:lineRule="auto"/>
        <w:ind w:left="0" w:firstLine="0"/>
        <w:contextualSpacing w:val="0"/>
        <w:rPr>
          <w:rFonts w:ascii="Arial" w:hAnsi="Arial" w:cs="Arial"/>
          <w:b/>
          <w:color w:val="000000" w:themeColor="text1"/>
          <w:sz w:val="22"/>
          <w:szCs w:val="22"/>
        </w:rPr>
      </w:pPr>
      <w:r w:rsidRPr="009B78DA">
        <w:rPr>
          <w:rFonts w:ascii="Arial" w:hAnsi="Arial" w:cs="Arial"/>
          <w:b/>
          <w:color w:val="000000" w:themeColor="text1"/>
          <w:sz w:val="22"/>
          <w:szCs w:val="22"/>
        </w:rPr>
        <w:t>Poprawa połączeń obszarów słabo skomunikowanych</w:t>
      </w:r>
    </w:p>
    <w:tbl>
      <w:tblPr>
        <w:tblStyle w:val="Tabela-Siatka1"/>
        <w:tblW w:w="0" w:type="auto"/>
        <w:tblLook w:val="04A0" w:firstRow="1" w:lastRow="0" w:firstColumn="1" w:lastColumn="0" w:noHBand="0" w:noVBand="1"/>
        <w:tblCaption w:val="2. Poprawa połączeń obszarów słabo skomunikowanych"/>
        <w:tblDescription w:val="Tabela zawiera Kryterium, Punkty, Max liczba punktów"/>
      </w:tblPr>
      <w:tblGrid>
        <w:gridCol w:w="4390"/>
        <w:gridCol w:w="2262"/>
        <w:gridCol w:w="2387"/>
      </w:tblGrid>
      <w:tr w:rsidR="006F4FD2" w:rsidRPr="009B78DA" w14:paraId="071DE13E" w14:textId="77777777" w:rsidTr="001D0B46">
        <w:trPr>
          <w:trHeight w:val="158"/>
          <w:tblHeader/>
        </w:trPr>
        <w:tc>
          <w:tcPr>
            <w:tcW w:w="4390" w:type="dxa"/>
            <w:shd w:val="clear" w:color="auto" w:fill="DEEAF6" w:themeFill="accent1" w:themeFillTint="33"/>
          </w:tcPr>
          <w:p w14:paraId="7CED6F43" w14:textId="77777777" w:rsidR="005961AA" w:rsidRPr="009B78DA" w:rsidRDefault="005961AA" w:rsidP="001D0B46">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Kryterium</w:t>
            </w:r>
          </w:p>
        </w:tc>
        <w:tc>
          <w:tcPr>
            <w:tcW w:w="2262" w:type="dxa"/>
            <w:shd w:val="clear" w:color="auto" w:fill="DEEAF6" w:themeFill="accent1" w:themeFillTint="33"/>
          </w:tcPr>
          <w:p w14:paraId="3BD25F44" w14:textId="77777777" w:rsidR="005961AA" w:rsidRPr="009B78DA" w:rsidRDefault="005961AA" w:rsidP="001D0B46">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Punkty</w:t>
            </w:r>
          </w:p>
        </w:tc>
        <w:tc>
          <w:tcPr>
            <w:tcW w:w="2387" w:type="dxa"/>
            <w:shd w:val="clear" w:color="auto" w:fill="DEEAF6" w:themeFill="accent1" w:themeFillTint="33"/>
          </w:tcPr>
          <w:p w14:paraId="109D8C59" w14:textId="77777777" w:rsidR="005961AA" w:rsidRPr="009B78DA" w:rsidRDefault="005961AA" w:rsidP="001D0B46">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Max liczba punktów</w:t>
            </w:r>
          </w:p>
        </w:tc>
      </w:tr>
      <w:tr w:rsidR="005961AA" w:rsidRPr="009B78DA" w14:paraId="2D0FE01D" w14:textId="77777777" w:rsidTr="001D0B46">
        <w:trPr>
          <w:trHeight w:val="582"/>
        </w:trPr>
        <w:tc>
          <w:tcPr>
            <w:tcW w:w="4390" w:type="dxa"/>
          </w:tcPr>
          <w:p w14:paraId="2056AFC3" w14:textId="77777777" w:rsidR="005961AA" w:rsidRPr="009B78DA" w:rsidRDefault="005961AA" w:rsidP="001D0B46">
            <w:pPr>
              <w:spacing w:line="276" w:lineRule="auto"/>
              <w:rPr>
                <w:rFonts w:ascii="Arial" w:hAnsi="Arial" w:cs="Arial"/>
                <w:bCs/>
                <w:color w:val="000000" w:themeColor="text1"/>
                <w:sz w:val="22"/>
                <w:szCs w:val="22"/>
              </w:rPr>
            </w:pPr>
            <w:r w:rsidRPr="009B78DA">
              <w:rPr>
                <w:rFonts w:ascii="Arial" w:hAnsi="Arial" w:cs="Arial"/>
                <w:bCs/>
                <w:color w:val="000000" w:themeColor="text1"/>
                <w:sz w:val="22"/>
                <w:szCs w:val="22"/>
              </w:rPr>
              <w:t>Poprawa połączeń obszarów słabo skomunikowanych</w:t>
            </w:r>
          </w:p>
        </w:tc>
        <w:tc>
          <w:tcPr>
            <w:tcW w:w="2262" w:type="dxa"/>
          </w:tcPr>
          <w:p w14:paraId="38A19412" w14:textId="77777777" w:rsidR="005961AA" w:rsidRPr="009B78DA" w:rsidRDefault="005961AA" w:rsidP="001D0B46">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2387" w:type="dxa"/>
          </w:tcPr>
          <w:p w14:paraId="6A21C859" w14:textId="6453BFE2" w:rsidR="005961AA" w:rsidRPr="009B78DA" w:rsidRDefault="005961AA" w:rsidP="001D0B46">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bl>
    <w:p w14:paraId="323C09F4" w14:textId="13564799" w:rsidR="005961AA" w:rsidRPr="009B78DA" w:rsidRDefault="005961AA" w:rsidP="001D0B46">
      <w:pPr>
        <w:spacing w:before="120"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Jeden z ustalonych celów podstawowych w PSRT WP wskazuje na</w:t>
      </w:r>
      <w:r w:rsidR="001D0B46">
        <w:rPr>
          <w:rFonts w:ascii="Arial" w:hAnsi="Arial" w:cs="Arial"/>
          <w:color w:val="000000" w:themeColor="text1"/>
          <w:sz w:val="22"/>
          <w:szCs w:val="22"/>
        </w:rPr>
        <w:t xml:space="preserve"> </w:t>
      </w:r>
      <w:r w:rsidRPr="009B78DA">
        <w:rPr>
          <w:rFonts w:ascii="Arial" w:hAnsi="Arial" w:cs="Arial"/>
          <w:color w:val="000000" w:themeColor="text1"/>
          <w:sz w:val="22"/>
          <w:szCs w:val="22"/>
        </w:rPr>
        <w:t>potrzebę likwidacji obszarów wykluczenia transportowego spowodowanego niskim zaludnieniem, obszarami górzystymi lub obszarami o niskiej skali zatrudniania. Obszary o</w:t>
      </w:r>
      <w:r w:rsidR="00D710CC" w:rsidRPr="009B78DA">
        <w:rPr>
          <w:rFonts w:ascii="Arial" w:hAnsi="Arial" w:cs="Arial"/>
          <w:color w:val="000000" w:themeColor="text1"/>
          <w:sz w:val="22"/>
          <w:szCs w:val="22"/>
        </w:rPr>
        <w:t> </w:t>
      </w:r>
      <w:r w:rsidRPr="009B78DA">
        <w:rPr>
          <w:rFonts w:ascii="Arial" w:hAnsi="Arial" w:cs="Arial"/>
          <w:color w:val="000000" w:themeColor="text1"/>
          <w:sz w:val="22"/>
          <w:szCs w:val="22"/>
        </w:rPr>
        <w:t>niskiej dostępności komunikacyjnej oraz zagrożone wykluczeniem transportowym szczegółowo zdefiniowane zostały w diagnozie systemu województwa podkarpackiego w</w:t>
      </w:r>
      <w:r w:rsidR="001D0B46">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układach przestrzennych </w:t>
      </w:r>
      <w:r w:rsidRPr="009B78DA">
        <w:rPr>
          <w:rFonts w:ascii="Arial" w:hAnsi="Arial" w:cs="Arial"/>
          <w:i/>
          <w:iCs/>
          <w:color w:val="000000" w:themeColor="text1"/>
          <w:sz w:val="22"/>
          <w:szCs w:val="22"/>
        </w:rPr>
        <w:t>Programu Strategicznego Rozwoju Transportu Województwa Podkarpackiego do roku 2030</w:t>
      </w:r>
      <w:r w:rsidR="00656CFD" w:rsidRPr="009B78DA">
        <w:rPr>
          <w:rStyle w:val="Odwoanieprzypisudolnego"/>
          <w:rFonts w:ascii="Arial" w:hAnsi="Arial" w:cs="Arial"/>
          <w:color w:val="000000" w:themeColor="text1"/>
          <w:sz w:val="22"/>
          <w:szCs w:val="22"/>
        </w:rPr>
        <w:footnoteReference w:id="36"/>
      </w:r>
      <w:r w:rsidR="001D0B46">
        <w:rPr>
          <w:rFonts w:ascii="Arial" w:hAnsi="Arial" w:cs="Arial"/>
          <w:color w:val="000000" w:themeColor="text1"/>
          <w:sz w:val="22"/>
          <w:szCs w:val="22"/>
        </w:rPr>
        <w:t>.</w:t>
      </w:r>
    </w:p>
    <w:p w14:paraId="4456ABBC" w14:textId="3BBEF07D" w:rsidR="005961AA" w:rsidRPr="009B78DA" w:rsidRDefault="005961AA" w:rsidP="001D0B4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Z uwagi na wskazany cel podstawowy, który skoncentrowany jest na zwiększenie dostępności zewnętrznej regionu zastosowano kryterium poprawy połączeń do zidentyfikowanych obszarów zagrożonych wykluczeniem. Odnosi się ono do głównej rekomendacji ww. </w:t>
      </w:r>
      <w:r w:rsidR="00D710CC" w:rsidRPr="009B78DA">
        <w:rPr>
          <w:rFonts w:ascii="Arial" w:hAnsi="Arial" w:cs="Arial"/>
          <w:color w:val="000000" w:themeColor="text1"/>
          <w:sz w:val="22"/>
          <w:szCs w:val="22"/>
        </w:rPr>
        <w:t>P</w:t>
      </w:r>
      <w:r w:rsidRPr="009B78DA">
        <w:rPr>
          <w:rFonts w:ascii="Arial" w:hAnsi="Arial" w:cs="Arial"/>
          <w:color w:val="000000" w:themeColor="text1"/>
          <w:sz w:val="22"/>
          <w:szCs w:val="22"/>
        </w:rPr>
        <w:t>rogramu tj. usuwanie luk, które są lub mogą być przyczynami narastających dysproporcji w rozwoju.</w:t>
      </w:r>
    </w:p>
    <w:p w14:paraId="477674EA" w14:textId="7E03B5B3" w:rsidR="005961AA" w:rsidRPr="009B78DA" w:rsidRDefault="005961AA" w:rsidP="001D0B4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Kryterium to premiuje inwestycje na obszarach peryferyjnych (czyli obszar stagnacji gospodarczej, cechujący się niekorzystnymi wskaźnikami aktywności gospodarczej, dużym odpływem ludności, obszary te położone są na terenach przygranicznych o niskiej gęstości zaludnienia oraz na obszarach trudnodostępnych komunikacyjnie, zagrożonych wykluczenie</w:t>
      </w:r>
      <w:r w:rsidR="001D0B46">
        <w:rPr>
          <w:rFonts w:ascii="Arial" w:hAnsi="Arial" w:cs="Arial"/>
          <w:color w:val="000000" w:themeColor="text1"/>
          <w:sz w:val="22"/>
          <w:szCs w:val="22"/>
        </w:rPr>
        <w:t xml:space="preserve">m komunikacyjnym). </w:t>
      </w:r>
    </w:p>
    <w:p w14:paraId="7A4D1A95" w14:textId="09C3E4AF" w:rsidR="00BB098F" w:rsidRPr="009B78DA" w:rsidRDefault="005961AA" w:rsidP="001D0B46">
      <w:pPr>
        <w:pStyle w:val="Akapitzlist"/>
        <w:numPr>
          <w:ilvl w:val="0"/>
          <w:numId w:val="241"/>
        </w:numPr>
        <w:spacing w:before="120" w:after="120" w:line="276" w:lineRule="auto"/>
        <w:ind w:left="0" w:firstLine="0"/>
        <w:contextualSpacing w:val="0"/>
        <w:rPr>
          <w:rFonts w:ascii="Arial" w:hAnsi="Arial" w:cs="Arial"/>
          <w:b/>
          <w:color w:val="000000" w:themeColor="text1"/>
          <w:sz w:val="22"/>
          <w:szCs w:val="22"/>
        </w:rPr>
      </w:pPr>
      <w:r w:rsidRPr="009B78DA">
        <w:rPr>
          <w:rFonts w:ascii="Arial" w:hAnsi="Arial" w:cs="Arial"/>
          <w:b/>
          <w:bCs/>
          <w:color w:val="000000" w:themeColor="text1"/>
          <w:sz w:val="22"/>
          <w:szCs w:val="22"/>
        </w:rPr>
        <w:t>Kryterium p</w:t>
      </w:r>
      <w:r w:rsidR="001D0B46">
        <w:rPr>
          <w:rFonts w:ascii="Arial" w:hAnsi="Arial" w:cs="Arial"/>
          <w:b/>
          <w:bCs/>
          <w:color w:val="000000" w:themeColor="text1"/>
          <w:sz w:val="22"/>
          <w:szCs w:val="22"/>
        </w:rPr>
        <w:t>rzepustowość drogi a środowisko</w:t>
      </w:r>
    </w:p>
    <w:tbl>
      <w:tblPr>
        <w:tblStyle w:val="Tabela-Siatka1"/>
        <w:tblW w:w="9040" w:type="dxa"/>
        <w:tblLook w:val="04A0" w:firstRow="1" w:lastRow="0" w:firstColumn="1" w:lastColumn="0" w:noHBand="0" w:noVBand="1"/>
        <w:tblCaption w:val="3. Kryterium przepustowość drogi a środowisko"/>
        <w:tblDescription w:val="Tabela zawiera Podkryteria, Punkty, Max liczba punktów"/>
      </w:tblPr>
      <w:tblGrid>
        <w:gridCol w:w="4531"/>
        <w:gridCol w:w="2129"/>
        <w:gridCol w:w="2380"/>
      </w:tblGrid>
      <w:tr w:rsidR="006F4FD2" w:rsidRPr="009B78DA" w14:paraId="0D43DBC9" w14:textId="77777777" w:rsidTr="001D0B46">
        <w:trPr>
          <w:trHeight w:val="658"/>
          <w:tblHeader/>
        </w:trPr>
        <w:tc>
          <w:tcPr>
            <w:tcW w:w="4531" w:type="dxa"/>
            <w:shd w:val="clear" w:color="auto" w:fill="DEEAF6" w:themeFill="accent1" w:themeFillTint="33"/>
            <w:vAlign w:val="center"/>
            <w:hideMark/>
          </w:tcPr>
          <w:p w14:paraId="6BB79388"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Podkryteria</w:t>
            </w:r>
          </w:p>
        </w:tc>
        <w:tc>
          <w:tcPr>
            <w:tcW w:w="2129" w:type="dxa"/>
            <w:shd w:val="clear" w:color="auto" w:fill="DEEAF6" w:themeFill="accent1" w:themeFillTint="33"/>
            <w:vAlign w:val="center"/>
            <w:hideMark/>
          </w:tcPr>
          <w:p w14:paraId="7CA3C156"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Punkty</w:t>
            </w:r>
          </w:p>
        </w:tc>
        <w:tc>
          <w:tcPr>
            <w:tcW w:w="2380" w:type="dxa"/>
            <w:shd w:val="clear" w:color="auto" w:fill="DEEAF6" w:themeFill="accent1" w:themeFillTint="33"/>
            <w:vAlign w:val="center"/>
            <w:hideMark/>
          </w:tcPr>
          <w:p w14:paraId="313D070A"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Max liczba punktów</w:t>
            </w:r>
          </w:p>
        </w:tc>
      </w:tr>
      <w:tr w:rsidR="006F4FD2" w:rsidRPr="009B78DA" w14:paraId="242D6DC5" w14:textId="77777777" w:rsidTr="001D0B46">
        <w:trPr>
          <w:trHeight w:val="506"/>
        </w:trPr>
        <w:tc>
          <w:tcPr>
            <w:tcW w:w="4531" w:type="dxa"/>
            <w:vAlign w:val="center"/>
            <w:hideMark/>
          </w:tcPr>
          <w:p w14:paraId="7F5356A1" w14:textId="77777777" w:rsidR="005961AA" w:rsidRPr="009B78DA" w:rsidRDefault="005961AA" w:rsidP="001D0B46">
            <w:pPr>
              <w:rPr>
                <w:rFonts w:ascii="Arial" w:hAnsi="Arial" w:cs="Arial"/>
                <w:color w:val="000000" w:themeColor="text1"/>
                <w:sz w:val="22"/>
                <w:szCs w:val="22"/>
              </w:rPr>
            </w:pPr>
            <w:r w:rsidRPr="009B78DA">
              <w:rPr>
                <w:rFonts w:ascii="Arial" w:hAnsi="Arial" w:cs="Arial"/>
                <w:color w:val="000000" w:themeColor="text1"/>
                <w:sz w:val="22"/>
                <w:szCs w:val="22"/>
              </w:rPr>
              <w:t xml:space="preserve">Zadanie obwodnicowe, skrzyżowanie bezkolizyjne, wiadukt lub obiekt mostowy </w:t>
            </w:r>
          </w:p>
        </w:tc>
        <w:tc>
          <w:tcPr>
            <w:tcW w:w="2129" w:type="dxa"/>
            <w:vAlign w:val="center"/>
            <w:hideMark/>
          </w:tcPr>
          <w:p w14:paraId="3B2F4990"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2380" w:type="dxa"/>
            <w:vAlign w:val="center"/>
            <w:hideMark/>
          </w:tcPr>
          <w:p w14:paraId="686FCD8C"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r w:rsidR="005961AA" w:rsidRPr="009B78DA" w14:paraId="505EB4A2" w14:textId="77777777" w:rsidTr="001D0B46">
        <w:trPr>
          <w:trHeight w:val="641"/>
        </w:trPr>
        <w:tc>
          <w:tcPr>
            <w:tcW w:w="4531" w:type="dxa"/>
            <w:vAlign w:val="center"/>
            <w:hideMark/>
          </w:tcPr>
          <w:p w14:paraId="7DD8E658" w14:textId="77777777" w:rsidR="005961AA" w:rsidRPr="009B78DA" w:rsidRDefault="005961AA" w:rsidP="001D0B46">
            <w:pPr>
              <w:rPr>
                <w:rFonts w:ascii="Arial" w:hAnsi="Arial" w:cs="Arial"/>
                <w:color w:val="000000" w:themeColor="text1"/>
                <w:sz w:val="22"/>
                <w:szCs w:val="22"/>
              </w:rPr>
            </w:pPr>
            <w:r w:rsidRPr="009B78DA">
              <w:rPr>
                <w:rFonts w:ascii="Arial" w:hAnsi="Arial" w:cs="Arial"/>
                <w:color w:val="000000" w:themeColor="text1"/>
                <w:sz w:val="22"/>
                <w:szCs w:val="22"/>
              </w:rPr>
              <w:t>Istniejący odcinek sieci w stanie złym, stanowiącym tzw. „wąskie gardło” hamujące płynny ruch na ciągu drogowym</w:t>
            </w:r>
          </w:p>
        </w:tc>
        <w:tc>
          <w:tcPr>
            <w:tcW w:w="2129" w:type="dxa"/>
            <w:vAlign w:val="center"/>
            <w:hideMark/>
          </w:tcPr>
          <w:p w14:paraId="0509BEA0"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5</w:t>
            </w:r>
          </w:p>
        </w:tc>
        <w:tc>
          <w:tcPr>
            <w:tcW w:w="0" w:type="auto"/>
            <w:vAlign w:val="center"/>
            <w:hideMark/>
          </w:tcPr>
          <w:p w14:paraId="61E2AEF4" w14:textId="3D6DAE75" w:rsidR="005961AA" w:rsidRPr="009B78DA" w:rsidRDefault="001D0B46"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bl>
    <w:p w14:paraId="4F5DA109" w14:textId="7F501D07" w:rsidR="005961AA" w:rsidRPr="009B78DA" w:rsidRDefault="005961AA" w:rsidP="001D0B4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Podstawowym założeniem w przekształceniach infrastruktury transportowej w Polsce stało się m. in. zmniejszenie negatywnego oddziaływania na środowisko przyrodnicze. Aspekt ten został zidentyfikowany w PSRT WP jako cel horyzontalny</w:t>
      </w:r>
      <w:r w:rsidR="00344B48" w:rsidRPr="009B78DA">
        <w:rPr>
          <w:rStyle w:val="Odwoanieprzypisudolnego"/>
          <w:rFonts w:ascii="Arial" w:hAnsi="Arial" w:cs="Arial"/>
          <w:color w:val="000000" w:themeColor="text1"/>
          <w:sz w:val="22"/>
          <w:szCs w:val="22"/>
        </w:rPr>
        <w:footnoteReference w:id="37"/>
      </w:r>
      <w:r w:rsidRPr="009B78DA">
        <w:rPr>
          <w:rFonts w:ascii="Arial" w:hAnsi="Arial" w:cs="Arial"/>
          <w:color w:val="000000" w:themeColor="text1"/>
          <w:sz w:val="22"/>
          <w:szCs w:val="22"/>
        </w:rPr>
        <w:t>. Zazwyczaj</w:t>
      </w:r>
      <w:r w:rsidR="00D710CC" w:rsidRPr="009B78DA">
        <w:rPr>
          <w:rFonts w:ascii="Arial" w:hAnsi="Arial" w:cs="Arial"/>
          <w:color w:val="000000" w:themeColor="text1"/>
          <w:sz w:val="22"/>
          <w:szCs w:val="22"/>
        </w:rPr>
        <w:t> </w:t>
      </w:r>
      <w:r w:rsidRPr="009B78DA">
        <w:rPr>
          <w:rFonts w:ascii="Arial" w:hAnsi="Arial" w:cs="Arial"/>
          <w:color w:val="000000" w:themeColor="text1"/>
          <w:sz w:val="22"/>
          <w:szCs w:val="22"/>
        </w:rPr>
        <w:t xml:space="preserve">realizacja inwestycji drogowych pojmowana jest jako źródło niekorzystnych oddziaływań, natomiast zdecydowaną większość inwestycji uzasadniają korzyści ekonomiczne i społeczne, m. in. takie jak: zmniejszenie kosztów ruchu, uzyskanie dostępności, zwiększenie przepustowości </w:t>
      </w:r>
      <w:r w:rsidR="001D0B46">
        <w:rPr>
          <w:rFonts w:ascii="Arial" w:hAnsi="Arial" w:cs="Arial"/>
          <w:color w:val="000000" w:themeColor="text1"/>
          <w:sz w:val="22"/>
          <w:szCs w:val="22"/>
        </w:rPr>
        <w:br/>
      </w:r>
      <w:r w:rsidRPr="009B78DA">
        <w:rPr>
          <w:rFonts w:ascii="Arial" w:hAnsi="Arial" w:cs="Arial"/>
          <w:color w:val="000000" w:themeColor="text1"/>
          <w:sz w:val="22"/>
          <w:szCs w:val="22"/>
        </w:rPr>
        <w:t>i zmniejszenie przeciążenia istniejących odcinków sieci.</w:t>
      </w:r>
    </w:p>
    <w:p w14:paraId="55F7BC8C" w14:textId="77777777" w:rsidR="005961AA" w:rsidRPr="009B78DA" w:rsidRDefault="005961AA" w:rsidP="001D0B4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województwie podkarpackim obserwowany jest ciągły wzrost ruchu na drogach krajowych i wojewódzkich. Wzrost ten koncentruje się głównie na najważniejszych ciągach dróg, przede wszystkim na odcinkach prowadzących do największych miast i w przejściach przez miasta. Negatywnym zdiagnozowanym zjawiskiem sieci dróg wojewódzkich jest także znaczny wzrost poziomu dróg wojewódzkich o złym stanie nawierzchni. Sytuacja ta powoduje, że coraz bardziej ograniczona zostaje przepustowość istniejących dróg oraz wzrastają koszty środowiskowe. </w:t>
      </w:r>
    </w:p>
    <w:p w14:paraId="1C091E61" w14:textId="3FF38B2E" w:rsidR="005961AA" w:rsidRPr="009B78DA" w:rsidRDefault="005961AA" w:rsidP="001D0B4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Rozwiązaniem, które może częściowo zniwelować zidentyfikowane problemy w zakresie dróg wojewódzkich jest budowa nowych ciągów obwodnicowych, a</w:t>
      </w:r>
      <w:r w:rsidR="00350E3E" w:rsidRPr="009B78DA">
        <w:rPr>
          <w:rFonts w:ascii="Arial" w:hAnsi="Arial" w:cs="Arial"/>
          <w:color w:val="000000" w:themeColor="text1"/>
          <w:sz w:val="22"/>
          <w:szCs w:val="22"/>
        </w:rPr>
        <w:t> </w:t>
      </w:r>
      <w:r w:rsidRPr="009B78DA">
        <w:rPr>
          <w:rFonts w:ascii="Arial" w:hAnsi="Arial" w:cs="Arial"/>
          <w:color w:val="000000" w:themeColor="text1"/>
          <w:sz w:val="22"/>
          <w:szCs w:val="22"/>
        </w:rPr>
        <w:t>w</w:t>
      </w:r>
      <w:r w:rsidR="00350E3E" w:rsidRPr="009B78DA">
        <w:rPr>
          <w:rFonts w:ascii="Arial" w:hAnsi="Arial" w:cs="Arial"/>
          <w:color w:val="000000" w:themeColor="text1"/>
          <w:sz w:val="22"/>
          <w:szCs w:val="22"/>
        </w:rPr>
        <w:t> </w:t>
      </w:r>
      <w:r w:rsidRPr="009B78DA">
        <w:rPr>
          <w:rFonts w:ascii="Arial" w:hAnsi="Arial" w:cs="Arial"/>
          <w:color w:val="000000" w:themeColor="text1"/>
          <w:sz w:val="22"/>
          <w:szCs w:val="22"/>
        </w:rPr>
        <w:t xml:space="preserve">przypadku braku takiej możliwości, podejmowanie działań zmierzających do podwyższania parametrów technicznych istniejących dróg. </w:t>
      </w:r>
    </w:p>
    <w:p w14:paraId="4053750D" w14:textId="77777777" w:rsidR="001D0B46" w:rsidRDefault="005961AA" w:rsidP="001D0B46">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Kryterium przepustowość drogi a środowisko premiuje projekty polegające na budowie obwodnic, skrzyżowań bezkolizyjnych, wiaduktów lub obiektów mostowych oraz projekty dotyczące przebudowy/rozbudowy istniejącego odcinka drogi w sieci w stanie złym. W</w:t>
      </w:r>
      <w:r w:rsidR="00350E3E" w:rsidRPr="009B78DA">
        <w:rPr>
          <w:rFonts w:ascii="Arial" w:hAnsi="Arial" w:cs="Arial"/>
          <w:color w:val="000000" w:themeColor="text1"/>
          <w:sz w:val="22"/>
          <w:szCs w:val="22"/>
        </w:rPr>
        <w:t> </w:t>
      </w:r>
      <w:r w:rsidRPr="009B78DA">
        <w:rPr>
          <w:rFonts w:ascii="Arial" w:hAnsi="Arial" w:cs="Arial"/>
          <w:color w:val="000000" w:themeColor="text1"/>
          <w:sz w:val="22"/>
          <w:szCs w:val="22"/>
        </w:rPr>
        <w:t>zakresie budowy obwodnic, skrzyżowań bezkolizyjnych, wiaduktów lub obiektów mostowych punktacja przyznawana będzie dla inwestycji polegającej na budowie drogi o</w:t>
      </w:r>
      <w:r w:rsidR="00350E3E" w:rsidRPr="009B78DA">
        <w:rPr>
          <w:rFonts w:ascii="Arial" w:hAnsi="Arial" w:cs="Arial"/>
          <w:color w:val="000000" w:themeColor="text1"/>
          <w:sz w:val="22"/>
          <w:szCs w:val="22"/>
        </w:rPr>
        <w:t> </w:t>
      </w:r>
      <w:r w:rsidRPr="009B78DA">
        <w:rPr>
          <w:rFonts w:ascii="Arial" w:hAnsi="Arial" w:cs="Arial"/>
          <w:color w:val="000000" w:themeColor="text1"/>
          <w:sz w:val="22"/>
          <w:szCs w:val="22"/>
        </w:rPr>
        <w:t>charakterze obwodnicy dla terenu zurbanizowanego (wskaźniki emisji GC są niższe dla terenów niezurbanizowanych), a także zadania, które przewidują budowę skrzyżowań bezkolizyjnych, wiaduktów czy dużych obiektów mostowych przekraczających znaczne przeszkody. Przedmiotowe typy zadań będą najwyżej punktowane, gdyż one w sposób szczególny wpływają na zmniejszenie emisji spalin pojazdów w ruchu drogowym do środowiska, poprzez upłynnienie ruchu drogowego. Dodatkowo eliminują punkty kolizji sieci transportowej poprzez wyprowadzenie ruchu poza zatłoczone centra miast. Natomiast w</w:t>
      </w:r>
      <w:r w:rsidR="00A83B26" w:rsidRPr="009B78DA">
        <w:rPr>
          <w:rFonts w:ascii="Arial" w:hAnsi="Arial" w:cs="Arial"/>
          <w:color w:val="000000" w:themeColor="text1"/>
          <w:sz w:val="22"/>
          <w:szCs w:val="22"/>
        </w:rPr>
        <w:t> </w:t>
      </w:r>
      <w:r w:rsidRPr="009B78DA">
        <w:rPr>
          <w:rFonts w:ascii="Arial" w:hAnsi="Arial" w:cs="Arial"/>
          <w:color w:val="000000" w:themeColor="text1"/>
          <w:sz w:val="22"/>
          <w:szCs w:val="22"/>
        </w:rPr>
        <w:t>przypadku przebudowy/rozbudowy istniejącego odcinka drogi w sieci przy wyznaczeniu punktacji, będzie brany pod uwagę stan techniczny nawierzchni tego odcinka drogi, oceniony na koniec 2020 r. na podstawie corocznie dokonywanych przeglądów dróg przez służby Podkarpackiego Zarządu Dróg Wojewódzkich w Rzeszowie. W trakcie dokonywania oceny stanu technicznego ciągów dróg wojewódzkich PZDW dokonuje klasyfikacji odcinków na dwie kategorie: stan zły oraz stan dobry, przy czym punktowane będą wyłącznie takie projekty, które dotyczą odcinków dróg będących w stanie złym, uznając, że tylko przebudowa/rozbudowa takiej drogi poprawi jej parametry techniczne oraz poprawi jej przepustowość tzn. poprawa odcinka usprawni płynność ruchu na ciągu drogowym.</w:t>
      </w:r>
    </w:p>
    <w:p w14:paraId="24DF28B6" w14:textId="25B52176" w:rsidR="005961AA" w:rsidRPr="009B78DA" w:rsidRDefault="001D0B46" w:rsidP="001D0B46">
      <w:pPr>
        <w:rPr>
          <w:rFonts w:ascii="Arial" w:hAnsi="Arial" w:cs="Arial"/>
          <w:color w:val="000000" w:themeColor="text1"/>
          <w:sz w:val="22"/>
          <w:szCs w:val="22"/>
        </w:rPr>
      </w:pPr>
      <w:r>
        <w:rPr>
          <w:rFonts w:ascii="Arial" w:hAnsi="Arial" w:cs="Arial"/>
          <w:color w:val="000000" w:themeColor="text1"/>
          <w:sz w:val="22"/>
          <w:szCs w:val="22"/>
        </w:rPr>
        <w:br w:type="page"/>
      </w:r>
    </w:p>
    <w:p w14:paraId="09A62EA6" w14:textId="544CD976" w:rsidR="00BB098F" w:rsidRPr="009B78DA" w:rsidRDefault="005961AA" w:rsidP="001D0B46">
      <w:pPr>
        <w:pStyle w:val="Akapitzlist"/>
        <w:numPr>
          <w:ilvl w:val="0"/>
          <w:numId w:val="241"/>
        </w:numPr>
        <w:spacing w:after="0" w:line="276" w:lineRule="auto"/>
        <w:ind w:left="0" w:firstLine="0"/>
        <w:rPr>
          <w:rFonts w:ascii="Arial" w:hAnsi="Arial" w:cs="Arial"/>
          <w:b/>
          <w:color w:val="000000" w:themeColor="text1"/>
          <w:sz w:val="22"/>
          <w:szCs w:val="22"/>
        </w:rPr>
      </w:pPr>
      <w:r w:rsidRPr="009B78DA">
        <w:rPr>
          <w:rFonts w:ascii="Arial" w:hAnsi="Arial" w:cs="Arial"/>
          <w:b/>
          <w:bCs/>
          <w:color w:val="000000" w:themeColor="text1"/>
          <w:sz w:val="22"/>
          <w:szCs w:val="22"/>
        </w:rPr>
        <w:t>Kryterium kontynuacja projektów</w:t>
      </w:r>
    </w:p>
    <w:tbl>
      <w:tblPr>
        <w:tblStyle w:val="Tabela-Siatka1"/>
        <w:tblW w:w="9333" w:type="dxa"/>
        <w:tblLook w:val="04A0" w:firstRow="1" w:lastRow="0" w:firstColumn="1" w:lastColumn="0" w:noHBand="0" w:noVBand="1"/>
        <w:tblCaption w:val="4. Kryterium kontynuacja projektów"/>
        <w:tblDescription w:val="Tabela zawiera Podkryteria, Punkty, Max liczba punktów"/>
      </w:tblPr>
      <w:tblGrid>
        <w:gridCol w:w="5665"/>
        <w:gridCol w:w="2122"/>
        <w:gridCol w:w="1546"/>
      </w:tblGrid>
      <w:tr w:rsidR="006F4FD2" w:rsidRPr="009B78DA" w14:paraId="17DDA520" w14:textId="77777777" w:rsidTr="001D0B46">
        <w:trPr>
          <w:trHeight w:val="295"/>
          <w:tblHeader/>
        </w:trPr>
        <w:tc>
          <w:tcPr>
            <w:tcW w:w="5665" w:type="dxa"/>
            <w:shd w:val="clear" w:color="auto" w:fill="DEEAF6" w:themeFill="accent1" w:themeFillTint="33"/>
            <w:vAlign w:val="center"/>
            <w:hideMark/>
          </w:tcPr>
          <w:p w14:paraId="0CC464F1"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Podkryteria</w:t>
            </w:r>
          </w:p>
        </w:tc>
        <w:tc>
          <w:tcPr>
            <w:tcW w:w="2122" w:type="dxa"/>
            <w:shd w:val="clear" w:color="auto" w:fill="DEEAF6" w:themeFill="accent1" w:themeFillTint="33"/>
            <w:vAlign w:val="center"/>
            <w:hideMark/>
          </w:tcPr>
          <w:p w14:paraId="6561289F"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Punkty</w:t>
            </w:r>
          </w:p>
        </w:tc>
        <w:tc>
          <w:tcPr>
            <w:tcW w:w="1546" w:type="dxa"/>
            <w:shd w:val="clear" w:color="auto" w:fill="DEEAF6" w:themeFill="accent1" w:themeFillTint="33"/>
            <w:vAlign w:val="center"/>
            <w:hideMark/>
          </w:tcPr>
          <w:p w14:paraId="5B604901"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Max liczba punktów</w:t>
            </w:r>
          </w:p>
        </w:tc>
      </w:tr>
      <w:tr w:rsidR="006F4FD2" w:rsidRPr="009B78DA" w14:paraId="723DCD82" w14:textId="77777777" w:rsidTr="001D0B46">
        <w:trPr>
          <w:trHeight w:val="793"/>
        </w:trPr>
        <w:tc>
          <w:tcPr>
            <w:tcW w:w="5665" w:type="dxa"/>
            <w:vAlign w:val="center"/>
            <w:hideMark/>
          </w:tcPr>
          <w:p w14:paraId="2D147679" w14:textId="07ACBCB4" w:rsidR="005961AA" w:rsidRPr="009B78DA" w:rsidRDefault="005961AA" w:rsidP="001D0B46">
            <w:pPr>
              <w:rPr>
                <w:rFonts w:ascii="Arial" w:hAnsi="Arial" w:cs="Arial"/>
                <w:color w:val="000000" w:themeColor="text1"/>
                <w:sz w:val="22"/>
                <w:szCs w:val="22"/>
              </w:rPr>
            </w:pPr>
            <w:r w:rsidRPr="009B78DA">
              <w:rPr>
                <w:rFonts w:ascii="Arial" w:hAnsi="Arial" w:cs="Arial"/>
                <w:color w:val="000000" w:themeColor="text1"/>
                <w:sz w:val="22"/>
                <w:szCs w:val="22"/>
              </w:rPr>
              <w:t>Projekty stanowiące kontynuację i jednocześnie przygotowane dokumentacyjnie do realizacji (posiadające decyzję ZRID),</w:t>
            </w:r>
          </w:p>
        </w:tc>
        <w:tc>
          <w:tcPr>
            <w:tcW w:w="2122" w:type="dxa"/>
            <w:vAlign w:val="center"/>
            <w:hideMark/>
          </w:tcPr>
          <w:p w14:paraId="146AEBFF"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20</w:t>
            </w:r>
          </w:p>
        </w:tc>
        <w:tc>
          <w:tcPr>
            <w:tcW w:w="1546" w:type="dxa"/>
            <w:vAlign w:val="center"/>
            <w:hideMark/>
          </w:tcPr>
          <w:p w14:paraId="46CE451A"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20</w:t>
            </w:r>
          </w:p>
        </w:tc>
      </w:tr>
      <w:tr w:rsidR="006F4FD2" w:rsidRPr="009B78DA" w14:paraId="2CAE0954" w14:textId="77777777" w:rsidTr="001D0B46">
        <w:trPr>
          <w:trHeight w:val="579"/>
        </w:trPr>
        <w:tc>
          <w:tcPr>
            <w:tcW w:w="5665" w:type="dxa"/>
            <w:vAlign w:val="center"/>
            <w:hideMark/>
          </w:tcPr>
          <w:p w14:paraId="4801F6FA" w14:textId="77777777" w:rsidR="005961AA" w:rsidRPr="009B78DA" w:rsidRDefault="005961AA" w:rsidP="001D0B46">
            <w:pPr>
              <w:rPr>
                <w:rFonts w:ascii="Arial" w:hAnsi="Arial" w:cs="Arial"/>
                <w:color w:val="000000" w:themeColor="text1"/>
                <w:sz w:val="22"/>
                <w:szCs w:val="22"/>
              </w:rPr>
            </w:pPr>
            <w:r w:rsidRPr="009B78DA">
              <w:rPr>
                <w:rFonts w:ascii="Arial" w:hAnsi="Arial" w:cs="Arial"/>
                <w:color w:val="000000" w:themeColor="text1"/>
                <w:sz w:val="22"/>
                <w:szCs w:val="22"/>
              </w:rPr>
              <w:t>Projekty, dla których opracowywana jest dokumentacja projektowa w ramach project pipeline</w:t>
            </w:r>
          </w:p>
        </w:tc>
        <w:tc>
          <w:tcPr>
            <w:tcW w:w="2122" w:type="dxa"/>
            <w:vAlign w:val="center"/>
            <w:hideMark/>
          </w:tcPr>
          <w:p w14:paraId="7A419D64"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15</w:t>
            </w:r>
          </w:p>
        </w:tc>
        <w:tc>
          <w:tcPr>
            <w:tcW w:w="1546" w:type="dxa"/>
            <w:vAlign w:val="center"/>
            <w:hideMark/>
          </w:tcPr>
          <w:p w14:paraId="42400289" w14:textId="06E4F6DD" w:rsidR="005961AA" w:rsidRPr="009B78DA" w:rsidRDefault="001D0B46"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20</w:t>
            </w:r>
          </w:p>
        </w:tc>
      </w:tr>
      <w:tr w:rsidR="006F4FD2" w:rsidRPr="009B78DA" w14:paraId="37C75706" w14:textId="77777777" w:rsidTr="001D0B46">
        <w:trPr>
          <w:trHeight w:val="562"/>
        </w:trPr>
        <w:tc>
          <w:tcPr>
            <w:tcW w:w="5665" w:type="dxa"/>
            <w:vAlign w:val="center"/>
            <w:hideMark/>
          </w:tcPr>
          <w:p w14:paraId="2BA8A0E7" w14:textId="6844ADCA" w:rsidR="005961AA" w:rsidRPr="009B78DA" w:rsidRDefault="005961AA" w:rsidP="001D0B46">
            <w:pPr>
              <w:rPr>
                <w:rFonts w:ascii="Arial" w:hAnsi="Arial" w:cs="Arial"/>
                <w:color w:val="000000" w:themeColor="text1"/>
                <w:sz w:val="22"/>
                <w:szCs w:val="22"/>
              </w:rPr>
            </w:pPr>
            <w:r w:rsidRPr="009B78DA">
              <w:rPr>
                <w:rFonts w:ascii="Arial" w:eastAsia="Calibri" w:hAnsi="Arial" w:cs="Arial"/>
                <w:color w:val="000000" w:themeColor="text1"/>
                <w:sz w:val="22"/>
                <w:szCs w:val="22"/>
              </w:rPr>
              <w:t>Projekty domykające przebudowane ciągi drogowe</w:t>
            </w:r>
          </w:p>
        </w:tc>
        <w:tc>
          <w:tcPr>
            <w:tcW w:w="2122" w:type="dxa"/>
            <w:vAlign w:val="center"/>
            <w:hideMark/>
          </w:tcPr>
          <w:p w14:paraId="7F317908"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1546" w:type="dxa"/>
            <w:vAlign w:val="center"/>
            <w:hideMark/>
          </w:tcPr>
          <w:p w14:paraId="27FD342C" w14:textId="18DF1F34" w:rsidR="005961AA" w:rsidRPr="009B78DA" w:rsidRDefault="001D0B46"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20</w:t>
            </w:r>
          </w:p>
        </w:tc>
      </w:tr>
      <w:tr w:rsidR="005961AA" w:rsidRPr="009B78DA" w14:paraId="4101F5BD" w14:textId="77777777" w:rsidTr="001D0B46">
        <w:trPr>
          <w:trHeight w:val="455"/>
        </w:trPr>
        <w:tc>
          <w:tcPr>
            <w:tcW w:w="5665" w:type="dxa"/>
            <w:vAlign w:val="center"/>
            <w:hideMark/>
          </w:tcPr>
          <w:p w14:paraId="75624F41" w14:textId="2DCC0735" w:rsidR="005961AA" w:rsidRPr="009B78DA" w:rsidRDefault="005961AA" w:rsidP="001D0B46">
            <w:pPr>
              <w:rPr>
                <w:rFonts w:ascii="Arial" w:hAnsi="Arial" w:cs="Arial"/>
                <w:color w:val="000000" w:themeColor="text1"/>
                <w:sz w:val="22"/>
                <w:szCs w:val="22"/>
              </w:rPr>
            </w:pPr>
            <w:r w:rsidRPr="009B78DA">
              <w:rPr>
                <w:rFonts w:ascii="Arial" w:hAnsi="Arial" w:cs="Arial"/>
                <w:color w:val="000000" w:themeColor="text1"/>
                <w:sz w:val="22"/>
                <w:szCs w:val="22"/>
              </w:rPr>
              <w:t>Projekty</w:t>
            </w:r>
            <w:r w:rsidR="00A11561"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dla których opracowywana jest dokumentacja projektowa  </w:t>
            </w:r>
          </w:p>
        </w:tc>
        <w:tc>
          <w:tcPr>
            <w:tcW w:w="2122" w:type="dxa"/>
            <w:vAlign w:val="center"/>
            <w:hideMark/>
          </w:tcPr>
          <w:p w14:paraId="7DCCC409" w14:textId="77777777" w:rsidR="005961AA" w:rsidRPr="009B78DA" w:rsidRDefault="005961AA" w:rsidP="001D0B46">
            <w:pPr>
              <w:jc w:val="center"/>
              <w:rPr>
                <w:rFonts w:ascii="Arial" w:hAnsi="Arial" w:cs="Arial"/>
                <w:color w:val="000000" w:themeColor="text1"/>
                <w:sz w:val="22"/>
                <w:szCs w:val="22"/>
              </w:rPr>
            </w:pPr>
            <w:r w:rsidRPr="009B78DA">
              <w:rPr>
                <w:rFonts w:ascii="Arial" w:eastAsia="Calibri" w:hAnsi="Arial" w:cs="Arial"/>
                <w:color w:val="000000" w:themeColor="text1"/>
                <w:sz w:val="22"/>
                <w:szCs w:val="22"/>
              </w:rPr>
              <w:t>5</w:t>
            </w:r>
          </w:p>
        </w:tc>
        <w:tc>
          <w:tcPr>
            <w:tcW w:w="1546" w:type="dxa"/>
            <w:vAlign w:val="center"/>
            <w:hideMark/>
          </w:tcPr>
          <w:p w14:paraId="33899ABC" w14:textId="42BCDA18" w:rsidR="005961AA" w:rsidRPr="009B78DA" w:rsidRDefault="001D0B46"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20</w:t>
            </w:r>
          </w:p>
        </w:tc>
      </w:tr>
    </w:tbl>
    <w:p w14:paraId="646165CC" w14:textId="5C05B647" w:rsidR="005961AA" w:rsidRPr="009B78DA" w:rsidRDefault="005961AA" w:rsidP="001D0B46">
      <w:pPr>
        <w:suppressAutoHyphens/>
        <w:spacing w:before="120" w:after="0"/>
        <w:ind w:firstLine="709"/>
        <w:rPr>
          <w:rFonts w:ascii="Arial" w:hAnsi="Arial" w:cs="Arial"/>
          <w:color w:val="000000" w:themeColor="text1"/>
          <w:sz w:val="22"/>
          <w:szCs w:val="22"/>
        </w:rPr>
      </w:pPr>
      <w:r w:rsidRPr="009B78DA">
        <w:rPr>
          <w:rFonts w:ascii="Arial" w:hAnsi="Arial" w:cs="Arial"/>
          <w:color w:val="000000" w:themeColor="text1"/>
          <w:sz w:val="22"/>
          <w:szCs w:val="22"/>
        </w:rPr>
        <w:t>Zgodnie z wykonaną diagnozą w PRST WP i założonym celem podstawowym mającym na celu zwiększenie powiązań transportowych w regionie, istotna staje się kontynuacja rozbudowy istniejącego systemu transportowego. Dobrze funkcjonujący system transportowy wpływa na atrakcyjność inwestycyjną, zwiększenie mobilności, rozwój gospodarczy i znaczenie turystyki. Dodatkowo zdiagnozowano, że przedmiotowy system nie jest w pełni dostosowany do potrzeb ruchu a zrealizowane już bądź będące w realizacji inwestycje drogowe w niedostatecznym stopniu integrują sieć regionalną, co utrudnia ich wykorzystanie jako podstawy rozwojowej dla niektórych obszarów.</w:t>
      </w:r>
    </w:p>
    <w:p w14:paraId="078B2379" w14:textId="77777777" w:rsidR="005961AA" w:rsidRPr="009B78DA" w:rsidRDefault="005961AA" w:rsidP="001D0B46">
      <w:pPr>
        <w:suppressAutoHyphens/>
        <w:spacing w:after="0"/>
        <w:ind w:firstLine="709"/>
        <w:rPr>
          <w:rFonts w:ascii="Arial" w:hAnsi="Arial" w:cs="Arial"/>
          <w:color w:val="000000" w:themeColor="text1"/>
          <w:sz w:val="22"/>
          <w:szCs w:val="22"/>
        </w:rPr>
      </w:pPr>
      <w:r w:rsidRPr="009B78DA">
        <w:rPr>
          <w:rFonts w:ascii="Arial" w:hAnsi="Arial" w:cs="Arial"/>
          <w:color w:val="000000" w:themeColor="text1"/>
          <w:sz w:val="22"/>
          <w:szCs w:val="22"/>
        </w:rPr>
        <w:t>Uwzględniając powyższe, kontynuacja działań modernizacyjnych ciągów drogowych nabiera priorytetowego znaczenia w aspekcie osiągnięcia celu projektu macierzystego, jednocześnie zapewniając spójność sieci.</w:t>
      </w:r>
    </w:p>
    <w:p w14:paraId="3962667A" w14:textId="231C2CCA" w:rsidR="00344B48" w:rsidRPr="009B78DA" w:rsidRDefault="005961AA" w:rsidP="001D0B46">
      <w:pPr>
        <w:suppressAutoHyphens/>
        <w:spacing w:after="0"/>
        <w:ind w:firstLine="709"/>
        <w:rPr>
          <w:rFonts w:ascii="Arial" w:hAnsi="Arial" w:cs="Arial"/>
          <w:color w:val="000000" w:themeColor="text1"/>
          <w:sz w:val="22"/>
          <w:szCs w:val="22"/>
        </w:rPr>
      </w:pPr>
      <w:r w:rsidRPr="009B78DA">
        <w:rPr>
          <w:rFonts w:ascii="Arial" w:hAnsi="Arial" w:cs="Arial"/>
          <w:color w:val="000000" w:themeColor="text1"/>
          <w:sz w:val="22"/>
          <w:szCs w:val="22"/>
        </w:rPr>
        <w:t>W kryterium kontynuacji projektów premiowane będą projekty, które stanowią kontynuację projektów tj. takich dla których zrealizowano co najmniej jeden etap robót budowlanych a dla kolejnego etapu wydana została decyzja ZRID, lub projekty, których realizacja rozpoczęła się co najmniej pod względem dokumentacyjnym a także projekty „domykające” tj. takie, które uzupełniają lukę w sieci pomiędzy przebudowanymi/rozbudowanymi odcinkami drogi. Poprzez projekt domykający należy rozumieć realizację inwestycji w ramach danego ciągu komunikacyjnego o tym samym numerze. W przypadku</w:t>
      </w:r>
      <w:r w:rsidR="00E74781" w:rsidRPr="009B78DA">
        <w:rPr>
          <w:rFonts w:ascii="Arial" w:hAnsi="Arial" w:cs="Arial"/>
          <w:color w:val="000000" w:themeColor="text1"/>
          <w:sz w:val="22"/>
          <w:szCs w:val="22"/>
        </w:rPr>
        <w:t xml:space="preserve">, gdy </w:t>
      </w:r>
      <w:r w:rsidRPr="009B78DA">
        <w:rPr>
          <w:rFonts w:ascii="Arial" w:hAnsi="Arial" w:cs="Arial"/>
          <w:color w:val="000000" w:themeColor="text1"/>
          <w:sz w:val="22"/>
          <w:szCs w:val="22"/>
        </w:rPr>
        <w:t>projekt spełni 2 lub więcej kryteria, przyznawana będzie najwyższa pu</w:t>
      </w:r>
      <w:r w:rsidR="001D0B46">
        <w:rPr>
          <w:rFonts w:ascii="Arial" w:hAnsi="Arial" w:cs="Arial"/>
          <w:color w:val="000000" w:themeColor="text1"/>
          <w:sz w:val="22"/>
          <w:szCs w:val="22"/>
        </w:rPr>
        <w:t>nktacja, bez sumowania punktów.</w:t>
      </w:r>
    </w:p>
    <w:p w14:paraId="20E55166" w14:textId="08452CE2" w:rsidR="00BB098F" w:rsidRPr="009B78DA" w:rsidRDefault="005961AA" w:rsidP="001D0B46">
      <w:pPr>
        <w:pStyle w:val="Akapitzlist"/>
        <w:numPr>
          <w:ilvl w:val="0"/>
          <w:numId w:val="241"/>
        </w:numPr>
        <w:spacing w:before="120" w:after="120" w:line="276" w:lineRule="auto"/>
        <w:ind w:left="0" w:firstLine="0"/>
        <w:contextualSpacing w:val="0"/>
        <w:rPr>
          <w:rFonts w:ascii="Arial" w:hAnsi="Arial" w:cs="Arial"/>
          <w:b/>
          <w:color w:val="000000" w:themeColor="text1"/>
          <w:sz w:val="22"/>
          <w:szCs w:val="22"/>
        </w:rPr>
      </w:pPr>
      <w:r w:rsidRPr="009B78DA">
        <w:rPr>
          <w:rFonts w:ascii="Arial" w:hAnsi="Arial" w:cs="Arial"/>
          <w:b/>
          <w:color w:val="000000" w:themeColor="text1"/>
          <w:sz w:val="22"/>
          <w:szCs w:val="22"/>
        </w:rPr>
        <w:t xml:space="preserve">Spójność transportowa </w:t>
      </w:r>
    </w:p>
    <w:tbl>
      <w:tblPr>
        <w:tblStyle w:val="Tabela-Siatka1"/>
        <w:tblW w:w="5000" w:type="pct"/>
        <w:tblLook w:val="04A0" w:firstRow="1" w:lastRow="0" w:firstColumn="1" w:lastColumn="0" w:noHBand="0" w:noVBand="1"/>
        <w:tblCaption w:val="5. Spójność transportowa "/>
        <w:tblDescription w:val="Tabela zawiera Podkryteria, Punkty, Max liczba punktów"/>
      </w:tblPr>
      <w:tblGrid>
        <w:gridCol w:w="4544"/>
        <w:gridCol w:w="2126"/>
        <w:gridCol w:w="2392"/>
      </w:tblGrid>
      <w:tr w:rsidR="006F4FD2" w:rsidRPr="009B78DA" w14:paraId="35A21C8F" w14:textId="77777777" w:rsidTr="001D0B46">
        <w:trPr>
          <w:trHeight w:val="158"/>
          <w:tblHeader/>
        </w:trPr>
        <w:tc>
          <w:tcPr>
            <w:tcW w:w="2506" w:type="pct"/>
            <w:shd w:val="clear" w:color="auto" w:fill="DEEAF6" w:themeFill="accent1" w:themeFillTint="33"/>
            <w:vAlign w:val="center"/>
          </w:tcPr>
          <w:p w14:paraId="723A9969"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Podkryteria</w:t>
            </w:r>
          </w:p>
        </w:tc>
        <w:tc>
          <w:tcPr>
            <w:tcW w:w="1173" w:type="pct"/>
            <w:shd w:val="clear" w:color="auto" w:fill="DEEAF6" w:themeFill="accent1" w:themeFillTint="33"/>
            <w:vAlign w:val="center"/>
          </w:tcPr>
          <w:p w14:paraId="4D1C4EA6"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Punkty</w:t>
            </w:r>
          </w:p>
        </w:tc>
        <w:tc>
          <w:tcPr>
            <w:tcW w:w="1320" w:type="pct"/>
            <w:shd w:val="clear" w:color="auto" w:fill="DEEAF6" w:themeFill="accent1" w:themeFillTint="33"/>
            <w:vAlign w:val="center"/>
          </w:tcPr>
          <w:p w14:paraId="520219BC"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Max liczba punktów</w:t>
            </w:r>
          </w:p>
        </w:tc>
      </w:tr>
      <w:tr w:rsidR="006F4FD2" w:rsidRPr="009B78DA" w14:paraId="054609D2" w14:textId="77777777" w:rsidTr="001D0B46">
        <w:tc>
          <w:tcPr>
            <w:tcW w:w="2506" w:type="pct"/>
            <w:vAlign w:val="center"/>
          </w:tcPr>
          <w:p w14:paraId="272E7CEE" w14:textId="77777777" w:rsidR="005961AA" w:rsidRPr="009B78DA" w:rsidRDefault="005961AA" w:rsidP="001D0B46">
            <w:pPr>
              <w:rPr>
                <w:rFonts w:ascii="Arial" w:hAnsi="Arial" w:cs="Arial"/>
                <w:color w:val="000000" w:themeColor="text1"/>
                <w:sz w:val="22"/>
                <w:szCs w:val="22"/>
              </w:rPr>
            </w:pPr>
            <w:r w:rsidRPr="009B78DA">
              <w:rPr>
                <w:rFonts w:ascii="Arial" w:hAnsi="Arial" w:cs="Arial"/>
                <w:color w:val="000000" w:themeColor="text1"/>
                <w:sz w:val="22"/>
                <w:szCs w:val="22"/>
              </w:rPr>
              <w:t xml:space="preserve">Projekty wzmacniające rozwiązania multimodalne </w:t>
            </w:r>
          </w:p>
        </w:tc>
        <w:tc>
          <w:tcPr>
            <w:tcW w:w="1173" w:type="pct"/>
            <w:vAlign w:val="center"/>
          </w:tcPr>
          <w:p w14:paraId="3D7B8E47"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1320" w:type="pct"/>
            <w:vAlign w:val="center"/>
          </w:tcPr>
          <w:p w14:paraId="3E6D6199" w14:textId="62D69F56"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r w:rsidR="005961AA" w:rsidRPr="009B78DA" w14:paraId="5B04D14F" w14:textId="77777777" w:rsidTr="001D0B46">
        <w:tc>
          <w:tcPr>
            <w:tcW w:w="2506" w:type="pct"/>
            <w:vAlign w:val="center"/>
          </w:tcPr>
          <w:p w14:paraId="6AF36B98" w14:textId="77777777" w:rsidR="005961AA" w:rsidRPr="009B78DA" w:rsidRDefault="005961AA" w:rsidP="001D0B46">
            <w:pPr>
              <w:rPr>
                <w:rFonts w:ascii="Arial" w:hAnsi="Arial" w:cs="Arial"/>
                <w:color w:val="000000" w:themeColor="text1"/>
                <w:sz w:val="22"/>
                <w:szCs w:val="22"/>
              </w:rPr>
            </w:pPr>
            <w:r w:rsidRPr="009B78DA">
              <w:rPr>
                <w:rFonts w:ascii="Arial" w:hAnsi="Arial" w:cs="Arial"/>
                <w:color w:val="000000" w:themeColor="text1"/>
                <w:sz w:val="22"/>
                <w:szCs w:val="22"/>
              </w:rPr>
              <w:t>DW zapewniające rozwinięcie układów komunikacyjnych w kierunku obszarów funkcjonalnych, stref ekonomicznych lub centrów logistycznych</w:t>
            </w:r>
          </w:p>
        </w:tc>
        <w:tc>
          <w:tcPr>
            <w:tcW w:w="1173" w:type="pct"/>
            <w:vAlign w:val="center"/>
          </w:tcPr>
          <w:p w14:paraId="177389CD" w14:textId="77777777" w:rsidR="005961AA" w:rsidRPr="009B78DA" w:rsidRDefault="005961AA"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5</w:t>
            </w:r>
          </w:p>
        </w:tc>
        <w:tc>
          <w:tcPr>
            <w:tcW w:w="1320" w:type="pct"/>
            <w:vAlign w:val="center"/>
          </w:tcPr>
          <w:p w14:paraId="467A4062" w14:textId="4852632E" w:rsidR="005961AA" w:rsidRPr="009B78DA" w:rsidRDefault="001D0B46" w:rsidP="001D0B46">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bl>
    <w:p w14:paraId="5B984A43" w14:textId="77777777" w:rsidR="001D0B46" w:rsidRDefault="005961AA" w:rsidP="001D0B46">
      <w:pPr>
        <w:suppressAutoHyphens/>
        <w:spacing w:before="120" w:after="0"/>
        <w:ind w:firstLine="709"/>
        <w:rPr>
          <w:rFonts w:ascii="Arial" w:hAnsi="Arial" w:cs="Arial"/>
          <w:color w:val="000000" w:themeColor="text1"/>
          <w:sz w:val="22"/>
          <w:szCs w:val="22"/>
          <w:lang w:eastAsia="zh-CN"/>
        </w:rPr>
      </w:pPr>
      <w:r w:rsidRPr="009B78DA">
        <w:rPr>
          <w:rFonts w:ascii="Arial" w:hAnsi="Arial" w:cs="Arial"/>
          <w:color w:val="000000" w:themeColor="text1"/>
          <w:sz w:val="22"/>
          <w:szCs w:val="22"/>
          <w:lang w:eastAsia="zh-CN"/>
        </w:rPr>
        <w:t>Diagnoza przeprowadzona w ramach opracowania PSRT WP trafnie wskazuje, że liczba rozwiązań multimodalnych</w:t>
      </w:r>
      <w:r w:rsidR="00344B48" w:rsidRPr="009B78DA">
        <w:rPr>
          <w:rStyle w:val="Odwoanieprzypisudolnego"/>
          <w:rFonts w:ascii="Arial" w:hAnsi="Arial" w:cs="Arial"/>
          <w:color w:val="000000" w:themeColor="text1"/>
          <w:sz w:val="22"/>
          <w:szCs w:val="22"/>
          <w:lang w:eastAsia="zh-CN"/>
        </w:rPr>
        <w:footnoteReference w:id="38"/>
      </w:r>
      <w:r w:rsidRPr="009B78DA">
        <w:rPr>
          <w:rFonts w:ascii="Arial" w:hAnsi="Arial" w:cs="Arial"/>
          <w:color w:val="000000" w:themeColor="text1"/>
          <w:sz w:val="22"/>
          <w:szCs w:val="22"/>
          <w:lang w:eastAsia="zh-CN"/>
        </w:rPr>
        <w:t xml:space="preserve"> (możliwości korzystania z różnych form transportu) pozostaje ograniczona. Konsekwencją tego jest występowanie kongestii drogowych, </w:t>
      </w:r>
      <w:r w:rsidR="001D0B46">
        <w:rPr>
          <w:rFonts w:ascii="Arial" w:hAnsi="Arial" w:cs="Arial"/>
          <w:color w:val="000000" w:themeColor="text1"/>
          <w:sz w:val="22"/>
          <w:szCs w:val="22"/>
          <w:lang w:eastAsia="zh-CN"/>
        </w:rPr>
        <w:br/>
      </w:r>
      <w:r w:rsidRPr="009B78DA">
        <w:rPr>
          <w:rFonts w:ascii="Arial" w:hAnsi="Arial" w:cs="Arial"/>
          <w:color w:val="000000" w:themeColor="text1"/>
          <w:sz w:val="22"/>
          <w:szCs w:val="22"/>
          <w:lang w:eastAsia="zh-CN"/>
        </w:rPr>
        <w:t>w szczególności w dużych ośrodkach miejskich.</w:t>
      </w:r>
    </w:p>
    <w:p w14:paraId="12E190B3" w14:textId="7C65DF6D" w:rsidR="005961AA" w:rsidRPr="009B78DA" w:rsidRDefault="005961AA" w:rsidP="001D0B46">
      <w:pPr>
        <w:suppressAutoHyphens/>
        <w:spacing w:before="120" w:after="0"/>
        <w:ind w:firstLine="709"/>
        <w:rPr>
          <w:rFonts w:ascii="Arial" w:hAnsi="Arial" w:cs="Arial"/>
          <w:color w:val="000000" w:themeColor="text1"/>
          <w:sz w:val="22"/>
          <w:szCs w:val="22"/>
          <w:lang w:eastAsia="zh-CN"/>
        </w:rPr>
      </w:pPr>
      <w:r w:rsidRPr="009B78DA">
        <w:rPr>
          <w:rFonts w:ascii="Arial" w:hAnsi="Arial" w:cs="Arial"/>
          <w:color w:val="000000" w:themeColor="text1"/>
          <w:sz w:val="22"/>
          <w:szCs w:val="22"/>
          <w:lang w:eastAsia="zh-CN"/>
        </w:rPr>
        <w:t>Jedynie spójne, bezpośrednie i sprawne połączenia z główną siecią różnych gałęzi transportowych kraju mogą stworzyć konkurencyjną, nowoczesną i zieloną gospodarkę.</w:t>
      </w:r>
    </w:p>
    <w:p w14:paraId="7278DFCB" w14:textId="58BF29CB" w:rsidR="005961AA" w:rsidRPr="009B78DA" w:rsidRDefault="005961AA" w:rsidP="001D0B46">
      <w:pPr>
        <w:suppressAutoHyphens/>
        <w:spacing w:after="0"/>
        <w:ind w:firstLine="709"/>
        <w:rPr>
          <w:rFonts w:ascii="Arial" w:hAnsi="Arial" w:cs="Arial"/>
          <w:color w:val="000000" w:themeColor="text1"/>
          <w:sz w:val="22"/>
          <w:szCs w:val="22"/>
          <w:lang w:eastAsia="zh-CN"/>
        </w:rPr>
      </w:pPr>
      <w:r w:rsidRPr="009B78DA">
        <w:rPr>
          <w:rFonts w:ascii="Arial" w:hAnsi="Arial" w:cs="Arial"/>
          <w:color w:val="000000" w:themeColor="text1"/>
          <w:sz w:val="22"/>
          <w:szCs w:val="22"/>
          <w:lang w:eastAsia="zh-CN"/>
        </w:rPr>
        <w:t>Kryterium spójność transportowa podzielono na dwa podkryteria. Wyżej punktowane podkryterium premiuje projekty współpracujące i powiązane z</w:t>
      </w:r>
      <w:r w:rsidR="00266942" w:rsidRPr="009B78DA">
        <w:rPr>
          <w:rFonts w:ascii="Arial" w:hAnsi="Arial" w:cs="Arial"/>
          <w:color w:val="000000" w:themeColor="text1"/>
          <w:sz w:val="22"/>
          <w:szCs w:val="22"/>
          <w:lang w:eastAsia="zh-CN"/>
        </w:rPr>
        <w:t xml:space="preserve"> </w:t>
      </w:r>
      <w:r w:rsidRPr="009B78DA">
        <w:rPr>
          <w:rFonts w:ascii="Arial" w:hAnsi="Arial" w:cs="Arial"/>
          <w:color w:val="000000" w:themeColor="text1"/>
          <w:sz w:val="22"/>
          <w:szCs w:val="22"/>
          <w:lang w:eastAsia="zh-CN"/>
        </w:rPr>
        <w:t>funkcjonowaniem węzłów multimodalnych, w tym również tymi obsługującymi połączenia kolejowe. Prawidłowy system transportowy nie może opierać się wyłącznie na sieci dróg. Równie ważne jest połączenie transportu drogowego z innymi formami transportu, w szczególności z tymi, które są bardziej ekologiczne i zapewniają sprawniejsze przemieszczanie się np. elementy park and ride, PKA (umożliwiające sprawniejszy dojazd np. do pracy, szkoły czy miejsc użyteczności publicznej) lub węzły multimodalne umożliwiające organizację transportu kombinowanego tj.</w:t>
      </w:r>
      <w:r w:rsidR="000470AC" w:rsidRPr="009B78DA">
        <w:rPr>
          <w:rFonts w:ascii="Arial" w:hAnsi="Arial" w:cs="Arial"/>
          <w:color w:val="000000" w:themeColor="text1"/>
          <w:sz w:val="22"/>
          <w:szCs w:val="22"/>
          <w:lang w:eastAsia="zh-CN"/>
        </w:rPr>
        <w:t> </w:t>
      </w:r>
      <w:r w:rsidRPr="009B78DA">
        <w:rPr>
          <w:rFonts w:ascii="Arial" w:hAnsi="Arial" w:cs="Arial"/>
          <w:color w:val="000000" w:themeColor="text1"/>
          <w:sz w:val="22"/>
          <w:szCs w:val="22"/>
          <w:lang w:eastAsia="zh-CN"/>
        </w:rPr>
        <w:t>z wykorzys</w:t>
      </w:r>
      <w:r w:rsidR="001D0B46">
        <w:rPr>
          <w:rFonts w:ascii="Arial" w:hAnsi="Arial" w:cs="Arial"/>
          <w:color w:val="000000" w:themeColor="text1"/>
          <w:sz w:val="22"/>
          <w:szCs w:val="22"/>
          <w:lang w:eastAsia="zh-CN"/>
        </w:rPr>
        <w:t>taniem wielu gałęzi transportu.</w:t>
      </w:r>
    </w:p>
    <w:p w14:paraId="6B6DCD00" w14:textId="4BF433FC" w:rsidR="005961AA" w:rsidRPr="009B78DA" w:rsidRDefault="005961AA" w:rsidP="001D0B46">
      <w:pPr>
        <w:suppressAutoHyphens/>
        <w:spacing w:after="0"/>
        <w:ind w:firstLine="709"/>
        <w:rPr>
          <w:rFonts w:ascii="Arial" w:hAnsi="Arial" w:cs="Arial"/>
          <w:color w:val="000000" w:themeColor="text1"/>
          <w:sz w:val="22"/>
          <w:szCs w:val="22"/>
          <w:lang w:eastAsia="zh-CN"/>
        </w:rPr>
      </w:pPr>
      <w:r w:rsidRPr="009B78DA">
        <w:rPr>
          <w:rFonts w:ascii="Arial" w:hAnsi="Arial" w:cs="Arial"/>
          <w:color w:val="000000" w:themeColor="text1"/>
          <w:sz w:val="22"/>
          <w:szCs w:val="22"/>
        </w:rPr>
        <w:t xml:space="preserve">Natomiast drugie podkryterium zostało wyznaczone ze względu na wskazanie </w:t>
      </w:r>
      <w:r w:rsidR="001D0B46">
        <w:rPr>
          <w:rFonts w:ascii="Arial" w:hAnsi="Arial" w:cs="Arial"/>
          <w:color w:val="000000" w:themeColor="text1"/>
          <w:sz w:val="22"/>
          <w:szCs w:val="22"/>
        </w:rPr>
        <w:br/>
      </w:r>
      <w:r w:rsidRPr="009B78DA">
        <w:rPr>
          <w:rFonts w:ascii="Arial" w:hAnsi="Arial" w:cs="Arial"/>
          <w:color w:val="000000" w:themeColor="text1"/>
          <w:sz w:val="22"/>
          <w:szCs w:val="22"/>
        </w:rPr>
        <w:t xml:space="preserve">w PSRT WP potrzeby rozwoju połączeń wewnątrz </w:t>
      </w:r>
      <w:r w:rsidR="002420EA" w:rsidRPr="009B78DA">
        <w:rPr>
          <w:rFonts w:ascii="Arial" w:hAnsi="Arial" w:cs="Arial"/>
          <w:color w:val="000000" w:themeColor="text1"/>
          <w:sz w:val="22"/>
          <w:szCs w:val="22"/>
        </w:rPr>
        <w:t>w</w:t>
      </w:r>
      <w:r w:rsidRPr="009B78DA">
        <w:rPr>
          <w:rFonts w:ascii="Arial" w:hAnsi="Arial" w:cs="Arial"/>
          <w:color w:val="000000" w:themeColor="text1"/>
          <w:sz w:val="22"/>
          <w:szCs w:val="22"/>
        </w:rPr>
        <w:t>ojewództwa, w</w:t>
      </w:r>
      <w:r w:rsidR="00A1156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szczególności do</w:t>
      </w:r>
      <w:r w:rsidR="000470AC" w:rsidRPr="009B78DA">
        <w:rPr>
          <w:rFonts w:ascii="Arial" w:hAnsi="Arial" w:cs="Arial"/>
          <w:color w:val="000000" w:themeColor="text1"/>
          <w:sz w:val="22"/>
          <w:szCs w:val="22"/>
        </w:rPr>
        <w:t> </w:t>
      </w:r>
      <w:r w:rsidRPr="009B78DA">
        <w:rPr>
          <w:rFonts w:ascii="Arial" w:hAnsi="Arial" w:cs="Arial"/>
          <w:color w:val="000000" w:themeColor="text1"/>
          <w:sz w:val="22"/>
          <w:szCs w:val="22"/>
        </w:rPr>
        <w:t>i</w:t>
      </w:r>
      <w:r w:rsidR="000470AC" w:rsidRPr="009B78DA">
        <w:rPr>
          <w:rFonts w:ascii="Arial" w:hAnsi="Arial" w:cs="Arial"/>
          <w:color w:val="000000" w:themeColor="text1"/>
          <w:sz w:val="22"/>
          <w:szCs w:val="22"/>
        </w:rPr>
        <w:t> </w:t>
      </w:r>
      <w:r w:rsidRPr="009B78DA">
        <w:rPr>
          <w:rFonts w:ascii="Arial" w:hAnsi="Arial" w:cs="Arial"/>
          <w:color w:val="000000" w:themeColor="text1"/>
          <w:sz w:val="22"/>
          <w:szCs w:val="22"/>
        </w:rPr>
        <w:t xml:space="preserve">między zdefiniowanymi w PSRT WP obszarami funkcjonalnymi. Obszary te, jako bieguny wzrostu pełnią ważną rolę ośrodków koncentrujących funkcje gospodarcze i społeczne oraz będących miejscem świadczenia usług publicznych. Również </w:t>
      </w:r>
      <w:r w:rsidR="00E74781" w:rsidRPr="009B78DA">
        <w:rPr>
          <w:rFonts w:ascii="Arial" w:hAnsi="Arial" w:cs="Arial"/>
          <w:color w:val="000000" w:themeColor="text1"/>
          <w:sz w:val="22"/>
          <w:szCs w:val="22"/>
        </w:rPr>
        <w:t>istotne</w:t>
      </w:r>
      <w:r w:rsidRPr="009B78DA">
        <w:rPr>
          <w:rFonts w:ascii="Arial" w:hAnsi="Arial" w:cs="Arial"/>
          <w:color w:val="000000" w:themeColor="text1"/>
          <w:sz w:val="22"/>
          <w:szCs w:val="22"/>
        </w:rPr>
        <w:t xml:space="preserve"> w</w:t>
      </w:r>
      <w:r w:rsidR="000470AC" w:rsidRPr="009B78DA">
        <w:rPr>
          <w:rFonts w:ascii="Arial" w:hAnsi="Arial" w:cs="Arial"/>
          <w:color w:val="000000" w:themeColor="text1"/>
          <w:sz w:val="22"/>
          <w:szCs w:val="22"/>
        </w:rPr>
        <w:t> </w:t>
      </w:r>
      <w:r w:rsidRPr="009B78DA">
        <w:rPr>
          <w:rFonts w:ascii="Arial" w:hAnsi="Arial" w:cs="Arial"/>
          <w:color w:val="000000" w:themeColor="text1"/>
          <w:sz w:val="22"/>
          <w:szCs w:val="22"/>
        </w:rPr>
        <w:t xml:space="preserve">ramach wewnętrznej spójności transportowej staje się rozwinięcie układów komunikacyjnych w kierunku stref ekonomicznych oraz usprawnienie dojazdów do centrów logistycznych. </w:t>
      </w:r>
    </w:p>
    <w:p w14:paraId="50D71FF3" w14:textId="2036999C" w:rsidR="002420EA" w:rsidRPr="009B78DA" w:rsidRDefault="005961AA" w:rsidP="001D0B46">
      <w:pPr>
        <w:pStyle w:val="Akapitzlist"/>
        <w:numPr>
          <w:ilvl w:val="0"/>
          <w:numId w:val="241"/>
        </w:numPr>
        <w:spacing w:before="120" w:after="120" w:line="276" w:lineRule="auto"/>
        <w:ind w:left="0" w:firstLine="0"/>
        <w:contextualSpacing w:val="0"/>
        <w:rPr>
          <w:rFonts w:ascii="Arial" w:hAnsi="Arial" w:cs="Arial"/>
          <w:b/>
          <w:color w:val="000000" w:themeColor="text1"/>
          <w:sz w:val="22"/>
          <w:szCs w:val="22"/>
        </w:rPr>
      </w:pPr>
      <w:bookmarkStart w:id="389" w:name="_Hlk145400270"/>
      <w:r w:rsidRPr="009B78DA">
        <w:rPr>
          <w:rFonts w:ascii="Arial" w:hAnsi="Arial" w:cs="Arial"/>
          <w:b/>
          <w:color w:val="000000" w:themeColor="text1"/>
          <w:sz w:val="22"/>
          <w:szCs w:val="22"/>
        </w:rPr>
        <w:t>Publiczny transport drogowy</w:t>
      </w:r>
    </w:p>
    <w:tbl>
      <w:tblPr>
        <w:tblStyle w:val="Tabela-Siatka1"/>
        <w:tblW w:w="0" w:type="auto"/>
        <w:tblLook w:val="04A0" w:firstRow="1" w:lastRow="0" w:firstColumn="1" w:lastColumn="0" w:noHBand="0" w:noVBand="1"/>
        <w:tblCaption w:val="6. Publiczny transport drogowy"/>
        <w:tblDescription w:val="Tabela zawiera Podkryteria, Punkty, Max liczba punktów"/>
      </w:tblPr>
      <w:tblGrid>
        <w:gridCol w:w="4531"/>
        <w:gridCol w:w="2121"/>
        <w:gridCol w:w="2387"/>
      </w:tblGrid>
      <w:tr w:rsidR="006F4FD2" w:rsidRPr="009B78DA" w14:paraId="479B0CE3" w14:textId="77777777" w:rsidTr="00B11812">
        <w:trPr>
          <w:trHeight w:val="470"/>
          <w:tblHeader/>
        </w:trPr>
        <w:tc>
          <w:tcPr>
            <w:tcW w:w="4531" w:type="dxa"/>
            <w:shd w:val="clear" w:color="auto" w:fill="DEEAF6" w:themeFill="accent1" w:themeFillTint="33"/>
            <w:vAlign w:val="center"/>
          </w:tcPr>
          <w:bookmarkEnd w:id="389"/>
          <w:p w14:paraId="39904F4F" w14:textId="77777777" w:rsidR="005961AA" w:rsidRPr="009B78DA" w:rsidRDefault="005961AA" w:rsidP="00B11812">
            <w:pPr>
              <w:jc w:val="center"/>
              <w:rPr>
                <w:rFonts w:ascii="Arial" w:hAnsi="Arial" w:cs="Arial"/>
                <w:color w:val="000000" w:themeColor="text1"/>
                <w:sz w:val="22"/>
                <w:szCs w:val="22"/>
              </w:rPr>
            </w:pPr>
            <w:r w:rsidRPr="009B78DA">
              <w:rPr>
                <w:rFonts w:ascii="Arial" w:hAnsi="Arial" w:cs="Arial"/>
                <w:color w:val="000000" w:themeColor="text1"/>
                <w:sz w:val="22"/>
                <w:szCs w:val="22"/>
              </w:rPr>
              <w:t>Podkryteria</w:t>
            </w:r>
          </w:p>
        </w:tc>
        <w:tc>
          <w:tcPr>
            <w:tcW w:w="2121" w:type="dxa"/>
            <w:shd w:val="clear" w:color="auto" w:fill="DEEAF6" w:themeFill="accent1" w:themeFillTint="33"/>
            <w:vAlign w:val="center"/>
          </w:tcPr>
          <w:p w14:paraId="703F6CAD" w14:textId="77777777" w:rsidR="005961AA" w:rsidRPr="009B78DA" w:rsidRDefault="005961AA" w:rsidP="00B11812">
            <w:pPr>
              <w:jc w:val="center"/>
              <w:rPr>
                <w:rFonts w:ascii="Arial" w:hAnsi="Arial" w:cs="Arial"/>
                <w:color w:val="000000" w:themeColor="text1"/>
                <w:sz w:val="22"/>
                <w:szCs w:val="22"/>
              </w:rPr>
            </w:pPr>
            <w:r w:rsidRPr="009B78DA">
              <w:rPr>
                <w:rFonts w:ascii="Arial" w:hAnsi="Arial" w:cs="Arial"/>
                <w:color w:val="000000" w:themeColor="text1"/>
                <w:sz w:val="22"/>
                <w:szCs w:val="22"/>
              </w:rPr>
              <w:t>Punkty</w:t>
            </w:r>
          </w:p>
        </w:tc>
        <w:tc>
          <w:tcPr>
            <w:tcW w:w="2387" w:type="dxa"/>
            <w:shd w:val="clear" w:color="auto" w:fill="DEEAF6" w:themeFill="accent1" w:themeFillTint="33"/>
            <w:vAlign w:val="center"/>
          </w:tcPr>
          <w:p w14:paraId="4C392707" w14:textId="77777777" w:rsidR="005961AA" w:rsidRPr="009B78DA" w:rsidRDefault="005961AA" w:rsidP="00B11812">
            <w:pPr>
              <w:jc w:val="center"/>
              <w:rPr>
                <w:rFonts w:ascii="Arial" w:hAnsi="Arial" w:cs="Arial"/>
                <w:color w:val="000000" w:themeColor="text1"/>
                <w:sz w:val="22"/>
                <w:szCs w:val="22"/>
              </w:rPr>
            </w:pPr>
            <w:r w:rsidRPr="009B78DA">
              <w:rPr>
                <w:rFonts w:ascii="Arial" w:hAnsi="Arial" w:cs="Arial"/>
                <w:color w:val="000000" w:themeColor="text1"/>
                <w:sz w:val="22"/>
                <w:szCs w:val="22"/>
              </w:rPr>
              <w:t>Max liczba punktów</w:t>
            </w:r>
          </w:p>
        </w:tc>
      </w:tr>
      <w:tr w:rsidR="00BA3040" w:rsidRPr="009B78DA" w14:paraId="5F5F10CC" w14:textId="77777777" w:rsidTr="00B11812">
        <w:trPr>
          <w:trHeight w:val="404"/>
        </w:trPr>
        <w:tc>
          <w:tcPr>
            <w:tcW w:w="4531" w:type="dxa"/>
            <w:vAlign w:val="center"/>
          </w:tcPr>
          <w:p w14:paraId="224A3609" w14:textId="025926E0" w:rsidR="00BA3040" w:rsidRPr="009B78DA" w:rsidRDefault="00BA3040" w:rsidP="00B11812">
            <w:pPr>
              <w:rPr>
                <w:rFonts w:ascii="Arial" w:hAnsi="Arial" w:cs="Arial"/>
                <w:color w:val="000000" w:themeColor="text1"/>
                <w:sz w:val="22"/>
                <w:szCs w:val="22"/>
              </w:rPr>
            </w:pPr>
            <w:r w:rsidRPr="009B78DA">
              <w:rPr>
                <w:rFonts w:ascii="Arial" w:hAnsi="Arial" w:cs="Arial"/>
                <w:color w:val="000000" w:themeColor="text1"/>
                <w:sz w:val="22"/>
                <w:szCs w:val="22"/>
              </w:rPr>
              <w:t>Kursuje 7 dni w tygodniu</w:t>
            </w:r>
          </w:p>
        </w:tc>
        <w:tc>
          <w:tcPr>
            <w:tcW w:w="2121" w:type="dxa"/>
            <w:vAlign w:val="center"/>
          </w:tcPr>
          <w:p w14:paraId="1407BB62" w14:textId="77777777" w:rsidR="00BA3040" w:rsidRPr="009B78DA" w:rsidRDefault="00BA3040" w:rsidP="00B11812">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2387" w:type="dxa"/>
            <w:vAlign w:val="center"/>
          </w:tcPr>
          <w:p w14:paraId="6F2451B2" w14:textId="77D80E54" w:rsidR="00BA3040" w:rsidRPr="009B78DA" w:rsidRDefault="00BA3040" w:rsidP="00B11812">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r w:rsidR="00BA3040" w:rsidRPr="009B78DA" w14:paraId="1FB393C6" w14:textId="77777777" w:rsidTr="00B11812">
        <w:trPr>
          <w:trHeight w:val="422"/>
        </w:trPr>
        <w:tc>
          <w:tcPr>
            <w:tcW w:w="4531" w:type="dxa"/>
            <w:vAlign w:val="center"/>
          </w:tcPr>
          <w:p w14:paraId="5D145B1E" w14:textId="5BBC6B65" w:rsidR="00BA3040" w:rsidRPr="009B78DA" w:rsidRDefault="00BA3040" w:rsidP="00B11812">
            <w:pPr>
              <w:rPr>
                <w:rFonts w:ascii="Arial" w:hAnsi="Arial" w:cs="Arial"/>
                <w:color w:val="000000" w:themeColor="text1"/>
                <w:sz w:val="22"/>
                <w:szCs w:val="22"/>
              </w:rPr>
            </w:pPr>
            <w:r w:rsidRPr="009B78DA">
              <w:rPr>
                <w:rFonts w:ascii="Arial" w:hAnsi="Arial" w:cs="Arial"/>
                <w:color w:val="000000" w:themeColor="text1"/>
                <w:sz w:val="22"/>
                <w:szCs w:val="22"/>
              </w:rPr>
              <w:t>Kursuje 5 - 6 dni w tygodniu</w:t>
            </w:r>
          </w:p>
        </w:tc>
        <w:tc>
          <w:tcPr>
            <w:tcW w:w="2121" w:type="dxa"/>
            <w:vAlign w:val="center"/>
          </w:tcPr>
          <w:p w14:paraId="70F87526" w14:textId="77777777" w:rsidR="00BA3040" w:rsidRPr="009B78DA" w:rsidRDefault="00BA3040" w:rsidP="00B11812">
            <w:pPr>
              <w:jc w:val="center"/>
              <w:rPr>
                <w:rFonts w:ascii="Arial" w:hAnsi="Arial" w:cs="Arial"/>
                <w:color w:val="000000" w:themeColor="text1"/>
                <w:sz w:val="22"/>
                <w:szCs w:val="22"/>
              </w:rPr>
            </w:pPr>
            <w:r w:rsidRPr="009B78DA">
              <w:rPr>
                <w:rFonts w:ascii="Arial" w:hAnsi="Arial" w:cs="Arial"/>
                <w:color w:val="000000" w:themeColor="text1"/>
                <w:sz w:val="22"/>
                <w:szCs w:val="22"/>
              </w:rPr>
              <w:t>6</w:t>
            </w:r>
          </w:p>
        </w:tc>
        <w:tc>
          <w:tcPr>
            <w:tcW w:w="2387" w:type="dxa"/>
            <w:vAlign w:val="center"/>
          </w:tcPr>
          <w:p w14:paraId="06B31830" w14:textId="527BA8CD" w:rsidR="00BA3040" w:rsidRPr="009B78DA" w:rsidRDefault="00B11812" w:rsidP="00B11812">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r w:rsidR="00BA3040" w:rsidRPr="009B78DA" w14:paraId="1FB2ECDF" w14:textId="77777777" w:rsidTr="00B11812">
        <w:trPr>
          <w:trHeight w:val="425"/>
        </w:trPr>
        <w:tc>
          <w:tcPr>
            <w:tcW w:w="4531" w:type="dxa"/>
            <w:vAlign w:val="center"/>
          </w:tcPr>
          <w:p w14:paraId="4738DE75" w14:textId="14A26B10" w:rsidR="00BA3040" w:rsidRPr="009B78DA" w:rsidRDefault="00BA3040" w:rsidP="00B11812">
            <w:pPr>
              <w:rPr>
                <w:rFonts w:ascii="Arial" w:hAnsi="Arial" w:cs="Arial"/>
                <w:color w:val="000000" w:themeColor="text1"/>
                <w:sz w:val="22"/>
                <w:szCs w:val="22"/>
              </w:rPr>
            </w:pPr>
            <w:r w:rsidRPr="009B78DA">
              <w:rPr>
                <w:rFonts w:ascii="Arial" w:hAnsi="Arial" w:cs="Arial"/>
                <w:color w:val="000000" w:themeColor="text1"/>
                <w:sz w:val="22"/>
                <w:szCs w:val="22"/>
              </w:rPr>
              <w:t>Kursuje mniej niż 5 dni w tygodniu</w:t>
            </w:r>
          </w:p>
        </w:tc>
        <w:tc>
          <w:tcPr>
            <w:tcW w:w="2121" w:type="dxa"/>
            <w:vAlign w:val="center"/>
          </w:tcPr>
          <w:p w14:paraId="6BBB0BF0" w14:textId="77777777" w:rsidR="00BA3040" w:rsidRPr="009B78DA" w:rsidRDefault="00BA3040" w:rsidP="00B11812">
            <w:pPr>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2387" w:type="dxa"/>
            <w:vAlign w:val="center"/>
          </w:tcPr>
          <w:p w14:paraId="01C5E370" w14:textId="6D07A267" w:rsidR="00BA3040" w:rsidRPr="009B78DA" w:rsidRDefault="00B11812" w:rsidP="00B11812">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r w:rsidR="00BA3040" w:rsidRPr="009B78DA" w14:paraId="7D2D0B6C" w14:textId="77777777" w:rsidTr="00B11812">
        <w:trPr>
          <w:trHeight w:val="418"/>
        </w:trPr>
        <w:tc>
          <w:tcPr>
            <w:tcW w:w="4531" w:type="dxa"/>
            <w:vAlign w:val="center"/>
          </w:tcPr>
          <w:p w14:paraId="2E35EECC" w14:textId="1E0B895A" w:rsidR="00BA3040" w:rsidRPr="009B78DA" w:rsidRDefault="00BA3040" w:rsidP="00B11812">
            <w:pPr>
              <w:rPr>
                <w:rFonts w:ascii="Arial" w:hAnsi="Arial" w:cs="Arial"/>
                <w:color w:val="000000" w:themeColor="text1"/>
                <w:sz w:val="22"/>
                <w:szCs w:val="22"/>
              </w:rPr>
            </w:pPr>
            <w:r w:rsidRPr="009B78DA">
              <w:rPr>
                <w:rFonts w:ascii="Arial" w:hAnsi="Arial" w:cs="Arial"/>
                <w:color w:val="000000" w:themeColor="text1"/>
                <w:sz w:val="22"/>
                <w:szCs w:val="22"/>
              </w:rPr>
              <w:t>Brak kursu</w:t>
            </w:r>
          </w:p>
        </w:tc>
        <w:tc>
          <w:tcPr>
            <w:tcW w:w="2121" w:type="dxa"/>
            <w:vAlign w:val="center"/>
          </w:tcPr>
          <w:p w14:paraId="6616D309" w14:textId="77777777" w:rsidR="00BA3040" w:rsidRPr="009B78DA" w:rsidRDefault="00BA3040" w:rsidP="00B11812">
            <w:pPr>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2387" w:type="dxa"/>
            <w:vAlign w:val="center"/>
          </w:tcPr>
          <w:p w14:paraId="14AAF2B0" w14:textId="58EE32C4" w:rsidR="00BA3040" w:rsidRPr="009B78DA" w:rsidRDefault="00B11812" w:rsidP="00B11812">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bl>
    <w:p w14:paraId="3809519D" w14:textId="320527F7" w:rsidR="0009551C" w:rsidRPr="009B78DA" w:rsidRDefault="005961AA" w:rsidP="00093EEC">
      <w:pPr>
        <w:spacing w:before="120" w:after="0"/>
        <w:ind w:firstLine="709"/>
        <w:rPr>
          <w:rFonts w:ascii="Arial" w:hAnsi="Arial" w:cs="Arial"/>
          <w:color w:val="000000" w:themeColor="text1"/>
          <w:sz w:val="22"/>
          <w:szCs w:val="22"/>
        </w:rPr>
      </w:pPr>
      <w:r w:rsidRPr="009B78DA">
        <w:rPr>
          <w:rFonts w:ascii="Arial" w:hAnsi="Arial" w:cs="Arial"/>
          <w:color w:val="000000" w:themeColor="text1"/>
          <w:sz w:val="22"/>
          <w:szCs w:val="22"/>
        </w:rPr>
        <w:t>P</w:t>
      </w:r>
      <w:r w:rsidR="00BA3040" w:rsidRPr="009B78DA">
        <w:rPr>
          <w:rFonts w:ascii="Arial" w:hAnsi="Arial" w:cs="Arial"/>
          <w:color w:val="000000" w:themeColor="text1"/>
          <w:sz w:val="22"/>
          <w:szCs w:val="22"/>
        </w:rPr>
        <w:t>SR</w:t>
      </w:r>
      <w:r w:rsidRPr="009B78DA">
        <w:rPr>
          <w:rFonts w:ascii="Arial" w:hAnsi="Arial" w:cs="Arial"/>
          <w:color w:val="000000" w:themeColor="text1"/>
          <w:sz w:val="22"/>
          <w:szCs w:val="22"/>
        </w:rPr>
        <w:t>T WP wśród celów horyzontalnych wskazuje wzrost znaczenia transportu publicznego jako jeden z ważniejszych aspektów rozwoju systemu transportowego Podkarpacia</w:t>
      </w:r>
      <w:r w:rsidR="00344B48" w:rsidRPr="009B78DA">
        <w:rPr>
          <w:rStyle w:val="Odwoanieprzypisudolnego"/>
          <w:rFonts w:ascii="Arial" w:hAnsi="Arial" w:cs="Arial"/>
          <w:color w:val="000000" w:themeColor="text1"/>
          <w:sz w:val="22"/>
          <w:szCs w:val="22"/>
        </w:rPr>
        <w:footnoteReference w:id="39"/>
      </w:r>
      <w:r w:rsidRPr="009B78DA">
        <w:rPr>
          <w:rFonts w:ascii="Arial" w:hAnsi="Arial" w:cs="Arial"/>
          <w:color w:val="000000" w:themeColor="text1"/>
          <w:sz w:val="22"/>
          <w:szCs w:val="22"/>
        </w:rPr>
        <w:t>.</w:t>
      </w:r>
      <w:r w:rsidR="0009551C" w:rsidRPr="009B78DA">
        <w:rPr>
          <w:rFonts w:ascii="Arial" w:hAnsi="Arial" w:cs="Arial"/>
          <w:color w:val="000000" w:themeColor="text1"/>
          <w:sz w:val="22"/>
          <w:szCs w:val="22"/>
        </w:rPr>
        <w:t xml:space="preserve"> Wzrost motoryzacji indywidualnej powodującej zatłoczenie dróg determinuje podejmowanie działań na rzecz zwiększenia znaczenia transportu zbiorowego. Ponadto z</w:t>
      </w:r>
      <w:r w:rsidR="000470AC" w:rsidRPr="009B78DA">
        <w:rPr>
          <w:rFonts w:ascii="Arial" w:hAnsi="Arial" w:cs="Arial"/>
          <w:color w:val="000000" w:themeColor="text1"/>
          <w:sz w:val="22"/>
          <w:szCs w:val="22"/>
        </w:rPr>
        <w:t> </w:t>
      </w:r>
      <w:r w:rsidR="0009551C" w:rsidRPr="009B78DA">
        <w:rPr>
          <w:rFonts w:ascii="Arial" w:hAnsi="Arial" w:cs="Arial"/>
          <w:color w:val="000000" w:themeColor="text1"/>
          <w:sz w:val="22"/>
          <w:szCs w:val="22"/>
        </w:rPr>
        <w:t>uwagi na bardzo silny aspekt środowiskowy rozwoju publicznego transportu zbiorowego oraz specyficzny dla województwa podkarpackiego model rynku prac</w:t>
      </w:r>
      <w:r w:rsidR="00093EEC">
        <w:rPr>
          <w:rFonts w:ascii="Arial" w:hAnsi="Arial" w:cs="Arial"/>
          <w:color w:val="000000" w:themeColor="text1"/>
          <w:sz w:val="22"/>
          <w:szCs w:val="22"/>
        </w:rPr>
        <w:t xml:space="preserve">y, który charakteryzuje </w:t>
      </w:r>
      <w:r w:rsidR="0009551C" w:rsidRPr="009B78DA">
        <w:rPr>
          <w:rFonts w:ascii="Arial" w:hAnsi="Arial" w:cs="Arial"/>
          <w:color w:val="000000" w:themeColor="text1"/>
          <w:sz w:val="22"/>
          <w:szCs w:val="22"/>
        </w:rPr>
        <w:t>się na codziennych dojazdach, wprowadzono kryterium uwzględniające organizację kursów drogowych prowadzonych na zasadach użyteczności publicznej na danych odcinkach dróg wojewódzkich.</w:t>
      </w:r>
    </w:p>
    <w:p w14:paraId="588CB84B" w14:textId="27F26003" w:rsidR="0009551C" w:rsidRPr="009B78DA" w:rsidRDefault="0009551C" w:rsidP="00093EEC">
      <w:pPr>
        <w:spacing w:after="0"/>
        <w:ind w:firstLine="709"/>
        <w:rPr>
          <w:rFonts w:ascii="Arial" w:hAnsi="Arial" w:cs="Arial"/>
          <w:color w:val="000000" w:themeColor="text1"/>
          <w:sz w:val="22"/>
          <w:szCs w:val="22"/>
        </w:rPr>
      </w:pPr>
      <w:r w:rsidRPr="009B78DA">
        <w:rPr>
          <w:rFonts w:ascii="Arial" w:hAnsi="Arial" w:cs="Arial"/>
          <w:color w:val="000000" w:themeColor="text1"/>
          <w:sz w:val="22"/>
          <w:szCs w:val="22"/>
        </w:rPr>
        <w:t>Przewóz o charakterze użyteczności publicznej stanowi powszechnie dostępną usługę w zakresie publicznego transportu zbiorowego wykonywaną przez operatora publicznego transportu zbiorowego w celu bieżącego i nieprzerwanego zaspokajania potrzeb przewozowych społeczności na danym obszarze. Organizatorem takich przewozów są gminy, powiaty, związki międzygminne, związki powiatów, związki powiatowo – gminne.</w:t>
      </w:r>
    </w:p>
    <w:p w14:paraId="2987014B" w14:textId="4133DA0C" w:rsidR="0009551C" w:rsidRPr="009B78DA" w:rsidRDefault="0009551C" w:rsidP="00093EEC">
      <w:pPr>
        <w:spacing w:after="0"/>
        <w:ind w:firstLine="709"/>
        <w:rPr>
          <w:rFonts w:ascii="Arial" w:hAnsi="Arial" w:cs="Arial"/>
          <w:color w:val="000000" w:themeColor="text1"/>
          <w:sz w:val="22"/>
          <w:szCs w:val="22"/>
        </w:rPr>
      </w:pPr>
      <w:r w:rsidRPr="009B78DA">
        <w:rPr>
          <w:rFonts w:ascii="Arial" w:hAnsi="Arial" w:cs="Arial"/>
          <w:color w:val="000000" w:themeColor="text1"/>
          <w:sz w:val="22"/>
          <w:szCs w:val="22"/>
        </w:rPr>
        <w:t>Kryterium publiczny transport drogowy premiuje odcinki dróg wojewódzkich, na których odbywa się regularny publiczny transport zbiorowy na zasadach użyteczności publicznej. Niewątpliwie modernizacja dróg przyczynia się do wzrostu atrakcyjności wykonywania usług transportu zbiorowego osób, poprzez skrócenie czasu przejazdu czy zwiększenie komfortu podróżowania. Dobrej jakości stan nawierzchni drogowej zachęca do organizacji zbiorowych przewozów, a pasażerów do korzystania z usług pub</w:t>
      </w:r>
      <w:r w:rsidR="00093EEC">
        <w:rPr>
          <w:rFonts w:ascii="Arial" w:hAnsi="Arial" w:cs="Arial"/>
          <w:color w:val="000000" w:themeColor="text1"/>
          <w:sz w:val="22"/>
          <w:szCs w:val="22"/>
        </w:rPr>
        <w:t>licznego transportu zbiorowego.</w:t>
      </w:r>
    </w:p>
    <w:p w14:paraId="3B49713D" w14:textId="0D6F1709" w:rsidR="0009551C" w:rsidRPr="009B78DA" w:rsidRDefault="0009551C" w:rsidP="00093EEC">
      <w:pPr>
        <w:spacing w:after="0"/>
        <w:ind w:firstLine="709"/>
        <w:rPr>
          <w:rFonts w:ascii="Arial" w:hAnsi="Arial" w:cs="Arial"/>
          <w:color w:val="000000" w:themeColor="text1"/>
          <w:sz w:val="22"/>
          <w:szCs w:val="22"/>
        </w:rPr>
      </w:pPr>
      <w:r w:rsidRPr="009B78DA">
        <w:rPr>
          <w:rFonts w:ascii="Arial" w:hAnsi="Arial" w:cs="Arial"/>
          <w:color w:val="000000" w:themeColor="text1"/>
          <w:sz w:val="22"/>
          <w:szCs w:val="22"/>
        </w:rPr>
        <w:t>Uwzględniając powyższe przyjmuje się, że najwyżej premiowane będą projekty na odcinkach dróg wojewódzkich, na których organizowany jest regularny, codzienny tj. od poniedziałku do niedzieli transport zbiorowy na zasadach użyteczności publicznej. Jeżeli ten rodzaj transportu odbywa się regularnie, ale w liczbie od 5 do 6 dni w tygodniu, projekt otrzyma 6 punktów. W przypadku gdy na danej drodze kursy odbywają się rzadziej niż 5 dni w tygodniu projekt otrzyma 3 punkty. Natomiast na odcinkach dróg, gdzie taki transport nie jest organizowa</w:t>
      </w:r>
      <w:r w:rsidR="00093EEC">
        <w:rPr>
          <w:rFonts w:ascii="Arial" w:hAnsi="Arial" w:cs="Arial"/>
          <w:color w:val="000000" w:themeColor="text1"/>
          <w:sz w:val="22"/>
          <w:szCs w:val="22"/>
        </w:rPr>
        <w:t>ny nie będą przyznawane punkty.</w:t>
      </w:r>
    </w:p>
    <w:p w14:paraId="4289C7F1" w14:textId="00BDD67D" w:rsidR="00E0240B" w:rsidRPr="009B78DA" w:rsidRDefault="0009551C" w:rsidP="00093EEC">
      <w:pPr>
        <w:spacing w:after="0"/>
        <w:ind w:firstLine="709"/>
        <w:rPr>
          <w:rFonts w:ascii="Arial" w:hAnsi="Arial" w:cs="Arial"/>
          <w:color w:val="000000" w:themeColor="text1"/>
          <w:sz w:val="22"/>
          <w:szCs w:val="22"/>
        </w:rPr>
      </w:pPr>
      <w:r w:rsidRPr="009B78DA">
        <w:rPr>
          <w:rFonts w:ascii="Arial" w:hAnsi="Arial" w:cs="Arial"/>
          <w:color w:val="000000" w:themeColor="text1"/>
          <w:sz w:val="22"/>
          <w:szCs w:val="22"/>
        </w:rPr>
        <w:t>W przypadku budowy nowych odcinków dróg wojewódzkich, stanowiących obwodnice jako dane wyjściowe do przyznania punktacji brane będą dane dla odcinka drogi zastępowanej.</w:t>
      </w:r>
    </w:p>
    <w:p w14:paraId="1D527EB4" w14:textId="4245FE89" w:rsidR="00E5524D" w:rsidRPr="009B78DA" w:rsidRDefault="005961AA" w:rsidP="00093EEC">
      <w:pPr>
        <w:pStyle w:val="Akapitzlist"/>
        <w:numPr>
          <w:ilvl w:val="0"/>
          <w:numId w:val="241"/>
        </w:numPr>
        <w:spacing w:before="120" w:after="120" w:line="276" w:lineRule="auto"/>
        <w:ind w:left="0" w:firstLine="0"/>
        <w:contextualSpacing w:val="0"/>
        <w:rPr>
          <w:rFonts w:ascii="Arial" w:hAnsi="Arial" w:cs="Arial"/>
          <w:b/>
          <w:color w:val="000000" w:themeColor="text1"/>
          <w:sz w:val="22"/>
          <w:szCs w:val="22"/>
        </w:rPr>
      </w:pPr>
      <w:r w:rsidRPr="009B78DA">
        <w:rPr>
          <w:rFonts w:ascii="Arial" w:hAnsi="Arial" w:cs="Arial"/>
          <w:b/>
          <w:color w:val="000000" w:themeColor="text1"/>
          <w:sz w:val="22"/>
          <w:szCs w:val="22"/>
        </w:rPr>
        <w:t>Bezpieczeństwo ruchu drogowego</w:t>
      </w:r>
    </w:p>
    <w:tbl>
      <w:tblPr>
        <w:tblStyle w:val="Tabela-Siatka1"/>
        <w:tblW w:w="0" w:type="auto"/>
        <w:tblLook w:val="04A0" w:firstRow="1" w:lastRow="0" w:firstColumn="1" w:lastColumn="0" w:noHBand="0" w:noVBand="1"/>
        <w:tblCaption w:val="7. Bezpieczeństwo ruchu drogowego"/>
        <w:tblDescription w:val="Tabela zawiera Podkryteria, Punkty, Max liczba punktów"/>
      </w:tblPr>
      <w:tblGrid>
        <w:gridCol w:w="4531"/>
        <w:gridCol w:w="2121"/>
        <w:gridCol w:w="2387"/>
      </w:tblGrid>
      <w:tr w:rsidR="006F4FD2" w:rsidRPr="009B78DA" w14:paraId="7CA2DAD0" w14:textId="77777777" w:rsidTr="00093EEC">
        <w:trPr>
          <w:trHeight w:val="405"/>
          <w:tblHeader/>
        </w:trPr>
        <w:tc>
          <w:tcPr>
            <w:tcW w:w="4531" w:type="dxa"/>
            <w:shd w:val="clear" w:color="auto" w:fill="DEEAF6" w:themeFill="accent1" w:themeFillTint="33"/>
            <w:vAlign w:val="center"/>
          </w:tcPr>
          <w:p w14:paraId="0D392244"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Podkryteria</w:t>
            </w:r>
          </w:p>
        </w:tc>
        <w:tc>
          <w:tcPr>
            <w:tcW w:w="2121" w:type="dxa"/>
            <w:shd w:val="clear" w:color="auto" w:fill="DEEAF6" w:themeFill="accent1" w:themeFillTint="33"/>
            <w:vAlign w:val="center"/>
          </w:tcPr>
          <w:p w14:paraId="63E43B8E"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Punkty</w:t>
            </w:r>
          </w:p>
        </w:tc>
        <w:tc>
          <w:tcPr>
            <w:tcW w:w="2387" w:type="dxa"/>
            <w:shd w:val="clear" w:color="auto" w:fill="DEEAF6" w:themeFill="accent1" w:themeFillTint="33"/>
            <w:vAlign w:val="center"/>
          </w:tcPr>
          <w:p w14:paraId="45CDA0E9"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Max liczba punktów</w:t>
            </w:r>
          </w:p>
        </w:tc>
      </w:tr>
      <w:tr w:rsidR="006F4FD2" w:rsidRPr="009B78DA" w14:paraId="6FF89F38" w14:textId="77777777" w:rsidTr="00093EEC">
        <w:trPr>
          <w:trHeight w:val="411"/>
        </w:trPr>
        <w:tc>
          <w:tcPr>
            <w:tcW w:w="4531" w:type="dxa"/>
            <w:vAlign w:val="center"/>
          </w:tcPr>
          <w:p w14:paraId="0EB16B68"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&gt; 0,20</w:t>
            </w:r>
          </w:p>
        </w:tc>
        <w:tc>
          <w:tcPr>
            <w:tcW w:w="2121" w:type="dxa"/>
            <w:vAlign w:val="center"/>
          </w:tcPr>
          <w:p w14:paraId="4772226A"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2387" w:type="dxa"/>
            <w:vAlign w:val="center"/>
          </w:tcPr>
          <w:p w14:paraId="009F07BD"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r w:rsidR="006F4FD2" w:rsidRPr="009B78DA" w14:paraId="3F01BDCE" w14:textId="77777777" w:rsidTr="00093EEC">
        <w:trPr>
          <w:trHeight w:val="416"/>
        </w:trPr>
        <w:tc>
          <w:tcPr>
            <w:tcW w:w="4531" w:type="dxa"/>
            <w:vAlign w:val="center"/>
          </w:tcPr>
          <w:p w14:paraId="30012513"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0,09 – 0,20</w:t>
            </w:r>
          </w:p>
        </w:tc>
        <w:tc>
          <w:tcPr>
            <w:tcW w:w="2121" w:type="dxa"/>
            <w:vAlign w:val="center"/>
          </w:tcPr>
          <w:p w14:paraId="36F82757"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6</w:t>
            </w:r>
          </w:p>
        </w:tc>
        <w:tc>
          <w:tcPr>
            <w:tcW w:w="2387" w:type="dxa"/>
            <w:vAlign w:val="center"/>
          </w:tcPr>
          <w:p w14:paraId="6909FB7C" w14:textId="3A31BF88" w:rsidR="005961AA" w:rsidRPr="009B78DA" w:rsidRDefault="00093EEC"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r w:rsidR="006F4FD2" w:rsidRPr="009B78DA" w14:paraId="34B2ED37" w14:textId="77777777" w:rsidTr="00093EEC">
        <w:trPr>
          <w:trHeight w:val="422"/>
        </w:trPr>
        <w:tc>
          <w:tcPr>
            <w:tcW w:w="4531" w:type="dxa"/>
            <w:vAlign w:val="center"/>
          </w:tcPr>
          <w:p w14:paraId="40DB680B"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0,04 – 0,08</w:t>
            </w:r>
          </w:p>
        </w:tc>
        <w:tc>
          <w:tcPr>
            <w:tcW w:w="2121" w:type="dxa"/>
            <w:vAlign w:val="center"/>
          </w:tcPr>
          <w:p w14:paraId="3C335087"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2387" w:type="dxa"/>
            <w:vAlign w:val="center"/>
          </w:tcPr>
          <w:p w14:paraId="17A51F6A" w14:textId="218D8692" w:rsidR="005961AA" w:rsidRPr="009B78DA" w:rsidRDefault="00093EEC"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r w:rsidR="005961AA" w:rsidRPr="009B78DA" w14:paraId="56C7FE0F" w14:textId="77777777" w:rsidTr="00093EEC">
        <w:trPr>
          <w:trHeight w:val="414"/>
        </w:trPr>
        <w:tc>
          <w:tcPr>
            <w:tcW w:w="4531" w:type="dxa"/>
            <w:vAlign w:val="center"/>
          </w:tcPr>
          <w:p w14:paraId="4F432A4D"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&lt; 0,04</w:t>
            </w:r>
          </w:p>
        </w:tc>
        <w:tc>
          <w:tcPr>
            <w:tcW w:w="2121" w:type="dxa"/>
            <w:vAlign w:val="center"/>
          </w:tcPr>
          <w:p w14:paraId="5EBAA536" w14:textId="77777777" w:rsidR="005961AA" w:rsidRPr="009B78DA" w:rsidRDefault="005961AA"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0</w:t>
            </w:r>
          </w:p>
        </w:tc>
        <w:tc>
          <w:tcPr>
            <w:tcW w:w="2387" w:type="dxa"/>
            <w:vAlign w:val="center"/>
          </w:tcPr>
          <w:p w14:paraId="3960EF45" w14:textId="4D70516D" w:rsidR="005961AA" w:rsidRPr="009B78DA" w:rsidRDefault="00093EEC" w:rsidP="00093EEC">
            <w:pPr>
              <w:jc w:val="center"/>
              <w:rPr>
                <w:rFonts w:ascii="Arial" w:hAnsi="Arial" w:cs="Arial"/>
                <w:color w:val="000000" w:themeColor="text1"/>
                <w:sz w:val="22"/>
                <w:szCs w:val="22"/>
              </w:rPr>
            </w:pPr>
            <w:r w:rsidRPr="009B78DA">
              <w:rPr>
                <w:rFonts w:ascii="Arial" w:hAnsi="Arial" w:cs="Arial"/>
                <w:color w:val="000000" w:themeColor="text1"/>
                <w:sz w:val="22"/>
                <w:szCs w:val="22"/>
              </w:rPr>
              <w:t>10</w:t>
            </w:r>
          </w:p>
        </w:tc>
      </w:tr>
    </w:tbl>
    <w:p w14:paraId="621A1F50" w14:textId="31A48AD0" w:rsidR="005961AA" w:rsidRPr="009B78DA" w:rsidRDefault="005961AA" w:rsidP="00093EEC">
      <w:pPr>
        <w:spacing w:before="120" w:after="120"/>
        <w:ind w:firstLine="709"/>
        <w:rPr>
          <w:rFonts w:ascii="Arial" w:hAnsi="Arial" w:cs="Arial"/>
          <w:color w:val="000000" w:themeColor="text1"/>
          <w:sz w:val="22"/>
          <w:szCs w:val="22"/>
        </w:rPr>
      </w:pPr>
      <w:r w:rsidRPr="009B78DA">
        <w:rPr>
          <w:rFonts w:ascii="Arial" w:hAnsi="Arial" w:cs="Arial"/>
          <w:color w:val="000000" w:themeColor="text1"/>
          <w:sz w:val="22"/>
          <w:szCs w:val="22"/>
        </w:rPr>
        <w:t>Jeden ze wskazanych w PSRT WP celów horyzontalnych ukierunkowany jest na poprawę bezpieczeństwa w transporcie</w:t>
      </w:r>
      <w:r w:rsidR="00344B48" w:rsidRPr="009B78DA">
        <w:rPr>
          <w:rStyle w:val="Odwoanieprzypisudolnego"/>
          <w:rFonts w:ascii="Arial" w:hAnsi="Arial" w:cs="Arial"/>
          <w:color w:val="000000" w:themeColor="text1"/>
          <w:sz w:val="22"/>
          <w:szCs w:val="22"/>
        </w:rPr>
        <w:footnoteReference w:id="40"/>
      </w:r>
      <w:r w:rsidRPr="009B78DA">
        <w:rPr>
          <w:rFonts w:ascii="Arial" w:hAnsi="Arial" w:cs="Arial"/>
          <w:color w:val="000000" w:themeColor="text1"/>
          <w:sz w:val="22"/>
          <w:szCs w:val="22"/>
        </w:rPr>
        <w:t>. Ocenę przedmiotowego kryterium przeprowadzono na podstawie wskaźnika gęstości wypadków, obliczanego na podstawie następującego wzoru:</w:t>
      </w:r>
    </w:p>
    <w:p w14:paraId="1F303879" w14:textId="77777777" w:rsidR="005961AA" w:rsidRPr="009B78DA" w:rsidRDefault="005961AA" w:rsidP="005961AA">
      <w:pPr>
        <w:spacing w:after="0"/>
        <w:ind w:firstLine="709"/>
        <w:jc w:val="both"/>
        <w:rPr>
          <w:rFonts w:ascii="Arial" w:eastAsiaTheme="minorEastAsia" w:hAnsi="Arial" w:cs="Arial"/>
          <w:color w:val="000000" w:themeColor="text1"/>
          <w:sz w:val="22"/>
          <w:szCs w:val="22"/>
        </w:rPr>
      </w:pPr>
      <m:oMathPara>
        <m:oMath>
          <m:r>
            <w:rPr>
              <w:rFonts w:cs="Arial"/>
              <w:color w:val="000000" w:themeColor="text1"/>
              <w:sz w:val="22"/>
              <w:szCs w:val="22"/>
            </w:rPr>
            <m:t>Wg=</m:t>
          </m:r>
          <m:f>
            <m:fPr>
              <m:ctrlPr>
                <w:rPr>
                  <w:rFonts w:cs="Arial"/>
                  <w:i/>
                  <w:color w:val="000000" w:themeColor="text1"/>
                  <w:sz w:val="22"/>
                  <w:szCs w:val="22"/>
                </w:rPr>
              </m:ctrlPr>
            </m:fPr>
            <m:num>
              <m:r>
                <w:rPr>
                  <w:rFonts w:cs="Arial"/>
                  <w:color w:val="000000" w:themeColor="text1"/>
                  <w:sz w:val="22"/>
                  <w:szCs w:val="22"/>
                </w:rPr>
                <m:t>W</m:t>
              </m:r>
            </m:num>
            <m:den>
              <m:r>
                <w:rPr>
                  <w:rFonts w:cs="Arial"/>
                  <w:color w:val="000000" w:themeColor="text1"/>
                  <w:sz w:val="22"/>
                  <w:szCs w:val="22"/>
                </w:rPr>
                <m:t>T*L</m:t>
              </m:r>
            </m:den>
          </m:f>
        </m:oMath>
      </m:oMathPara>
    </w:p>
    <w:p w14:paraId="17F34FD4" w14:textId="77777777" w:rsidR="005961AA" w:rsidRPr="009B78DA" w:rsidRDefault="005961AA" w:rsidP="00093EEC">
      <w:pPr>
        <w:spacing w:after="0"/>
        <w:ind w:firstLine="709"/>
        <w:rPr>
          <w:rFonts w:ascii="Arial" w:eastAsiaTheme="minorEastAsia" w:hAnsi="Arial" w:cs="Arial"/>
          <w:color w:val="000000" w:themeColor="text1"/>
          <w:sz w:val="22"/>
          <w:szCs w:val="22"/>
        </w:rPr>
      </w:pPr>
      <w:r w:rsidRPr="009B78DA">
        <w:rPr>
          <w:rFonts w:ascii="Arial" w:eastAsiaTheme="minorEastAsia" w:hAnsi="Arial" w:cs="Arial"/>
          <w:color w:val="000000" w:themeColor="text1"/>
          <w:sz w:val="22"/>
          <w:szCs w:val="22"/>
        </w:rPr>
        <w:t>Gdzie:</w:t>
      </w:r>
    </w:p>
    <w:p w14:paraId="6C4A31A2" w14:textId="77777777" w:rsidR="005961AA" w:rsidRPr="009B78DA" w:rsidRDefault="005961AA" w:rsidP="00093EEC">
      <w:pPr>
        <w:spacing w:after="0"/>
        <w:ind w:firstLine="709"/>
        <w:rPr>
          <w:rFonts w:ascii="Arial" w:eastAsiaTheme="minorEastAsia" w:hAnsi="Arial" w:cs="Arial"/>
          <w:color w:val="000000" w:themeColor="text1"/>
          <w:sz w:val="22"/>
          <w:szCs w:val="22"/>
        </w:rPr>
      </w:pPr>
      <w:r w:rsidRPr="009B78DA">
        <w:rPr>
          <w:rFonts w:ascii="Arial" w:eastAsiaTheme="minorEastAsia" w:hAnsi="Arial" w:cs="Arial"/>
          <w:color w:val="000000" w:themeColor="text1"/>
          <w:sz w:val="22"/>
          <w:szCs w:val="22"/>
        </w:rPr>
        <w:t>Wg – wskaźnik gęstości wypadków,</w:t>
      </w:r>
    </w:p>
    <w:p w14:paraId="755F07D6" w14:textId="77777777" w:rsidR="005961AA" w:rsidRPr="009B78DA" w:rsidRDefault="005961AA" w:rsidP="00093EEC">
      <w:pPr>
        <w:spacing w:after="0"/>
        <w:ind w:firstLine="709"/>
        <w:rPr>
          <w:rFonts w:ascii="Arial" w:eastAsiaTheme="minorEastAsia" w:hAnsi="Arial" w:cs="Arial"/>
          <w:color w:val="000000" w:themeColor="text1"/>
          <w:sz w:val="22"/>
          <w:szCs w:val="22"/>
        </w:rPr>
      </w:pPr>
      <w:r w:rsidRPr="009B78DA">
        <w:rPr>
          <w:rFonts w:ascii="Arial" w:eastAsiaTheme="minorEastAsia" w:hAnsi="Arial" w:cs="Arial"/>
          <w:color w:val="000000" w:themeColor="text1"/>
          <w:sz w:val="22"/>
          <w:szCs w:val="22"/>
        </w:rPr>
        <w:t>W – liczba wypadów,</w:t>
      </w:r>
    </w:p>
    <w:p w14:paraId="59BCA3D6" w14:textId="77777777" w:rsidR="005961AA" w:rsidRPr="009B78DA" w:rsidRDefault="005961AA" w:rsidP="00093EEC">
      <w:pPr>
        <w:spacing w:after="0"/>
        <w:ind w:firstLine="709"/>
        <w:rPr>
          <w:rFonts w:ascii="Arial" w:eastAsiaTheme="minorEastAsia" w:hAnsi="Arial" w:cs="Arial"/>
          <w:color w:val="000000" w:themeColor="text1"/>
          <w:sz w:val="22"/>
          <w:szCs w:val="22"/>
        </w:rPr>
      </w:pPr>
      <w:r w:rsidRPr="009B78DA">
        <w:rPr>
          <w:rFonts w:ascii="Arial" w:eastAsiaTheme="minorEastAsia" w:hAnsi="Arial" w:cs="Arial"/>
          <w:color w:val="000000" w:themeColor="text1"/>
          <w:sz w:val="22"/>
          <w:szCs w:val="22"/>
        </w:rPr>
        <w:t>T – czas obserwacji w latach,</w:t>
      </w:r>
    </w:p>
    <w:p w14:paraId="42A298DF" w14:textId="48B215F5" w:rsidR="005961AA" w:rsidRPr="009B78DA" w:rsidRDefault="005961AA" w:rsidP="00093EEC">
      <w:pPr>
        <w:spacing w:after="120"/>
        <w:ind w:firstLine="709"/>
        <w:rPr>
          <w:rFonts w:ascii="Arial" w:eastAsiaTheme="minorEastAsia" w:hAnsi="Arial" w:cs="Arial"/>
          <w:color w:val="000000" w:themeColor="text1"/>
          <w:sz w:val="22"/>
          <w:szCs w:val="22"/>
        </w:rPr>
      </w:pPr>
      <w:r w:rsidRPr="009B78DA">
        <w:rPr>
          <w:rFonts w:ascii="Arial" w:eastAsiaTheme="minorEastAsia" w:hAnsi="Arial" w:cs="Arial"/>
          <w:color w:val="000000" w:themeColor="text1"/>
          <w:sz w:val="22"/>
          <w:szCs w:val="22"/>
        </w:rPr>
        <w:t>L –</w:t>
      </w:r>
      <w:r w:rsidR="00093EEC">
        <w:rPr>
          <w:rFonts w:ascii="Arial" w:eastAsiaTheme="minorEastAsia" w:hAnsi="Arial" w:cs="Arial"/>
          <w:color w:val="000000" w:themeColor="text1"/>
          <w:sz w:val="22"/>
          <w:szCs w:val="22"/>
        </w:rPr>
        <w:t xml:space="preserve"> długość odcinka w kilometrach</w:t>
      </w:r>
    </w:p>
    <w:p w14:paraId="72CF847E" w14:textId="77777777" w:rsidR="005961AA" w:rsidRPr="009B78DA" w:rsidRDefault="005961AA" w:rsidP="00093EEC">
      <w:pPr>
        <w:spacing w:after="0"/>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Wskaźnik ten został określony dla dróg wojewódzkich w </w:t>
      </w:r>
      <w:r w:rsidRPr="009B78DA">
        <w:rPr>
          <w:rFonts w:ascii="Arial" w:hAnsi="Arial" w:cs="Arial"/>
          <w:i/>
          <w:iCs/>
          <w:color w:val="000000" w:themeColor="text1"/>
          <w:sz w:val="22"/>
          <w:szCs w:val="22"/>
        </w:rPr>
        <w:t>Raporcie o stanie bezpieczeństwa ruchu drogowego na sieci dróg wojewódzkich</w:t>
      </w:r>
      <w:r w:rsidRPr="009B78DA">
        <w:rPr>
          <w:rFonts w:ascii="Arial" w:hAnsi="Arial" w:cs="Arial"/>
          <w:color w:val="000000" w:themeColor="text1"/>
          <w:sz w:val="22"/>
          <w:szCs w:val="22"/>
        </w:rPr>
        <w:t xml:space="preserve"> administrowanych przez Podkarpacki Zarząd Dróg Wojewódzkich w Rzeszowie za rok 2020. Wypadek drogowy zdefiniowany został jako zdarzenie zaistniałe w obrębie przestrzeni drogowej, w wyniku którego osoby uczestniczące zostały ranne lub poniosły śmierć.  Liczę wypadków ustalono na postawie Policyjnego Systemu Ewidencji Wypadków i Kolizji (SEWIK).</w:t>
      </w:r>
    </w:p>
    <w:p w14:paraId="56CF9134" w14:textId="05971477" w:rsidR="00E26A9E" w:rsidRPr="009B78DA" w:rsidRDefault="005961AA" w:rsidP="00093EEC">
      <w:pPr>
        <w:spacing w:after="0"/>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Wskaźnik gęstości wypadków określa liczbę wypadków na 1 km drogi. Im wyższy wskaźnik gęstości wypadków tym dana droga charakteryzuje się niższym poziomem bezpieczeństwa drogowego i wykazuje wyższy poziom ryzyka wystąpienia wypadku drogowego. Wskaźnik ten umożliwia zidentyfikowanie dróg wymagających przeprowadzenia działań zwiększających poprawę </w:t>
      </w:r>
      <w:r w:rsidR="00093EEC">
        <w:rPr>
          <w:rFonts w:ascii="Arial" w:hAnsi="Arial" w:cs="Arial"/>
          <w:color w:val="000000" w:themeColor="text1"/>
          <w:sz w:val="22"/>
          <w:szCs w:val="22"/>
        </w:rPr>
        <w:t>bezpieczeństwa ruchu drogowego.</w:t>
      </w:r>
    </w:p>
    <w:p w14:paraId="69153072" w14:textId="521F5C54" w:rsidR="00723F31" w:rsidRPr="009B78DA" w:rsidRDefault="00723F31" w:rsidP="00093EEC">
      <w:pPr>
        <w:pStyle w:val="Akapitzlist"/>
        <w:numPr>
          <w:ilvl w:val="0"/>
          <w:numId w:val="241"/>
        </w:numPr>
        <w:spacing w:before="120" w:after="120" w:line="276" w:lineRule="auto"/>
        <w:ind w:left="0" w:firstLine="0"/>
        <w:contextualSpacing w:val="0"/>
        <w:rPr>
          <w:rFonts w:ascii="Arial" w:hAnsi="Arial" w:cs="Arial"/>
          <w:b/>
          <w:color w:val="000000" w:themeColor="text1"/>
          <w:sz w:val="22"/>
          <w:szCs w:val="22"/>
        </w:rPr>
      </w:pPr>
      <w:r w:rsidRPr="009B78DA">
        <w:rPr>
          <w:rFonts w:ascii="Arial" w:hAnsi="Arial" w:cs="Arial"/>
          <w:b/>
          <w:color w:val="000000" w:themeColor="text1"/>
          <w:sz w:val="22"/>
          <w:szCs w:val="22"/>
        </w:rPr>
        <w:t>Dostosowanie drogi do transportu zbiorowego</w:t>
      </w:r>
    </w:p>
    <w:tbl>
      <w:tblPr>
        <w:tblStyle w:val="Tabela-Siatka1"/>
        <w:tblW w:w="0" w:type="auto"/>
        <w:tblLook w:val="04A0" w:firstRow="1" w:lastRow="0" w:firstColumn="1" w:lastColumn="0" w:noHBand="0" w:noVBand="1"/>
        <w:tblCaption w:val="8. Dostosowanie drogi do transportu zbiorowego"/>
        <w:tblDescription w:val="Tabela zawiera Podkryteria, Punkty, Max liczba punktów"/>
      </w:tblPr>
      <w:tblGrid>
        <w:gridCol w:w="4531"/>
        <w:gridCol w:w="2121"/>
        <w:gridCol w:w="2387"/>
      </w:tblGrid>
      <w:tr w:rsidR="00723F31" w:rsidRPr="009B78DA" w14:paraId="19F8DA9A" w14:textId="77777777" w:rsidTr="00093EEC">
        <w:trPr>
          <w:trHeight w:val="549"/>
          <w:tblHeader/>
        </w:trPr>
        <w:tc>
          <w:tcPr>
            <w:tcW w:w="4531" w:type="dxa"/>
            <w:shd w:val="clear" w:color="auto" w:fill="DEEAF6" w:themeFill="accent1" w:themeFillTint="33"/>
            <w:vAlign w:val="center"/>
          </w:tcPr>
          <w:p w14:paraId="6CF086BD" w14:textId="77777777" w:rsidR="00723F31" w:rsidRPr="009B78DA" w:rsidRDefault="00723F31"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Podkryteria</w:t>
            </w:r>
          </w:p>
        </w:tc>
        <w:tc>
          <w:tcPr>
            <w:tcW w:w="2121" w:type="dxa"/>
            <w:shd w:val="clear" w:color="auto" w:fill="DEEAF6" w:themeFill="accent1" w:themeFillTint="33"/>
            <w:vAlign w:val="center"/>
          </w:tcPr>
          <w:p w14:paraId="626DEE21" w14:textId="77777777" w:rsidR="00723F31" w:rsidRPr="009B78DA" w:rsidRDefault="00723F31"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Punkty</w:t>
            </w:r>
          </w:p>
        </w:tc>
        <w:tc>
          <w:tcPr>
            <w:tcW w:w="2387" w:type="dxa"/>
            <w:shd w:val="clear" w:color="auto" w:fill="DEEAF6" w:themeFill="accent1" w:themeFillTint="33"/>
            <w:vAlign w:val="center"/>
          </w:tcPr>
          <w:p w14:paraId="2E55505D" w14:textId="77777777" w:rsidR="00723F31" w:rsidRPr="009B78DA" w:rsidRDefault="00723F31"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Max liczba punktów</w:t>
            </w:r>
          </w:p>
        </w:tc>
      </w:tr>
      <w:tr w:rsidR="00723F31" w:rsidRPr="009B78DA" w14:paraId="4E3E09DC" w14:textId="77777777" w:rsidTr="00093EEC">
        <w:trPr>
          <w:trHeight w:val="415"/>
        </w:trPr>
        <w:tc>
          <w:tcPr>
            <w:tcW w:w="4531" w:type="dxa"/>
            <w:vAlign w:val="center"/>
          </w:tcPr>
          <w:p w14:paraId="7AE6FF1D" w14:textId="77777777" w:rsidR="00723F31" w:rsidRPr="009B78DA" w:rsidRDefault="00723F31"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0</w:t>
            </w:r>
          </w:p>
        </w:tc>
        <w:tc>
          <w:tcPr>
            <w:tcW w:w="2121" w:type="dxa"/>
            <w:vAlign w:val="center"/>
          </w:tcPr>
          <w:p w14:paraId="0AD5EC15" w14:textId="77777777" w:rsidR="00723F31" w:rsidRPr="009B78DA" w:rsidRDefault="00723F31"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0</w:t>
            </w:r>
          </w:p>
        </w:tc>
        <w:tc>
          <w:tcPr>
            <w:tcW w:w="2387" w:type="dxa"/>
            <w:vAlign w:val="center"/>
          </w:tcPr>
          <w:p w14:paraId="4BCE8E83" w14:textId="77777777" w:rsidR="00723F31" w:rsidRPr="009B78DA" w:rsidRDefault="00723F31"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10</w:t>
            </w:r>
          </w:p>
        </w:tc>
      </w:tr>
      <w:tr w:rsidR="00723F31" w:rsidRPr="009B78DA" w14:paraId="114ED33D" w14:textId="77777777" w:rsidTr="00093EEC">
        <w:trPr>
          <w:trHeight w:val="418"/>
        </w:trPr>
        <w:tc>
          <w:tcPr>
            <w:tcW w:w="4531" w:type="dxa"/>
            <w:vAlign w:val="center"/>
          </w:tcPr>
          <w:p w14:paraId="3D0D27B2" w14:textId="77777777" w:rsidR="00723F31" w:rsidRPr="009B78DA" w:rsidRDefault="00723F31"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0 – 0,5</w:t>
            </w:r>
          </w:p>
        </w:tc>
        <w:tc>
          <w:tcPr>
            <w:tcW w:w="2121" w:type="dxa"/>
            <w:vAlign w:val="center"/>
          </w:tcPr>
          <w:p w14:paraId="3CB8AB49" w14:textId="77777777" w:rsidR="00723F31" w:rsidRPr="009B78DA" w:rsidRDefault="00723F31"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5</w:t>
            </w:r>
          </w:p>
        </w:tc>
        <w:tc>
          <w:tcPr>
            <w:tcW w:w="2387" w:type="dxa"/>
            <w:vAlign w:val="center"/>
          </w:tcPr>
          <w:p w14:paraId="138FDE46" w14:textId="33273FA0" w:rsidR="00723F31" w:rsidRPr="009B78DA" w:rsidRDefault="00093EEC"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10</w:t>
            </w:r>
          </w:p>
        </w:tc>
      </w:tr>
      <w:tr w:rsidR="00723F31" w:rsidRPr="009B78DA" w14:paraId="465FE106" w14:textId="77777777" w:rsidTr="00093EEC">
        <w:trPr>
          <w:trHeight w:val="424"/>
        </w:trPr>
        <w:tc>
          <w:tcPr>
            <w:tcW w:w="4531" w:type="dxa"/>
            <w:vAlign w:val="center"/>
          </w:tcPr>
          <w:p w14:paraId="180A7A4B" w14:textId="77777777" w:rsidR="00723F31" w:rsidRPr="009B78DA" w:rsidRDefault="00723F31"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&gt; 0,5</w:t>
            </w:r>
          </w:p>
        </w:tc>
        <w:tc>
          <w:tcPr>
            <w:tcW w:w="2121" w:type="dxa"/>
            <w:vAlign w:val="center"/>
          </w:tcPr>
          <w:p w14:paraId="65024C63" w14:textId="77777777" w:rsidR="00723F31" w:rsidRPr="009B78DA" w:rsidRDefault="00723F31"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10</w:t>
            </w:r>
          </w:p>
        </w:tc>
        <w:tc>
          <w:tcPr>
            <w:tcW w:w="2387" w:type="dxa"/>
            <w:vAlign w:val="center"/>
          </w:tcPr>
          <w:p w14:paraId="24395433" w14:textId="3596D89F" w:rsidR="00723F31" w:rsidRPr="009B78DA" w:rsidRDefault="00093EEC" w:rsidP="00093EEC">
            <w:pPr>
              <w:spacing w:line="276" w:lineRule="auto"/>
              <w:jc w:val="center"/>
              <w:rPr>
                <w:rFonts w:ascii="Arial" w:eastAsia="Calibri" w:hAnsi="Arial" w:cs="Arial"/>
                <w:color w:val="000000" w:themeColor="text1"/>
                <w:sz w:val="22"/>
                <w:szCs w:val="22"/>
                <w:lang w:eastAsia="en-US"/>
              </w:rPr>
            </w:pPr>
            <w:r w:rsidRPr="009B78DA">
              <w:rPr>
                <w:rFonts w:ascii="Arial" w:eastAsia="Calibri" w:hAnsi="Arial" w:cs="Arial"/>
                <w:color w:val="000000" w:themeColor="text1"/>
                <w:sz w:val="22"/>
                <w:szCs w:val="22"/>
                <w:lang w:eastAsia="en-US"/>
              </w:rPr>
              <w:t>10</w:t>
            </w:r>
          </w:p>
        </w:tc>
      </w:tr>
    </w:tbl>
    <w:p w14:paraId="261CE0AA" w14:textId="7328B016" w:rsidR="00723F31" w:rsidRPr="009B78DA" w:rsidRDefault="00723F31" w:rsidP="00093EEC">
      <w:pPr>
        <w:spacing w:before="120" w:after="120" w:line="276" w:lineRule="auto"/>
        <w:ind w:firstLine="709"/>
        <w:rPr>
          <w:rFonts w:ascii="Arial" w:eastAsia="Calibri" w:hAnsi="Arial" w:cs="Arial"/>
          <w:bCs/>
          <w:color w:val="000000" w:themeColor="text1"/>
          <w:sz w:val="22"/>
          <w:szCs w:val="22"/>
          <w:lang w:eastAsia="en-US"/>
        </w:rPr>
      </w:pPr>
      <w:r w:rsidRPr="009B78DA">
        <w:rPr>
          <w:rFonts w:ascii="Arial" w:eastAsia="Calibri" w:hAnsi="Arial" w:cs="Arial"/>
          <w:bCs/>
          <w:color w:val="000000" w:themeColor="text1"/>
          <w:sz w:val="22"/>
          <w:szCs w:val="22"/>
          <w:lang w:eastAsia="en-US"/>
        </w:rPr>
        <w:t>Przedmiotowe kryterium ocenia czy projekt uwzględnia elementy z zakresu dostosowania drogi do wykonywania codziennych przewozów publicznego transportu zbiorowego. Projekt będzie oceniony poprzez wskaźnik P tj. ilość przystanków autobusowych wyposażonych w zatokę autobusową/lub nie przypadająca na 1 kilometr drogi wojewódzkiej. Podczas obliczania wskaźnika będzie brana pod uwagę łączna liczba przystanków po jednej stronie drogi. Wskaźnik ten będzie obliczany według nas</w:t>
      </w:r>
      <w:r w:rsidR="00093EEC">
        <w:rPr>
          <w:rFonts w:ascii="Arial" w:eastAsia="Calibri" w:hAnsi="Arial" w:cs="Arial"/>
          <w:bCs/>
          <w:color w:val="000000" w:themeColor="text1"/>
          <w:sz w:val="22"/>
          <w:szCs w:val="22"/>
          <w:lang w:eastAsia="en-US"/>
        </w:rPr>
        <w:t>tępującego wzoru:</w:t>
      </w:r>
    </w:p>
    <w:p w14:paraId="3CE39EC4" w14:textId="77777777" w:rsidR="00723F31" w:rsidRPr="009B78DA" w:rsidRDefault="00723F31" w:rsidP="00723F31">
      <w:pPr>
        <w:spacing w:after="0" w:line="276" w:lineRule="auto"/>
        <w:ind w:firstLine="709"/>
        <w:jc w:val="both"/>
        <w:rPr>
          <w:rFonts w:ascii="Arial" w:hAnsi="Arial" w:cs="Arial"/>
          <w:color w:val="000000" w:themeColor="text1"/>
          <w:sz w:val="22"/>
          <w:szCs w:val="22"/>
          <w:lang w:eastAsia="en-US"/>
        </w:rPr>
      </w:pPr>
      <m:oMathPara>
        <m:oMath>
          <m:r>
            <w:rPr>
              <w:rFonts w:eastAsia="Calibri" w:cs="Arial"/>
              <w:color w:val="000000" w:themeColor="text1"/>
              <w:sz w:val="22"/>
              <w:szCs w:val="22"/>
              <w:lang w:eastAsia="en-US"/>
            </w:rPr>
            <m:t>P=</m:t>
          </m:r>
          <m:f>
            <m:fPr>
              <m:ctrlPr>
                <w:rPr>
                  <w:rFonts w:eastAsia="Calibri" w:cs="Arial"/>
                  <w:i/>
                  <w:color w:val="000000" w:themeColor="text1"/>
                  <w:sz w:val="22"/>
                  <w:szCs w:val="22"/>
                  <w:lang w:eastAsia="en-US"/>
                </w:rPr>
              </m:ctrlPr>
            </m:fPr>
            <m:num>
              <m:r>
                <w:rPr>
                  <w:rFonts w:eastAsia="Calibri" w:cs="Arial"/>
                  <w:color w:val="000000" w:themeColor="text1"/>
                  <w:sz w:val="22"/>
                  <w:szCs w:val="22"/>
                  <w:lang w:eastAsia="en-US"/>
                </w:rPr>
                <m:t>Z</m:t>
              </m:r>
            </m:num>
            <m:den>
              <m:r>
                <w:rPr>
                  <w:rFonts w:eastAsia="Calibri" w:cs="Arial"/>
                  <w:color w:val="000000" w:themeColor="text1"/>
                  <w:sz w:val="22"/>
                  <w:szCs w:val="22"/>
                  <w:lang w:eastAsia="en-US"/>
                </w:rPr>
                <m:t>S</m:t>
              </m:r>
            </m:den>
          </m:f>
        </m:oMath>
      </m:oMathPara>
    </w:p>
    <w:p w14:paraId="034EAA36" w14:textId="77777777" w:rsidR="00723F31" w:rsidRPr="009B78DA" w:rsidRDefault="00723F31" w:rsidP="00723F31">
      <w:pPr>
        <w:spacing w:after="0" w:line="276" w:lineRule="auto"/>
        <w:ind w:firstLine="709"/>
        <w:jc w:val="both"/>
        <w:rPr>
          <w:rFonts w:ascii="Arial" w:hAnsi="Arial" w:cs="Arial"/>
          <w:color w:val="000000" w:themeColor="text1"/>
          <w:sz w:val="22"/>
          <w:szCs w:val="22"/>
          <w:lang w:eastAsia="en-US"/>
        </w:rPr>
      </w:pPr>
      <w:r w:rsidRPr="009B78DA">
        <w:rPr>
          <w:rFonts w:ascii="Arial" w:hAnsi="Arial" w:cs="Arial"/>
          <w:color w:val="000000" w:themeColor="text1"/>
          <w:sz w:val="22"/>
          <w:szCs w:val="22"/>
          <w:lang w:eastAsia="en-US"/>
        </w:rPr>
        <w:t>Gdzie</w:t>
      </w:r>
    </w:p>
    <w:p w14:paraId="7BE48765" w14:textId="6C4C272A" w:rsidR="00723F31" w:rsidRPr="009B78DA" w:rsidRDefault="00723F31" w:rsidP="00723F31">
      <w:pPr>
        <w:spacing w:after="0" w:line="276" w:lineRule="auto"/>
        <w:ind w:firstLine="709"/>
        <w:jc w:val="both"/>
        <w:rPr>
          <w:rFonts w:ascii="Arial" w:hAnsi="Arial" w:cs="Arial"/>
          <w:color w:val="000000" w:themeColor="text1"/>
          <w:sz w:val="22"/>
          <w:szCs w:val="22"/>
          <w:lang w:eastAsia="en-US"/>
        </w:rPr>
      </w:pPr>
      <w:r w:rsidRPr="009B78DA">
        <w:rPr>
          <w:rFonts w:ascii="Arial" w:hAnsi="Arial" w:cs="Arial"/>
          <w:color w:val="000000" w:themeColor="text1"/>
          <w:sz w:val="22"/>
          <w:szCs w:val="22"/>
          <w:lang w:eastAsia="en-US"/>
        </w:rPr>
        <w:t>P – wskaźnik ilości przystanków przypadając</w:t>
      </w:r>
      <w:r w:rsidR="00093EEC">
        <w:rPr>
          <w:rFonts w:ascii="Arial" w:hAnsi="Arial" w:cs="Arial"/>
          <w:color w:val="000000" w:themeColor="text1"/>
          <w:sz w:val="22"/>
          <w:szCs w:val="22"/>
          <w:lang w:eastAsia="en-US"/>
        </w:rPr>
        <w:t>ych na 1 km drogi wojewódzkiej,</w:t>
      </w:r>
    </w:p>
    <w:p w14:paraId="092B2D3A" w14:textId="2599787B" w:rsidR="00723F31" w:rsidRPr="009B78DA" w:rsidRDefault="00723F31" w:rsidP="00723F31">
      <w:pPr>
        <w:spacing w:after="0" w:line="276" w:lineRule="auto"/>
        <w:ind w:firstLine="709"/>
        <w:jc w:val="both"/>
        <w:rPr>
          <w:rFonts w:ascii="Arial" w:hAnsi="Arial" w:cs="Arial"/>
          <w:color w:val="000000" w:themeColor="text1"/>
          <w:sz w:val="22"/>
          <w:szCs w:val="22"/>
          <w:lang w:eastAsia="en-US"/>
        </w:rPr>
      </w:pPr>
      <w:r w:rsidRPr="009B78DA">
        <w:rPr>
          <w:rFonts w:ascii="Arial" w:hAnsi="Arial" w:cs="Arial"/>
          <w:color w:val="000000" w:themeColor="text1"/>
          <w:sz w:val="22"/>
          <w:szCs w:val="22"/>
          <w:lang w:eastAsia="en-US"/>
        </w:rPr>
        <w:t>Z – Liczba istniejących przystanków na drodze o</w:t>
      </w:r>
      <w:r w:rsidR="00093EEC">
        <w:rPr>
          <w:rFonts w:ascii="Arial" w:hAnsi="Arial" w:cs="Arial"/>
          <w:color w:val="000000" w:themeColor="text1"/>
          <w:sz w:val="22"/>
          <w:szCs w:val="22"/>
          <w:lang w:eastAsia="en-US"/>
        </w:rPr>
        <w:t>bjętej projektem, uwzględniając</w:t>
      </w:r>
    </w:p>
    <w:p w14:paraId="5872B41B" w14:textId="77777777" w:rsidR="00723F31" w:rsidRPr="009B78DA" w:rsidRDefault="00723F31" w:rsidP="00723F31">
      <w:pPr>
        <w:spacing w:after="0" w:line="276" w:lineRule="auto"/>
        <w:ind w:firstLine="709"/>
        <w:jc w:val="both"/>
        <w:rPr>
          <w:rFonts w:ascii="Arial" w:hAnsi="Arial" w:cs="Arial"/>
          <w:color w:val="000000" w:themeColor="text1"/>
          <w:sz w:val="22"/>
          <w:szCs w:val="22"/>
          <w:lang w:eastAsia="en-US"/>
        </w:rPr>
      </w:pPr>
      <w:r w:rsidRPr="009B78DA">
        <w:rPr>
          <w:rFonts w:ascii="Arial" w:hAnsi="Arial" w:cs="Arial"/>
          <w:color w:val="000000" w:themeColor="text1"/>
          <w:sz w:val="22"/>
          <w:szCs w:val="22"/>
          <w:lang w:eastAsia="en-US"/>
        </w:rPr>
        <w:t xml:space="preserve">jedną stronę drogi </w:t>
      </w:r>
    </w:p>
    <w:p w14:paraId="437445D4" w14:textId="77777777" w:rsidR="00723F31" w:rsidRPr="009B78DA" w:rsidRDefault="00723F31" w:rsidP="00550484">
      <w:pPr>
        <w:spacing w:after="120" w:line="276" w:lineRule="auto"/>
        <w:ind w:firstLine="709"/>
        <w:jc w:val="both"/>
        <w:rPr>
          <w:rFonts w:ascii="Arial" w:hAnsi="Arial" w:cs="Arial"/>
          <w:color w:val="000000" w:themeColor="text1"/>
          <w:sz w:val="22"/>
          <w:szCs w:val="22"/>
          <w:lang w:eastAsia="en-US"/>
        </w:rPr>
      </w:pPr>
      <w:r w:rsidRPr="009B78DA">
        <w:rPr>
          <w:rFonts w:ascii="Arial" w:hAnsi="Arial" w:cs="Arial"/>
          <w:color w:val="000000" w:themeColor="text1"/>
          <w:sz w:val="22"/>
          <w:szCs w:val="22"/>
          <w:lang w:eastAsia="en-US"/>
        </w:rPr>
        <w:t>S – Długość drogi objętej projektem.</w:t>
      </w:r>
    </w:p>
    <w:p w14:paraId="3D87611B" w14:textId="0CE54E0B" w:rsidR="00550484" w:rsidRDefault="00723F31" w:rsidP="00550484">
      <w:pPr>
        <w:spacing w:after="0" w:line="276" w:lineRule="auto"/>
        <w:ind w:firstLine="227"/>
        <w:rPr>
          <w:rFonts w:ascii="Arial" w:hAnsi="Arial" w:cs="Arial"/>
          <w:color w:val="000000" w:themeColor="text1"/>
          <w:sz w:val="22"/>
          <w:szCs w:val="22"/>
          <w:lang w:eastAsia="en-US"/>
        </w:rPr>
      </w:pPr>
      <w:r w:rsidRPr="009B78DA">
        <w:rPr>
          <w:rFonts w:ascii="Arial" w:hAnsi="Arial" w:cs="Arial"/>
          <w:color w:val="000000" w:themeColor="text1"/>
          <w:sz w:val="22"/>
          <w:szCs w:val="22"/>
          <w:lang w:eastAsia="en-US"/>
        </w:rPr>
        <w:t>Kryterium premiuje projekty, które dotyczą odcinków dróg, które cechuje wysoki wskaźnik ilości przystanków przypadających na 1 km drogi wojewódzkiej z uwagi na fakt, iż im więcej przystanków autobusowych na danym odcinku drogi tym lepsza dostępność do komunikacji zbiorowej oraz większe b</w:t>
      </w:r>
      <w:r w:rsidR="00550484">
        <w:rPr>
          <w:rFonts w:ascii="Arial" w:hAnsi="Arial" w:cs="Arial"/>
          <w:color w:val="000000" w:themeColor="text1"/>
          <w:sz w:val="22"/>
          <w:szCs w:val="22"/>
          <w:lang w:eastAsia="en-US"/>
        </w:rPr>
        <w:t>ezpieczeństwo w ruchu drogowym.</w:t>
      </w:r>
    </w:p>
    <w:p w14:paraId="76D2F7D4" w14:textId="63DAF984" w:rsidR="003144F0" w:rsidRPr="009B78DA" w:rsidRDefault="00723F31" w:rsidP="00550484">
      <w:pPr>
        <w:spacing w:after="0" w:line="276" w:lineRule="auto"/>
        <w:ind w:firstLine="227"/>
        <w:rPr>
          <w:rFonts w:ascii="Arial" w:hAnsi="Arial" w:cs="Arial"/>
          <w:color w:val="000000" w:themeColor="text1"/>
          <w:sz w:val="22"/>
          <w:szCs w:val="22"/>
          <w:lang w:eastAsia="en-US"/>
        </w:rPr>
      </w:pPr>
      <w:r w:rsidRPr="009B78DA">
        <w:rPr>
          <w:rFonts w:ascii="Arial" w:hAnsi="Arial" w:cs="Arial"/>
          <w:color w:val="000000" w:themeColor="text1"/>
          <w:sz w:val="22"/>
          <w:szCs w:val="22"/>
          <w:lang w:eastAsia="en-US"/>
        </w:rPr>
        <w:t>Wartość „Z” została wyznaczona na postawie Uchwały nr LIV/914/22 Sejmiku Województwa Podkarpackiego z dnia 02 listopada 2022 r. w sprawie zmiany uchwały Nr XXVIII/510/12 Sejmiku Województwa Podkarpackiego z dnia 21 grudnia 2012r. w sprawie określenia przystanków komunikacyjnych, których właścicielem lub zarządzającym jest Województwo Podkarpackie oraz warunków i zasad korzystania z tych przystanków.</w:t>
      </w:r>
      <w:bookmarkEnd w:id="382"/>
    </w:p>
    <w:p w14:paraId="155602BF" w14:textId="2D0EC7EC" w:rsidR="009126D5" w:rsidRPr="009B78DA" w:rsidRDefault="00E64410" w:rsidP="00550484">
      <w:pPr>
        <w:spacing w:before="120" w:after="120" w:line="312" w:lineRule="auto"/>
        <w:jc w:val="center"/>
        <w:rPr>
          <w:rFonts w:ascii="Arial" w:hAnsi="Arial" w:cs="Arial"/>
          <w:b/>
          <w:color w:val="000000" w:themeColor="text1"/>
          <w:sz w:val="22"/>
          <w:szCs w:val="22"/>
        </w:rPr>
      </w:pPr>
      <w:r w:rsidRPr="009B78DA">
        <w:rPr>
          <w:rFonts w:ascii="Arial" w:hAnsi="Arial" w:cs="Arial"/>
          <w:b/>
          <w:bCs/>
          <w:color w:val="000000" w:themeColor="text1"/>
          <w:sz w:val="22"/>
          <w:szCs w:val="22"/>
        </w:rPr>
        <w:t xml:space="preserve">Kryteria </w:t>
      </w:r>
      <w:r w:rsidR="00550484">
        <w:rPr>
          <w:rFonts w:ascii="Arial" w:hAnsi="Arial" w:cs="Arial"/>
          <w:b/>
          <w:color w:val="000000" w:themeColor="text1"/>
          <w:sz w:val="22"/>
          <w:szCs w:val="22"/>
        </w:rPr>
        <w:t>wyboru projektów taborowych</w:t>
      </w:r>
    </w:p>
    <w:tbl>
      <w:tblPr>
        <w:tblStyle w:val="Tabela-Siatka1"/>
        <w:tblW w:w="5000" w:type="pct"/>
        <w:tblLook w:val="04A0" w:firstRow="1" w:lastRow="0" w:firstColumn="1" w:lastColumn="0" w:noHBand="0" w:noVBand="1"/>
        <w:tblCaption w:val="Kryteria wyboru projektów taborowych"/>
        <w:tblDescription w:val="Tabela zawiera Kryterium, Działanie, Punktacja: Tak – 1;  Nie - 0"/>
      </w:tblPr>
      <w:tblGrid>
        <w:gridCol w:w="3822"/>
        <w:gridCol w:w="3117"/>
        <w:gridCol w:w="1135"/>
        <w:gridCol w:w="988"/>
      </w:tblGrid>
      <w:tr w:rsidR="00A16B5E" w:rsidRPr="009B78DA" w14:paraId="401F7CD0" w14:textId="77777777" w:rsidTr="00550484">
        <w:trPr>
          <w:trHeight w:val="425"/>
          <w:tblHeader/>
        </w:trPr>
        <w:tc>
          <w:tcPr>
            <w:tcW w:w="2109" w:type="pct"/>
            <w:shd w:val="clear" w:color="auto" w:fill="DEEAF6" w:themeFill="accent1" w:themeFillTint="33"/>
            <w:vAlign w:val="center"/>
          </w:tcPr>
          <w:p w14:paraId="4317796F"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Kryterium</w:t>
            </w:r>
          </w:p>
        </w:tc>
        <w:tc>
          <w:tcPr>
            <w:tcW w:w="1720" w:type="pct"/>
            <w:shd w:val="clear" w:color="auto" w:fill="DEEAF6" w:themeFill="accent1" w:themeFillTint="33"/>
            <w:vAlign w:val="center"/>
          </w:tcPr>
          <w:p w14:paraId="769A6998"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Działanie</w:t>
            </w:r>
          </w:p>
        </w:tc>
        <w:tc>
          <w:tcPr>
            <w:tcW w:w="1170" w:type="pct"/>
            <w:gridSpan w:val="2"/>
            <w:shd w:val="clear" w:color="auto" w:fill="DEEAF6" w:themeFill="accent1" w:themeFillTint="33"/>
            <w:vAlign w:val="center"/>
          </w:tcPr>
          <w:p w14:paraId="3931A1F8" w14:textId="0EB2AA67" w:rsidR="009126D5" w:rsidRPr="009B78DA" w:rsidRDefault="00550484" w:rsidP="00550484">
            <w:pPr>
              <w:jc w:val="center"/>
              <w:rPr>
                <w:rFonts w:ascii="Arial" w:hAnsi="Arial" w:cs="Arial"/>
                <w:color w:val="000000" w:themeColor="text1"/>
                <w:sz w:val="22"/>
                <w:szCs w:val="22"/>
              </w:rPr>
            </w:pPr>
            <w:r>
              <w:rPr>
                <w:rFonts w:ascii="Arial" w:hAnsi="Arial" w:cs="Arial"/>
                <w:color w:val="000000" w:themeColor="text1"/>
                <w:sz w:val="22"/>
                <w:szCs w:val="22"/>
              </w:rPr>
              <w:t xml:space="preserve">Punktacja: </w:t>
            </w:r>
            <w:r>
              <w:rPr>
                <w:rFonts w:ascii="Arial" w:hAnsi="Arial" w:cs="Arial"/>
                <w:color w:val="000000" w:themeColor="text1"/>
                <w:sz w:val="22"/>
                <w:szCs w:val="22"/>
              </w:rPr>
              <w:br/>
              <w:t xml:space="preserve">Tak – 1; </w:t>
            </w:r>
            <w:r w:rsidR="009126D5" w:rsidRPr="009B78DA">
              <w:rPr>
                <w:rFonts w:ascii="Arial" w:hAnsi="Arial" w:cs="Arial"/>
                <w:color w:val="000000" w:themeColor="text1"/>
                <w:sz w:val="22"/>
                <w:szCs w:val="22"/>
              </w:rPr>
              <w:t>Nie - 0</w:t>
            </w:r>
          </w:p>
        </w:tc>
      </w:tr>
      <w:tr w:rsidR="00A16B5E" w:rsidRPr="009B78DA" w14:paraId="20AF766A" w14:textId="77777777" w:rsidTr="00550484">
        <w:trPr>
          <w:trHeight w:val="425"/>
        </w:trPr>
        <w:tc>
          <w:tcPr>
            <w:tcW w:w="2109" w:type="pct"/>
            <w:vMerge w:val="restart"/>
            <w:vAlign w:val="center"/>
          </w:tcPr>
          <w:p w14:paraId="1304099D"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Poprawa oferty przewozowej</w:t>
            </w:r>
          </w:p>
        </w:tc>
        <w:tc>
          <w:tcPr>
            <w:tcW w:w="1720" w:type="pct"/>
            <w:vAlign w:val="center"/>
          </w:tcPr>
          <w:p w14:paraId="1CF17B8B"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Zwiększenie ilości pociągów</w:t>
            </w:r>
          </w:p>
        </w:tc>
        <w:tc>
          <w:tcPr>
            <w:tcW w:w="626" w:type="pct"/>
            <w:vAlign w:val="center"/>
          </w:tcPr>
          <w:p w14:paraId="771D3D1D" w14:textId="77777777" w:rsidR="009126D5" w:rsidRPr="009B78DA" w:rsidRDefault="009126D5" w:rsidP="00550484">
            <w:pPr>
              <w:jc w:val="center"/>
              <w:rPr>
                <w:rFonts w:ascii="Arial" w:hAnsi="Arial" w:cs="Arial"/>
                <w:color w:val="000000" w:themeColor="text1"/>
                <w:sz w:val="22"/>
                <w:szCs w:val="22"/>
              </w:rPr>
            </w:pPr>
          </w:p>
        </w:tc>
        <w:tc>
          <w:tcPr>
            <w:tcW w:w="545" w:type="pct"/>
            <w:vAlign w:val="center"/>
          </w:tcPr>
          <w:p w14:paraId="37BE7586" w14:textId="77777777" w:rsidR="009126D5" w:rsidRPr="009B78DA" w:rsidRDefault="009126D5" w:rsidP="00550484">
            <w:pPr>
              <w:jc w:val="center"/>
              <w:rPr>
                <w:rFonts w:ascii="Arial" w:hAnsi="Arial" w:cs="Arial"/>
                <w:color w:val="000000" w:themeColor="text1"/>
                <w:sz w:val="22"/>
                <w:szCs w:val="22"/>
              </w:rPr>
            </w:pPr>
          </w:p>
        </w:tc>
      </w:tr>
      <w:tr w:rsidR="00A16B5E" w:rsidRPr="009B78DA" w14:paraId="0BD1EA88" w14:textId="77777777" w:rsidTr="00550484">
        <w:trPr>
          <w:trHeight w:val="425"/>
        </w:trPr>
        <w:tc>
          <w:tcPr>
            <w:tcW w:w="2109" w:type="pct"/>
            <w:vMerge/>
            <w:vAlign w:val="center"/>
          </w:tcPr>
          <w:p w14:paraId="065E8718" w14:textId="77777777" w:rsidR="009126D5" w:rsidRPr="009B78DA" w:rsidRDefault="009126D5" w:rsidP="00550484">
            <w:pPr>
              <w:jc w:val="center"/>
              <w:rPr>
                <w:rFonts w:ascii="Arial" w:hAnsi="Arial" w:cs="Arial"/>
                <w:color w:val="000000" w:themeColor="text1"/>
                <w:sz w:val="22"/>
                <w:szCs w:val="22"/>
              </w:rPr>
            </w:pPr>
          </w:p>
        </w:tc>
        <w:tc>
          <w:tcPr>
            <w:tcW w:w="1720" w:type="pct"/>
            <w:vAlign w:val="center"/>
          </w:tcPr>
          <w:p w14:paraId="73715B3D" w14:textId="62A32819"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Skrócenie czasu przejazdu eliminowanie przesiadek</w:t>
            </w:r>
          </w:p>
        </w:tc>
        <w:tc>
          <w:tcPr>
            <w:tcW w:w="626" w:type="pct"/>
            <w:vAlign w:val="center"/>
          </w:tcPr>
          <w:p w14:paraId="5EC623DA" w14:textId="77777777" w:rsidR="009126D5" w:rsidRPr="009B78DA" w:rsidRDefault="009126D5" w:rsidP="00550484">
            <w:pPr>
              <w:jc w:val="center"/>
              <w:rPr>
                <w:rFonts w:ascii="Arial" w:hAnsi="Arial" w:cs="Arial"/>
                <w:color w:val="000000" w:themeColor="text1"/>
                <w:sz w:val="22"/>
                <w:szCs w:val="22"/>
              </w:rPr>
            </w:pPr>
          </w:p>
        </w:tc>
        <w:tc>
          <w:tcPr>
            <w:tcW w:w="545" w:type="pct"/>
            <w:vAlign w:val="center"/>
          </w:tcPr>
          <w:p w14:paraId="725A433A" w14:textId="77777777" w:rsidR="009126D5" w:rsidRPr="009B78DA" w:rsidRDefault="009126D5" w:rsidP="00550484">
            <w:pPr>
              <w:jc w:val="center"/>
              <w:rPr>
                <w:rFonts w:ascii="Arial" w:hAnsi="Arial" w:cs="Arial"/>
                <w:color w:val="000000" w:themeColor="text1"/>
                <w:sz w:val="22"/>
                <w:szCs w:val="22"/>
              </w:rPr>
            </w:pPr>
          </w:p>
        </w:tc>
      </w:tr>
      <w:tr w:rsidR="00A16B5E" w:rsidRPr="009B78DA" w14:paraId="3920F2B1" w14:textId="77777777" w:rsidTr="00550484">
        <w:trPr>
          <w:trHeight w:val="425"/>
        </w:trPr>
        <w:tc>
          <w:tcPr>
            <w:tcW w:w="2109" w:type="pct"/>
            <w:vMerge/>
            <w:vAlign w:val="center"/>
          </w:tcPr>
          <w:p w14:paraId="0F1F0A99" w14:textId="77777777" w:rsidR="009126D5" w:rsidRPr="009B78DA" w:rsidRDefault="009126D5" w:rsidP="00550484">
            <w:pPr>
              <w:jc w:val="center"/>
              <w:rPr>
                <w:rFonts w:ascii="Arial" w:hAnsi="Arial" w:cs="Arial"/>
                <w:color w:val="000000" w:themeColor="text1"/>
                <w:sz w:val="22"/>
                <w:szCs w:val="22"/>
              </w:rPr>
            </w:pPr>
          </w:p>
        </w:tc>
        <w:tc>
          <w:tcPr>
            <w:tcW w:w="1720" w:type="pct"/>
            <w:vAlign w:val="center"/>
          </w:tcPr>
          <w:p w14:paraId="34E642FC" w14:textId="77777777" w:rsidR="009126D5" w:rsidRPr="009B78DA" w:rsidRDefault="009126D5" w:rsidP="00550484">
            <w:pPr>
              <w:jc w:val="center"/>
              <w:rPr>
                <w:rFonts w:ascii="Arial" w:hAnsi="Arial" w:cs="Arial"/>
                <w:color w:val="000000" w:themeColor="text1"/>
                <w:sz w:val="22"/>
                <w:szCs w:val="22"/>
              </w:rPr>
            </w:pPr>
          </w:p>
        </w:tc>
        <w:tc>
          <w:tcPr>
            <w:tcW w:w="626" w:type="pct"/>
            <w:vAlign w:val="center"/>
          </w:tcPr>
          <w:p w14:paraId="00A48841" w14:textId="77777777" w:rsidR="009126D5" w:rsidRPr="009B78DA" w:rsidRDefault="009126D5" w:rsidP="00550484">
            <w:pPr>
              <w:jc w:val="center"/>
              <w:rPr>
                <w:rFonts w:ascii="Arial" w:hAnsi="Arial" w:cs="Arial"/>
                <w:color w:val="000000" w:themeColor="text1"/>
                <w:sz w:val="22"/>
                <w:szCs w:val="22"/>
              </w:rPr>
            </w:pPr>
          </w:p>
        </w:tc>
        <w:tc>
          <w:tcPr>
            <w:tcW w:w="545" w:type="pct"/>
            <w:vAlign w:val="center"/>
          </w:tcPr>
          <w:p w14:paraId="430BDCC3" w14:textId="77777777" w:rsidR="009126D5" w:rsidRPr="009B78DA" w:rsidRDefault="009126D5" w:rsidP="00550484">
            <w:pPr>
              <w:jc w:val="center"/>
              <w:rPr>
                <w:rFonts w:ascii="Arial" w:hAnsi="Arial" w:cs="Arial"/>
                <w:color w:val="000000" w:themeColor="text1"/>
                <w:sz w:val="22"/>
                <w:szCs w:val="22"/>
              </w:rPr>
            </w:pPr>
          </w:p>
        </w:tc>
      </w:tr>
    </w:tbl>
    <w:p w14:paraId="400B4B0A" w14:textId="3D514781" w:rsidR="009126D5" w:rsidRPr="009B78DA" w:rsidRDefault="009126D5" w:rsidP="00550484">
      <w:pPr>
        <w:spacing w:before="120" w:after="0"/>
        <w:ind w:firstLine="709"/>
        <w:rPr>
          <w:rFonts w:ascii="Arial" w:hAnsi="Arial" w:cs="Arial"/>
          <w:color w:val="000000" w:themeColor="text1"/>
          <w:sz w:val="22"/>
          <w:szCs w:val="22"/>
        </w:rPr>
      </w:pPr>
      <w:r w:rsidRPr="009B78DA">
        <w:rPr>
          <w:rFonts w:ascii="Arial" w:hAnsi="Arial" w:cs="Arial"/>
          <w:color w:val="000000" w:themeColor="text1"/>
          <w:sz w:val="22"/>
          <w:szCs w:val="22"/>
        </w:rPr>
        <w:t>Poprawa oferty przewozowej  poprzez zwiększeni</w:t>
      </w:r>
      <w:r w:rsidR="00550484">
        <w:rPr>
          <w:rFonts w:ascii="Arial" w:hAnsi="Arial" w:cs="Arial"/>
          <w:color w:val="000000" w:themeColor="text1"/>
          <w:sz w:val="22"/>
          <w:szCs w:val="22"/>
        </w:rPr>
        <w:t xml:space="preserve">e ilości pociągów, zwiększenie </w:t>
      </w:r>
      <w:r w:rsidRPr="009B78DA">
        <w:rPr>
          <w:rFonts w:ascii="Arial" w:hAnsi="Arial" w:cs="Arial"/>
          <w:color w:val="000000" w:themeColor="text1"/>
          <w:sz w:val="22"/>
          <w:szCs w:val="22"/>
        </w:rPr>
        <w:t>częstotliwości ich kursowania bądź uruchomienia nowych pociągów - wznowienie kursowania na liniach odbudowywanych np. L102, L10</w:t>
      </w:r>
      <w:r w:rsidR="00550484">
        <w:rPr>
          <w:rFonts w:ascii="Arial" w:hAnsi="Arial" w:cs="Arial"/>
          <w:color w:val="000000" w:themeColor="text1"/>
          <w:sz w:val="22"/>
          <w:szCs w:val="22"/>
        </w:rPr>
        <w:t>8 – wymaga dodatkowych pojazdów</w:t>
      </w:r>
    </w:p>
    <w:p w14:paraId="24974DD4" w14:textId="2F30742D" w:rsidR="009126D5" w:rsidRPr="009B78DA" w:rsidRDefault="009126D5" w:rsidP="00550484">
      <w:pPr>
        <w:spacing w:after="0"/>
        <w:ind w:firstLine="709"/>
        <w:rPr>
          <w:rFonts w:ascii="Arial" w:hAnsi="Arial" w:cs="Arial"/>
          <w:color w:val="000000" w:themeColor="text1"/>
          <w:sz w:val="22"/>
          <w:szCs w:val="22"/>
        </w:rPr>
      </w:pPr>
      <w:r w:rsidRPr="009B78DA">
        <w:rPr>
          <w:rFonts w:ascii="Arial" w:hAnsi="Arial" w:cs="Arial"/>
          <w:color w:val="000000" w:themeColor="text1"/>
          <w:sz w:val="22"/>
          <w:szCs w:val="22"/>
        </w:rPr>
        <w:t>W związku ze znacznym udziałem w województwie podkarpackim linii kolejowych niezelektryfikowanych – zakup taboru z napędem umożliwiającym  jazdę zarówno na liniach zelektryfikowanych jak  i niezelektryfikowanych np. wodorowych, pozwoli skrócić czas jazdy poprzez wyeliminowanie cz</w:t>
      </w:r>
      <w:r w:rsidR="00550484">
        <w:rPr>
          <w:rFonts w:ascii="Arial" w:hAnsi="Arial" w:cs="Arial"/>
          <w:color w:val="000000" w:themeColor="text1"/>
          <w:sz w:val="22"/>
          <w:szCs w:val="22"/>
        </w:rPr>
        <w:t>asu na konieczne przesiadki.</w:t>
      </w:r>
    </w:p>
    <w:tbl>
      <w:tblPr>
        <w:tblStyle w:val="Tabela-Siatka1"/>
        <w:tblW w:w="0" w:type="auto"/>
        <w:tblLook w:val="04A0" w:firstRow="1" w:lastRow="0" w:firstColumn="1" w:lastColumn="0" w:noHBand="0" w:noVBand="1"/>
        <w:tblCaption w:val="Kryteria wyboru projektów taborowych"/>
        <w:tblDescription w:val="Tabela zawiera Kryterium, Działanie, Punktacja: Tak – 1;  Nie - 0"/>
      </w:tblPr>
      <w:tblGrid>
        <w:gridCol w:w="3823"/>
        <w:gridCol w:w="3118"/>
        <w:gridCol w:w="1134"/>
        <w:gridCol w:w="987"/>
      </w:tblGrid>
      <w:tr w:rsidR="00A16B5E" w:rsidRPr="009B78DA" w14:paraId="7180392D" w14:textId="77777777" w:rsidTr="00550484">
        <w:trPr>
          <w:trHeight w:val="425"/>
          <w:tblHeader/>
        </w:trPr>
        <w:tc>
          <w:tcPr>
            <w:tcW w:w="3823" w:type="dxa"/>
            <w:shd w:val="clear" w:color="auto" w:fill="DEEAF6" w:themeFill="accent1" w:themeFillTint="33"/>
            <w:vAlign w:val="center"/>
          </w:tcPr>
          <w:p w14:paraId="5B9190BC"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Kryterium</w:t>
            </w:r>
          </w:p>
        </w:tc>
        <w:tc>
          <w:tcPr>
            <w:tcW w:w="3118" w:type="dxa"/>
            <w:shd w:val="clear" w:color="auto" w:fill="DEEAF6" w:themeFill="accent1" w:themeFillTint="33"/>
            <w:vAlign w:val="center"/>
          </w:tcPr>
          <w:p w14:paraId="7A6A6A83"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Działanie</w:t>
            </w:r>
          </w:p>
        </w:tc>
        <w:tc>
          <w:tcPr>
            <w:tcW w:w="2121" w:type="dxa"/>
            <w:gridSpan w:val="2"/>
            <w:shd w:val="clear" w:color="auto" w:fill="DEEAF6" w:themeFill="accent1" w:themeFillTint="33"/>
            <w:vAlign w:val="center"/>
          </w:tcPr>
          <w:p w14:paraId="12D787C5" w14:textId="58A411FD" w:rsidR="009126D5" w:rsidRPr="009B78DA" w:rsidRDefault="00550484" w:rsidP="00550484">
            <w:pPr>
              <w:jc w:val="center"/>
              <w:rPr>
                <w:rFonts w:ascii="Arial" w:hAnsi="Arial" w:cs="Arial"/>
                <w:color w:val="000000" w:themeColor="text1"/>
                <w:sz w:val="22"/>
                <w:szCs w:val="22"/>
              </w:rPr>
            </w:pPr>
            <w:r>
              <w:rPr>
                <w:rFonts w:ascii="Arial" w:hAnsi="Arial" w:cs="Arial"/>
                <w:color w:val="000000" w:themeColor="text1"/>
                <w:sz w:val="22"/>
                <w:szCs w:val="22"/>
              </w:rPr>
              <w:t xml:space="preserve">Punktacja: </w:t>
            </w:r>
            <w:r>
              <w:rPr>
                <w:rFonts w:ascii="Arial" w:hAnsi="Arial" w:cs="Arial"/>
                <w:color w:val="000000" w:themeColor="text1"/>
                <w:sz w:val="22"/>
                <w:szCs w:val="22"/>
              </w:rPr>
              <w:br/>
              <w:t xml:space="preserve">Tak – 1; </w:t>
            </w:r>
            <w:r w:rsidR="009126D5" w:rsidRPr="009B78DA">
              <w:rPr>
                <w:rFonts w:ascii="Arial" w:hAnsi="Arial" w:cs="Arial"/>
                <w:color w:val="000000" w:themeColor="text1"/>
                <w:sz w:val="22"/>
                <w:szCs w:val="22"/>
              </w:rPr>
              <w:t>Nie - 0</w:t>
            </w:r>
          </w:p>
        </w:tc>
      </w:tr>
      <w:tr w:rsidR="00A16B5E" w:rsidRPr="009B78DA" w14:paraId="2EED7209" w14:textId="77777777" w:rsidTr="00550484">
        <w:trPr>
          <w:trHeight w:val="425"/>
        </w:trPr>
        <w:tc>
          <w:tcPr>
            <w:tcW w:w="3823" w:type="dxa"/>
            <w:vMerge w:val="restart"/>
            <w:vAlign w:val="center"/>
          </w:tcPr>
          <w:p w14:paraId="5F1E5E6B"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Poprawa dostępności transportem publicznym</w:t>
            </w:r>
          </w:p>
        </w:tc>
        <w:tc>
          <w:tcPr>
            <w:tcW w:w="3118" w:type="dxa"/>
            <w:vAlign w:val="center"/>
          </w:tcPr>
          <w:p w14:paraId="2B191E71" w14:textId="23A1A8EF"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Zakup taboru o większej pojemności miejsc siedzących – godziny szczytu</w:t>
            </w:r>
          </w:p>
        </w:tc>
        <w:tc>
          <w:tcPr>
            <w:tcW w:w="1134" w:type="dxa"/>
            <w:vAlign w:val="center"/>
          </w:tcPr>
          <w:p w14:paraId="7DB19A48" w14:textId="77777777" w:rsidR="009126D5" w:rsidRPr="009B78DA" w:rsidRDefault="009126D5" w:rsidP="00550484">
            <w:pPr>
              <w:jc w:val="center"/>
              <w:rPr>
                <w:rFonts w:ascii="Arial" w:hAnsi="Arial" w:cs="Arial"/>
                <w:color w:val="000000" w:themeColor="text1"/>
                <w:sz w:val="22"/>
                <w:szCs w:val="22"/>
              </w:rPr>
            </w:pPr>
          </w:p>
        </w:tc>
        <w:tc>
          <w:tcPr>
            <w:tcW w:w="987" w:type="dxa"/>
            <w:vAlign w:val="center"/>
          </w:tcPr>
          <w:p w14:paraId="2178B611" w14:textId="77777777" w:rsidR="009126D5" w:rsidRPr="009B78DA" w:rsidRDefault="009126D5" w:rsidP="00550484">
            <w:pPr>
              <w:jc w:val="center"/>
              <w:rPr>
                <w:rFonts w:ascii="Arial" w:hAnsi="Arial" w:cs="Arial"/>
                <w:color w:val="000000" w:themeColor="text1"/>
                <w:sz w:val="22"/>
                <w:szCs w:val="22"/>
              </w:rPr>
            </w:pPr>
          </w:p>
        </w:tc>
      </w:tr>
      <w:tr w:rsidR="00A16B5E" w:rsidRPr="009B78DA" w14:paraId="1B0B632A" w14:textId="77777777" w:rsidTr="00550484">
        <w:trPr>
          <w:trHeight w:val="425"/>
        </w:trPr>
        <w:tc>
          <w:tcPr>
            <w:tcW w:w="3823" w:type="dxa"/>
            <w:vMerge/>
            <w:vAlign w:val="center"/>
          </w:tcPr>
          <w:p w14:paraId="663C7E29" w14:textId="77777777" w:rsidR="009126D5" w:rsidRPr="009B78DA" w:rsidRDefault="009126D5" w:rsidP="00550484">
            <w:pPr>
              <w:jc w:val="center"/>
              <w:rPr>
                <w:rFonts w:ascii="Arial" w:hAnsi="Arial" w:cs="Arial"/>
                <w:color w:val="000000" w:themeColor="text1"/>
                <w:sz w:val="22"/>
                <w:szCs w:val="22"/>
              </w:rPr>
            </w:pPr>
          </w:p>
        </w:tc>
        <w:tc>
          <w:tcPr>
            <w:tcW w:w="3118" w:type="dxa"/>
            <w:vAlign w:val="center"/>
          </w:tcPr>
          <w:p w14:paraId="39C0E242" w14:textId="77777777" w:rsidR="009126D5" w:rsidRPr="009B78DA" w:rsidRDefault="009126D5" w:rsidP="00550484">
            <w:pPr>
              <w:jc w:val="center"/>
              <w:rPr>
                <w:rFonts w:ascii="Arial" w:hAnsi="Arial" w:cs="Arial"/>
                <w:color w:val="000000" w:themeColor="text1"/>
                <w:sz w:val="22"/>
                <w:szCs w:val="22"/>
              </w:rPr>
            </w:pPr>
          </w:p>
        </w:tc>
        <w:tc>
          <w:tcPr>
            <w:tcW w:w="1134" w:type="dxa"/>
            <w:vAlign w:val="center"/>
          </w:tcPr>
          <w:p w14:paraId="37B4BF04" w14:textId="77777777" w:rsidR="009126D5" w:rsidRPr="009B78DA" w:rsidRDefault="009126D5" w:rsidP="00550484">
            <w:pPr>
              <w:jc w:val="center"/>
              <w:rPr>
                <w:rFonts w:ascii="Arial" w:hAnsi="Arial" w:cs="Arial"/>
                <w:color w:val="000000" w:themeColor="text1"/>
                <w:sz w:val="22"/>
                <w:szCs w:val="22"/>
              </w:rPr>
            </w:pPr>
          </w:p>
        </w:tc>
        <w:tc>
          <w:tcPr>
            <w:tcW w:w="987" w:type="dxa"/>
            <w:vAlign w:val="center"/>
          </w:tcPr>
          <w:p w14:paraId="2C10C968" w14:textId="77777777" w:rsidR="009126D5" w:rsidRPr="009B78DA" w:rsidRDefault="009126D5" w:rsidP="00550484">
            <w:pPr>
              <w:jc w:val="center"/>
              <w:rPr>
                <w:rFonts w:ascii="Arial" w:hAnsi="Arial" w:cs="Arial"/>
                <w:color w:val="000000" w:themeColor="text1"/>
                <w:sz w:val="22"/>
                <w:szCs w:val="22"/>
              </w:rPr>
            </w:pPr>
          </w:p>
        </w:tc>
      </w:tr>
      <w:tr w:rsidR="00A16B5E" w:rsidRPr="009B78DA" w14:paraId="0E9ACB02" w14:textId="77777777" w:rsidTr="00550484">
        <w:trPr>
          <w:trHeight w:val="425"/>
        </w:trPr>
        <w:tc>
          <w:tcPr>
            <w:tcW w:w="3823" w:type="dxa"/>
            <w:vMerge/>
            <w:vAlign w:val="center"/>
          </w:tcPr>
          <w:p w14:paraId="1EE80792" w14:textId="77777777" w:rsidR="009126D5" w:rsidRPr="009B78DA" w:rsidRDefault="009126D5" w:rsidP="00550484">
            <w:pPr>
              <w:jc w:val="center"/>
              <w:rPr>
                <w:rFonts w:ascii="Arial" w:hAnsi="Arial" w:cs="Arial"/>
                <w:color w:val="000000" w:themeColor="text1"/>
                <w:sz w:val="22"/>
                <w:szCs w:val="22"/>
              </w:rPr>
            </w:pPr>
          </w:p>
        </w:tc>
        <w:tc>
          <w:tcPr>
            <w:tcW w:w="3118" w:type="dxa"/>
            <w:vAlign w:val="center"/>
          </w:tcPr>
          <w:p w14:paraId="46772030" w14:textId="77777777" w:rsidR="009126D5" w:rsidRPr="009B78DA" w:rsidRDefault="009126D5" w:rsidP="00550484">
            <w:pPr>
              <w:jc w:val="center"/>
              <w:rPr>
                <w:rFonts w:ascii="Arial" w:hAnsi="Arial" w:cs="Arial"/>
                <w:color w:val="000000" w:themeColor="text1"/>
                <w:sz w:val="22"/>
                <w:szCs w:val="22"/>
              </w:rPr>
            </w:pPr>
          </w:p>
        </w:tc>
        <w:tc>
          <w:tcPr>
            <w:tcW w:w="1134" w:type="dxa"/>
            <w:vAlign w:val="center"/>
          </w:tcPr>
          <w:p w14:paraId="631ABB76" w14:textId="77777777" w:rsidR="009126D5" w:rsidRPr="009B78DA" w:rsidRDefault="009126D5" w:rsidP="00550484">
            <w:pPr>
              <w:jc w:val="center"/>
              <w:rPr>
                <w:rFonts w:ascii="Arial" w:hAnsi="Arial" w:cs="Arial"/>
                <w:color w:val="000000" w:themeColor="text1"/>
                <w:sz w:val="22"/>
                <w:szCs w:val="22"/>
              </w:rPr>
            </w:pPr>
          </w:p>
        </w:tc>
        <w:tc>
          <w:tcPr>
            <w:tcW w:w="987" w:type="dxa"/>
            <w:vAlign w:val="center"/>
          </w:tcPr>
          <w:p w14:paraId="13967889" w14:textId="77777777" w:rsidR="009126D5" w:rsidRPr="009B78DA" w:rsidRDefault="009126D5" w:rsidP="00550484">
            <w:pPr>
              <w:jc w:val="center"/>
              <w:rPr>
                <w:rFonts w:ascii="Arial" w:hAnsi="Arial" w:cs="Arial"/>
                <w:color w:val="000000" w:themeColor="text1"/>
                <w:sz w:val="22"/>
                <w:szCs w:val="22"/>
              </w:rPr>
            </w:pPr>
          </w:p>
        </w:tc>
      </w:tr>
    </w:tbl>
    <w:p w14:paraId="636AB7C8" w14:textId="7DDB28DC" w:rsidR="009126D5" w:rsidRPr="009B78DA" w:rsidRDefault="009126D5" w:rsidP="00550484">
      <w:pPr>
        <w:spacing w:before="120" w:after="120"/>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celu poprawy jakości usług i dostępności  dostrzega się konieczność zakupu taboru o większych pojemnościach od obecnie posiadanych. Przykładowo w godzinach szczytu na linii 91 w relacji Rzeszów – Przemyśl obserwowana frekwencja dochodzi obecnie do granic dopuszczalnych wielkości. Należy mieć na uwadze, że pociągami tymi przemieszczają się osoby wracające z pracy, którym towarzyszy uczucie zmęczenia </w:t>
      </w:r>
      <w:r w:rsidR="00977F2D" w:rsidRPr="009B78DA">
        <w:rPr>
          <w:rFonts w:ascii="Arial" w:hAnsi="Arial" w:cs="Arial"/>
          <w:color w:val="000000" w:themeColor="text1"/>
          <w:sz w:val="22"/>
          <w:szCs w:val="22"/>
        </w:rPr>
        <w:t xml:space="preserve">i </w:t>
      </w:r>
      <w:r w:rsidRPr="009B78DA">
        <w:rPr>
          <w:rFonts w:ascii="Arial" w:hAnsi="Arial" w:cs="Arial"/>
          <w:color w:val="000000" w:themeColor="text1"/>
          <w:sz w:val="22"/>
          <w:szCs w:val="22"/>
        </w:rPr>
        <w:t>spędzają</w:t>
      </w:r>
      <w:r w:rsidR="00977F2D" w:rsidRPr="009B78DA">
        <w:rPr>
          <w:rFonts w:ascii="Arial" w:hAnsi="Arial" w:cs="Arial"/>
          <w:color w:val="000000" w:themeColor="text1"/>
          <w:sz w:val="22"/>
          <w:szCs w:val="22"/>
        </w:rPr>
        <w:t xml:space="preserve"> one</w:t>
      </w:r>
      <w:r w:rsidRPr="009B78DA">
        <w:rPr>
          <w:rFonts w:ascii="Arial" w:hAnsi="Arial" w:cs="Arial"/>
          <w:color w:val="000000" w:themeColor="text1"/>
          <w:sz w:val="22"/>
          <w:szCs w:val="22"/>
        </w:rPr>
        <w:t xml:space="preserve"> znaczną część podróży w pozycji stojącej – co zgodnie z normą do 4 osób na 1m</w:t>
      </w:r>
      <w:r w:rsidR="006877E2" w:rsidRPr="009B78DA">
        <w:rPr>
          <w:rFonts w:ascii="Arial" w:hAnsi="Arial" w:cs="Arial"/>
          <w:color w:val="000000" w:themeColor="text1"/>
          <w:sz w:val="22"/>
          <w:szCs w:val="22"/>
          <w:vertAlign w:val="superscript"/>
        </w:rPr>
        <w:t>2</w:t>
      </w:r>
      <w:r w:rsidRPr="009B78DA">
        <w:rPr>
          <w:rFonts w:ascii="Arial" w:hAnsi="Arial" w:cs="Arial"/>
          <w:color w:val="000000" w:themeColor="text1"/>
          <w:sz w:val="22"/>
          <w:szCs w:val="22"/>
        </w:rPr>
        <w:t xml:space="preserve"> jest dopuszczalne. Utrzymujący się trend wysokiej frekwencji </w:t>
      </w:r>
      <w:r w:rsidR="006877E2" w:rsidRPr="009B78DA">
        <w:rPr>
          <w:rFonts w:ascii="Arial" w:hAnsi="Arial" w:cs="Arial"/>
          <w:color w:val="000000" w:themeColor="text1"/>
          <w:sz w:val="22"/>
          <w:szCs w:val="22"/>
        </w:rPr>
        <w:t>może stanowić podstawę</w:t>
      </w:r>
      <w:r w:rsidRPr="009B78DA">
        <w:rPr>
          <w:rFonts w:ascii="Arial" w:hAnsi="Arial" w:cs="Arial"/>
          <w:color w:val="000000" w:themeColor="text1"/>
          <w:sz w:val="22"/>
          <w:szCs w:val="22"/>
        </w:rPr>
        <w:t xml:space="preserve"> do realizacji zakup</w:t>
      </w:r>
      <w:r w:rsidR="00550484">
        <w:rPr>
          <w:rFonts w:ascii="Arial" w:hAnsi="Arial" w:cs="Arial"/>
          <w:color w:val="000000" w:themeColor="text1"/>
          <w:sz w:val="22"/>
          <w:szCs w:val="22"/>
        </w:rPr>
        <w:t>u taboru o większej pojemności.</w:t>
      </w:r>
    </w:p>
    <w:tbl>
      <w:tblPr>
        <w:tblStyle w:val="Tabela-Siatka1"/>
        <w:tblW w:w="0" w:type="auto"/>
        <w:tblLook w:val="04A0" w:firstRow="1" w:lastRow="0" w:firstColumn="1" w:lastColumn="0" w:noHBand="0" w:noVBand="1"/>
        <w:tblCaption w:val="Kryteria wyboru projektów taborowych"/>
        <w:tblDescription w:val="Tabela zawiera Kryterium, Działanie, Punktacja: Tak – 1;  Nie - 0"/>
      </w:tblPr>
      <w:tblGrid>
        <w:gridCol w:w="3823"/>
        <w:gridCol w:w="3118"/>
        <w:gridCol w:w="1134"/>
        <w:gridCol w:w="987"/>
      </w:tblGrid>
      <w:tr w:rsidR="00A16B5E" w:rsidRPr="009B78DA" w14:paraId="75654868" w14:textId="77777777" w:rsidTr="0099520C">
        <w:trPr>
          <w:trHeight w:val="425"/>
          <w:tblHeader/>
        </w:trPr>
        <w:tc>
          <w:tcPr>
            <w:tcW w:w="3823" w:type="dxa"/>
            <w:shd w:val="clear" w:color="auto" w:fill="DEEAF6" w:themeFill="accent1" w:themeFillTint="33"/>
            <w:vAlign w:val="center"/>
          </w:tcPr>
          <w:p w14:paraId="10196C5E"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Kryterium</w:t>
            </w:r>
          </w:p>
        </w:tc>
        <w:tc>
          <w:tcPr>
            <w:tcW w:w="3118" w:type="dxa"/>
            <w:shd w:val="clear" w:color="auto" w:fill="DEEAF6" w:themeFill="accent1" w:themeFillTint="33"/>
            <w:vAlign w:val="center"/>
          </w:tcPr>
          <w:p w14:paraId="3A5F1D87"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Działanie</w:t>
            </w:r>
          </w:p>
        </w:tc>
        <w:tc>
          <w:tcPr>
            <w:tcW w:w="2121" w:type="dxa"/>
            <w:gridSpan w:val="2"/>
            <w:shd w:val="clear" w:color="auto" w:fill="DEEAF6" w:themeFill="accent1" w:themeFillTint="33"/>
            <w:vAlign w:val="center"/>
          </w:tcPr>
          <w:p w14:paraId="0DB50AA0" w14:textId="578DA904" w:rsidR="009126D5" w:rsidRPr="009B78DA" w:rsidRDefault="00550484" w:rsidP="00550484">
            <w:pPr>
              <w:jc w:val="center"/>
              <w:rPr>
                <w:rFonts w:ascii="Arial" w:hAnsi="Arial" w:cs="Arial"/>
                <w:color w:val="000000" w:themeColor="text1"/>
                <w:sz w:val="22"/>
                <w:szCs w:val="22"/>
              </w:rPr>
            </w:pPr>
            <w:r>
              <w:rPr>
                <w:rFonts w:ascii="Arial" w:hAnsi="Arial" w:cs="Arial"/>
                <w:color w:val="000000" w:themeColor="text1"/>
                <w:sz w:val="22"/>
                <w:szCs w:val="22"/>
              </w:rPr>
              <w:t xml:space="preserve">Punktacja: </w:t>
            </w:r>
            <w:r>
              <w:rPr>
                <w:rFonts w:ascii="Arial" w:hAnsi="Arial" w:cs="Arial"/>
                <w:color w:val="000000" w:themeColor="text1"/>
                <w:sz w:val="22"/>
                <w:szCs w:val="22"/>
              </w:rPr>
              <w:br/>
              <w:t xml:space="preserve">Tak – 1; </w:t>
            </w:r>
            <w:r w:rsidR="009126D5" w:rsidRPr="009B78DA">
              <w:rPr>
                <w:rFonts w:ascii="Arial" w:hAnsi="Arial" w:cs="Arial"/>
                <w:color w:val="000000" w:themeColor="text1"/>
                <w:sz w:val="22"/>
                <w:szCs w:val="22"/>
              </w:rPr>
              <w:t>Nie - 0</w:t>
            </w:r>
          </w:p>
        </w:tc>
      </w:tr>
      <w:tr w:rsidR="00A16B5E" w:rsidRPr="009B78DA" w14:paraId="078747F7" w14:textId="77777777" w:rsidTr="00550484">
        <w:trPr>
          <w:trHeight w:val="425"/>
        </w:trPr>
        <w:tc>
          <w:tcPr>
            <w:tcW w:w="3823" w:type="dxa"/>
            <w:vMerge w:val="restart"/>
            <w:vAlign w:val="center"/>
          </w:tcPr>
          <w:p w14:paraId="4997A508"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Zmniejszenie wpływu transportu na środowisko</w:t>
            </w:r>
          </w:p>
        </w:tc>
        <w:tc>
          <w:tcPr>
            <w:tcW w:w="3118" w:type="dxa"/>
            <w:vAlign w:val="center"/>
          </w:tcPr>
          <w:p w14:paraId="59A3096F"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Zastosowanie technologii zmniejszającej oddziaływanie na środowisko</w:t>
            </w:r>
          </w:p>
        </w:tc>
        <w:tc>
          <w:tcPr>
            <w:tcW w:w="1134" w:type="dxa"/>
            <w:vAlign w:val="center"/>
          </w:tcPr>
          <w:p w14:paraId="5EADC5E2" w14:textId="77777777" w:rsidR="009126D5" w:rsidRPr="009B78DA" w:rsidRDefault="009126D5" w:rsidP="00550484">
            <w:pPr>
              <w:jc w:val="center"/>
              <w:rPr>
                <w:rFonts w:ascii="Arial" w:hAnsi="Arial" w:cs="Arial"/>
                <w:color w:val="000000" w:themeColor="text1"/>
                <w:sz w:val="22"/>
                <w:szCs w:val="22"/>
              </w:rPr>
            </w:pPr>
          </w:p>
        </w:tc>
        <w:tc>
          <w:tcPr>
            <w:tcW w:w="987" w:type="dxa"/>
            <w:vAlign w:val="center"/>
          </w:tcPr>
          <w:p w14:paraId="4B8D51C8" w14:textId="77777777" w:rsidR="009126D5" w:rsidRPr="009B78DA" w:rsidRDefault="009126D5" w:rsidP="00550484">
            <w:pPr>
              <w:jc w:val="center"/>
              <w:rPr>
                <w:rFonts w:ascii="Arial" w:hAnsi="Arial" w:cs="Arial"/>
                <w:color w:val="000000" w:themeColor="text1"/>
                <w:sz w:val="22"/>
                <w:szCs w:val="22"/>
              </w:rPr>
            </w:pPr>
          </w:p>
        </w:tc>
      </w:tr>
      <w:tr w:rsidR="00A16B5E" w:rsidRPr="009B78DA" w14:paraId="61355DC9" w14:textId="77777777" w:rsidTr="00550484">
        <w:trPr>
          <w:trHeight w:val="425"/>
        </w:trPr>
        <w:tc>
          <w:tcPr>
            <w:tcW w:w="3823" w:type="dxa"/>
            <w:vMerge/>
            <w:vAlign w:val="center"/>
          </w:tcPr>
          <w:p w14:paraId="6BE08E31" w14:textId="77777777" w:rsidR="009126D5" w:rsidRPr="009B78DA" w:rsidRDefault="009126D5" w:rsidP="00550484">
            <w:pPr>
              <w:jc w:val="center"/>
              <w:rPr>
                <w:rFonts w:ascii="Arial" w:hAnsi="Arial" w:cs="Arial"/>
                <w:color w:val="000000" w:themeColor="text1"/>
                <w:sz w:val="22"/>
                <w:szCs w:val="22"/>
              </w:rPr>
            </w:pPr>
          </w:p>
        </w:tc>
        <w:tc>
          <w:tcPr>
            <w:tcW w:w="3118" w:type="dxa"/>
            <w:vAlign w:val="center"/>
          </w:tcPr>
          <w:p w14:paraId="20BBE83C" w14:textId="77777777" w:rsidR="009126D5" w:rsidRPr="009B78DA" w:rsidRDefault="009126D5" w:rsidP="00550484">
            <w:pPr>
              <w:jc w:val="center"/>
              <w:rPr>
                <w:rFonts w:ascii="Arial" w:hAnsi="Arial" w:cs="Arial"/>
                <w:color w:val="000000" w:themeColor="text1"/>
                <w:sz w:val="22"/>
                <w:szCs w:val="22"/>
              </w:rPr>
            </w:pPr>
          </w:p>
        </w:tc>
        <w:tc>
          <w:tcPr>
            <w:tcW w:w="1134" w:type="dxa"/>
            <w:vAlign w:val="center"/>
          </w:tcPr>
          <w:p w14:paraId="63C91824" w14:textId="77777777" w:rsidR="009126D5" w:rsidRPr="009B78DA" w:rsidRDefault="009126D5" w:rsidP="00550484">
            <w:pPr>
              <w:jc w:val="center"/>
              <w:rPr>
                <w:rFonts w:ascii="Arial" w:hAnsi="Arial" w:cs="Arial"/>
                <w:color w:val="000000" w:themeColor="text1"/>
                <w:sz w:val="22"/>
                <w:szCs w:val="22"/>
              </w:rPr>
            </w:pPr>
          </w:p>
        </w:tc>
        <w:tc>
          <w:tcPr>
            <w:tcW w:w="987" w:type="dxa"/>
            <w:vAlign w:val="center"/>
          </w:tcPr>
          <w:p w14:paraId="34B00ED2" w14:textId="77777777" w:rsidR="009126D5" w:rsidRPr="009B78DA" w:rsidRDefault="009126D5" w:rsidP="00550484">
            <w:pPr>
              <w:jc w:val="center"/>
              <w:rPr>
                <w:rFonts w:ascii="Arial" w:hAnsi="Arial" w:cs="Arial"/>
                <w:color w:val="000000" w:themeColor="text1"/>
                <w:sz w:val="22"/>
                <w:szCs w:val="22"/>
              </w:rPr>
            </w:pPr>
          </w:p>
        </w:tc>
      </w:tr>
      <w:tr w:rsidR="00A16B5E" w:rsidRPr="009B78DA" w14:paraId="34994635" w14:textId="77777777" w:rsidTr="00550484">
        <w:trPr>
          <w:trHeight w:val="425"/>
        </w:trPr>
        <w:tc>
          <w:tcPr>
            <w:tcW w:w="3823" w:type="dxa"/>
            <w:vMerge/>
            <w:vAlign w:val="center"/>
          </w:tcPr>
          <w:p w14:paraId="575BDD82" w14:textId="77777777" w:rsidR="009126D5" w:rsidRPr="009B78DA" w:rsidRDefault="009126D5" w:rsidP="00550484">
            <w:pPr>
              <w:jc w:val="center"/>
              <w:rPr>
                <w:rFonts w:ascii="Arial" w:hAnsi="Arial" w:cs="Arial"/>
                <w:color w:val="000000" w:themeColor="text1"/>
                <w:sz w:val="22"/>
                <w:szCs w:val="22"/>
              </w:rPr>
            </w:pPr>
          </w:p>
        </w:tc>
        <w:tc>
          <w:tcPr>
            <w:tcW w:w="3118" w:type="dxa"/>
            <w:vAlign w:val="center"/>
          </w:tcPr>
          <w:p w14:paraId="7A4D96DF" w14:textId="77777777" w:rsidR="009126D5" w:rsidRPr="009B78DA" w:rsidRDefault="009126D5" w:rsidP="00550484">
            <w:pPr>
              <w:jc w:val="center"/>
              <w:rPr>
                <w:rFonts w:ascii="Arial" w:hAnsi="Arial" w:cs="Arial"/>
                <w:color w:val="000000" w:themeColor="text1"/>
                <w:sz w:val="22"/>
                <w:szCs w:val="22"/>
              </w:rPr>
            </w:pPr>
          </w:p>
        </w:tc>
        <w:tc>
          <w:tcPr>
            <w:tcW w:w="1134" w:type="dxa"/>
            <w:vAlign w:val="center"/>
          </w:tcPr>
          <w:p w14:paraId="0DA1D044" w14:textId="77777777" w:rsidR="009126D5" w:rsidRPr="009B78DA" w:rsidRDefault="009126D5" w:rsidP="00550484">
            <w:pPr>
              <w:jc w:val="center"/>
              <w:rPr>
                <w:rFonts w:ascii="Arial" w:hAnsi="Arial" w:cs="Arial"/>
                <w:color w:val="000000" w:themeColor="text1"/>
                <w:sz w:val="22"/>
                <w:szCs w:val="22"/>
              </w:rPr>
            </w:pPr>
          </w:p>
        </w:tc>
        <w:tc>
          <w:tcPr>
            <w:tcW w:w="987" w:type="dxa"/>
            <w:vAlign w:val="center"/>
          </w:tcPr>
          <w:p w14:paraId="13BF7FDF" w14:textId="77777777" w:rsidR="009126D5" w:rsidRPr="009B78DA" w:rsidRDefault="009126D5" w:rsidP="00550484">
            <w:pPr>
              <w:jc w:val="center"/>
              <w:rPr>
                <w:rFonts w:ascii="Arial" w:hAnsi="Arial" w:cs="Arial"/>
                <w:color w:val="000000" w:themeColor="text1"/>
                <w:sz w:val="22"/>
                <w:szCs w:val="22"/>
              </w:rPr>
            </w:pPr>
          </w:p>
        </w:tc>
      </w:tr>
    </w:tbl>
    <w:p w14:paraId="38195022" w14:textId="0229CEEE" w:rsidR="009126D5" w:rsidRPr="009B78DA" w:rsidRDefault="009126D5" w:rsidP="00550484">
      <w:pPr>
        <w:spacing w:before="120" w:after="0"/>
        <w:ind w:firstLine="709"/>
        <w:rPr>
          <w:rFonts w:ascii="Arial" w:hAnsi="Arial" w:cs="Arial"/>
          <w:color w:val="000000" w:themeColor="text1"/>
          <w:sz w:val="22"/>
          <w:szCs w:val="22"/>
        </w:rPr>
      </w:pPr>
      <w:r w:rsidRPr="009B78DA">
        <w:rPr>
          <w:rFonts w:ascii="Arial" w:hAnsi="Arial" w:cs="Arial"/>
          <w:color w:val="000000" w:themeColor="text1"/>
          <w:sz w:val="22"/>
          <w:szCs w:val="22"/>
        </w:rPr>
        <w:t>Kryterium pozytywnie wpływające na zakup taboru</w:t>
      </w:r>
      <w:r w:rsidR="006877E2"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ze względu</w:t>
      </w:r>
      <w:r w:rsidR="006877E2" w:rsidRPr="009B78DA">
        <w:rPr>
          <w:rFonts w:ascii="Arial" w:hAnsi="Arial" w:cs="Arial"/>
          <w:color w:val="000000" w:themeColor="text1"/>
          <w:sz w:val="22"/>
          <w:szCs w:val="22"/>
        </w:rPr>
        <w:t xml:space="preserve"> na</w:t>
      </w:r>
      <w:r w:rsidRPr="009B78DA">
        <w:rPr>
          <w:rFonts w:ascii="Arial" w:hAnsi="Arial" w:cs="Arial"/>
          <w:color w:val="000000" w:themeColor="text1"/>
          <w:sz w:val="22"/>
          <w:szCs w:val="22"/>
        </w:rPr>
        <w:t xml:space="preserve"> zmniejsz</w:t>
      </w:r>
      <w:r w:rsidR="006877E2" w:rsidRPr="009B78DA">
        <w:rPr>
          <w:rFonts w:ascii="Arial" w:hAnsi="Arial" w:cs="Arial"/>
          <w:color w:val="000000" w:themeColor="text1"/>
          <w:sz w:val="22"/>
          <w:szCs w:val="22"/>
        </w:rPr>
        <w:t>enie negatywnego</w:t>
      </w:r>
      <w:r w:rsidRPr="009B78DA">
        <w:rPr>
          <w:rFonts w:ascii="Arial" w:hAnsi="Arial" w:cs="Arial"/>
          <w:color w:val="000000" w:themeColor="text1"/>
          <w:sz w:val="22"/>
          <w:szCs w:val="22"/>
        </w:rPr>
        <w:t xml:space="preserve"> wpływ</w:t>
      </w:r>
      <w:r w:rsidR="006877E2" w:rsidRPr="009B78DA">
        <w:rPr>
          <w:rFonts w:ascii="Arial" w:hAnsi="Arial" w:cs="Arial"/>
          <w:color w:val="000000" w:themeColor="text1"/>
          <w:sz w:val="22"/>
          <w:szCs w:val="22"/>
        </w:rPr>
        <w:t>u</w:t>
      </w:r>
      <w:r w:rsidRPr="009B78DA">
        <w:rPr>
          <w:rFonts w:ascii="Arial" w:hAnsi="Arial" w:cs="Arial"/>
          <w:color w:val="000000" w:themeColor="text1"/>
          <w:sz w:val="22"/>
          <w:szCs w:val="22"/>
        </w:rPr>
        <w:t xml:space="preserve"> na środowisko</w:t>
      </w:r>
      <w:r w:rsidR="006877E2" w:rsidRPr="009B78DA">
        <w:rPr>
          <w:rFonts w:ascii="Arial" w:hAnsi="Arial" w:cs="Arial"/>
          <w:color w:val="000000" w:themeColor="text1"/>
          <w:sz w:val="22"/>
          <w:szCs w:val="22"/>
        </w:rPr>
        <w:t xml:space="preserve"> co odbywałoby się</w:t>
      </w:r>
      <w:r w:rsidRPr="009B78DA">
        <w:rPr>
          <w:rFonts w:ascii="Arial" w:hAnsi="Arial" w:cs="Arial"/>
          <w:color w:val="000000" w:themeColor="text1"/>
          <w:sz w:val="22"/>
          <w:szCs w:val="22"/>
        </w:rPr>
        <w:t xml:space="preserve"> przede wszystkim  </w:t>
      </w:r>
      <w:r w:rsidR="006877E2" w:rsidRPr="009B78DA">
        <w:rPr>
          <w:rFonts w:ascii="Arial" w:hAnsi="Arial" w:cs="Arial"/>
          <w:color w:val="000000" w:themeColor="text1"/>
          <w:sz w:val="22"/>
          <w:szCs w:val="22"/>
        </w:rPr>
        <w:t xml:space="preserve">poprzez </w:t>
      </w:r>
      <w:r w:rsidRPr="009B78DA">
        <w:rPr>
          <w:rFonts w:ascii="Arial" w:hAnsi="Arial" w:cs="Arial"/>
          <w:color w:val="000000" w:themeColor="text1"/>
          <w:sz w:val="22"/>
          <w:szCs w:val="22"/>
        </w:rPr>
        <w:t>wymian</w:t>
      </w:r>
      <w:r w:rsidR="006877E2" w:rsidRPr="009B78DA">
        <w:rPr>
          <w:rFonts w:ascii="Arial" w:hAnsi="Arial" w:cs="Arial"/>
          <w:color w:val="000000" w:themeColor="text1"/>
          <w:sz w:val="22"/>
          <w:szCs w:val="22"/>
        </w:rPr>
        <w:t>ę</w:t>
      </w:r>
      <w:r w:rsidRPr="009B78DA">
        <w:rPr>
          <w:rFonts w:ascii="Arial" w:hAnsi="Arial" w:cs="Arial"/>
          <w:color w:val="000000" w:themeColor="text1"/>
          <w:sz w:val="22"/>
          <w:szCs w:val="22"/>
        </w:rPr>
        <w:t xml:space="preserve"> pojazdów z napędem spalinowym na elektryczny do obsługi pociągów po zelektryfikowaniu linii kolejowej.</w:t>
      </w:r>
    </w:p>
    <w:p w14:paraId="02811100" w14:textId="20931710" w:rsidR="009126D5" w:rsidRPr="009B78DA" w:rsidRDefault="009126D5" w:rsidP="00550484">
      <w:pPr>
        <w:spacing w:after="120"/>
        <w:ind w:firstLine="709"/>
        <w:rPr>
          <w:rFonts w:ascii="Arial" w:hAnsi="Arial" w:cs="Arial"/>
          <w:color w:val="000000" w:themeColor="text1"/>
          <w:sz w:val="22"/>
          <w:szCs w:val="22"/>
        </w:rPr>
      </w:pPr>
      <w:r w:rsidRPr="009B78DA">
        <w:rPr>
          <w:rFonts w:ascii="Arial" w:hAnsi="Arial" w:cs="Arial"/>
          <w:color w:val="000000" w:themeColor="text1"/>
          <w:sz w:val="22"/>
          <w:szCs w:val="22"/>
        </w:rPr>
        <w:t>Wprowadzenie nowych technologii np. napęd wodorowy jest też kryterium za dokonaniem zakupu takich pojazdów celem ograniczenia bądź zastąpienia pojazdów</w:t>
      </w:r>
      <w:r w:rsidR="00550484">
        <w:rPr>
          <w:rFonts w:ascii="Arial" w:hAnsi="Arial" w:cs="Arial"/>
          <w:color w:val="000000" w:themeColor="text1"/>
          <w:sz w:val="22"/>
          <w:szCs w:val="22"/>
        </w:rPr>
        <w:t xml:space="preserve"> </w:t>
      </w:r>
      <w:r w:rsidR="00550484">
        <w:rPr>
          <w:rFonts w:ascii="Arial" w:hAnsi="Arial" w:cs="Arial"/>
          <w:color w:val="000000" w:themeColor="text1"/>
          <w:sz w:val="22"/>
          <w:szCs w:val="22"/>
        </w:rPr>
        <w:br/>
        <w:t>z napędem spalinowym.</w:t>
      </w:r>
    </w:p>
    <w:tbl>
      <w:tblPr>
        <w:tblStyle w:val="Tabela-Siatka1"/>
        <w:tblW w:w="0" w:type="auto"/>
        <w:tblLook w:val="04A0" w:firstRow="1" w:lastRow="0" w:firstColumn="1" w:lastColumn="0" w:noHBand="0" w:noVBand="1"/>
        <w:tblCaption w:val="Kryteria wyboru projektów taborowych"/>
        <w:tblDescription w:val="Tabela zawiera Kryterium, Działanie, Punktacja: Tak – 1;  Nie - 0"/>
      </w:tblPr>
      <w:tblGrid>
        <w:gridCol w:w="3823"/>
        <w:gridCol w:w="3118"/>
        <w:gridCol w:w="1134"/>
        <w:gridCol w:w="987"/>
      </w:tblGrid>
      <w:tr w:rsidR="00A16B5E" w:rsidRPr="009B78DA" w14:paraId="307CD519" w14:textId="77777777" w:rsidTr="0099520C">
        <w:trPr>
          <w:trHeight w:val="425"/>
          <w:tblHeader/>
        </w:trPr>
        <w:tc>
          <w:tcPr>
            <w:tcW w:w="3823" w:type="dxa"/>
            <w:shd w:val="clear" w:color="auto" w:fill="DEEAF6" w:themeFill="accent1" w:themeFillTint="33"/>
            <w:vAlign w:val="center"/>
          </w:tcPr>
          <w:p w14:paraId="2C75D8D6"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Kryterium</w:t>
            </w:r>
          </w:p>
        </w:tc>
        <w:tc>
          <w:tcPr>
            <w:tcW w:w="3118" w:type="dxa"/>
            <w:shd w:val="clear" w:color="auto" w:fill="DEEAF6" w:themeFill="accent1" w:themeFillTint="33"/>
            <w:vAlign w:val="center"/>
          </w:tcPr>
          <w:p w14:paraId="400C4730"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Działanie</w:t>
            </w:r>
          </w:p>
        </w:tc>
        <w:tc>
          <w:tcPr>
            <w:tcW w:w="2121" w:type="dxa"/>
            <w:gridSpan w:val="2"/>
            <w:shd w:val="clear" w:color="auto" w:fill="DEEAF6" w:themeFill="accent1" w:themeFillTint="33"/>
            <w:vAlign w:val="center"/>
          </w:tcPr>
          <w:p w14:paraId="3B727199" w14:textId="0AB32DD4" w:rsidR="009126D5" w:rsidRPr="009B78DA" w:rsidRDefault="00550484" w:rsidP="00550484">
            <w:pPr>
              <w:jc w:val="center"/>
              <w:rPr>
                <w:rFonts w:ascii="Arial" w:hAnsi="Arial" w:cs="Arial"/>
                <w:color w:val="000000" w:themeColor="text1"/>
                <w:sz w:val="22"/>
                <w:szCs w:val="22"/>
              </w:rPr>
            </w:pPr>
            <w:r>
              <w:rPr>
                <w:rFonts w:ascii="Arial" w:hAnsi="Arial" w:cs="Arial"/>
                <w:color w:val="000000" w:themeColor="text1"/>
                <w:sz w:val="22"/>
                <w:szCs w:val="22"/>
              </w:rPr>
              <w:t xml:space="preserve">Punktacja: </w:t>
            </w:r>
            <w:r>
              <w:rPr>
                <w:rFonts w:ascii="Arial" w:hAnsi="Arial" w:cs="Arial"/>
                <w:color w:val="000000" w:themeColor="text1"/>
                <w:sz w:val="22"/>
                <w:szCs w:val="22"/>
              </w:rPr>
              <w:br/>
              <w:t xml:space="preserve">Tak – 1; </w:t>
            </w:r>
            <w:r w:rsidR="009126D5" w:rsidRPr="009B78DA">
              <w:rPr>
                <w:rFonts w:ascii="Arial" w:hAnsi="Arial" w:cs="Arial"/>
                <w:color w:val="000000" w:themeColor="text1"/>
                <w:sz w:val="22"/>
                <w:szCs w:val="22"/>
              </w:rPr>
              <w:t>Nie - 0</w:t>
            </w:r>
          </w:p>
        </w:tc>
      </w:tr>
      <w:tr w:rsidR="00A16B5E" w:rsidRPr="009B78DA" w14:paraId="45EC4726" w14:textId="77777777" w:rsidTr="00550484">
        <w:trPr>
          <w:trHeight w:val="425"/>
        </w:trPr>
        <w:tc>
          <w:tcPr>
            <w:tcW w:w="3823" w:type="dxa"/>
            <w:vMerge w:val="restart"/>
            <w:vAlign w:val="center"/>
          </w:tcPr>
          <w:p w14:paraId="4007E3BE"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Komplementarności z innymi projektami</w:t>
            </w:r>
          </w:p>
        </w:tc>
        <w:tc>
          <w:tcPr>
            <w:tcW w:w="3118" w:type="dxa"/>
            <w:vAlign w:val="center"/>
          </w:tcPr>
          <w:p w14:paraId="09B8CAB1" w14:textId="77777777" w:rsidR="009126D5" w:rsidRPr="009B78DA" w:rsidRDefault="009126D5" w:rsidP="00550484">
            <w:pPr>
              <w:jc w:val="center"/>
              <w:rPr>
                <w:rFonts w:ascii="Arial" w:hAnsi="Arial" w:cs="Arial"/>
                <w:color w:val="000000" w:themeColor="text1"/>
                <w:sz w:val="22"/>
                <w:szCs w:val="22"/>
              </w:rPr>
            </w:pPr>
            <w:r w:rsidRPr="009B78DA">
              <w:rPr>
                <w:rFonts w:ascii="Arial" w:hAnsi="Arial" w:cs="Arial"/>
                <w:color w:val="000000" w:themeColor="text1"/>
                <w:sz w:val="22"/>
                <w:szCs w:val="22"/>
              </w:rPr>
              <w:t>Wymiana  taboru z powodu modernizacji  linii  np. elektryfikacja linii</w:t>
            </w:r>
          </w:p>
        </w:tc>
        <w:tc>
          <w:tcPr>
            <w:tcW w:w="1134" w:type="dxa"/>
            <w:vAlign w:val="center"/>
          </w:tcPr>
          <w:p w14:paraId="1144938A" w14:textId="77777777" w:rsidR="009126D5" w:rsidRPr="009B78DA" w:rsidRDefault="009126D5" w:rsidP="00550484">
            <w:pPr>
              <w:jc w:val="center"/>
              <w:rPr>
                <w:rFonts w:ascii="Arial" w:hAnsi="Arial" w:cs="Arial"/>
                <w:color w:val="000000" w:themeColor="text1"/>
                <w:sz w:val="22"/>
                <w:szCs w:val="22"/>
              </w:rPr>
            </w:pPr>
          </w:p>
        </w:tc>
        <w:tc>
          <w:tcPr>
            <w:tcW w:w="987" w:type="dxa"/>
            <w:vAlign w:val="center"/>
          </w:tcPr>
          <w:p w14:paraId="0EDCC132" w14:textId="77777777" w:rsidR="009126D5" w:rsidRPr="009B78DA" w:rsidRDefault="009126D5" w:rsidP="00550484">
            <w:pPr>
              <w:jc w:val="center"/>
              <w:rPr>
                <w:rFonts w:ascii="Arial" w:hAnsi="Arial" w:cs="Arial"/>
                <w:color w:val="000000" w:themeColor="text1"/>
                <w:sz w:val="22"/>
                <w:szCs w:val="22"/>
              </w:rPr>
            </w:pPr>
          </w:p>
        </w:tc>
      </w:tr>
      <w:tr w:rsidR="00A16B5E" w:rsidRPr="009B78DA" w14:paraId="72671030" w14:textId="77777777" w:rsidTr="00550484">
        <w:trPr>
          <w:trHeight w:val="425"/>
        </w:trPr>
        <w:tc>
          <w:tcPr>
            <w:tcW w:w="3823" w:type="dxa"/>
            <w:vMerge/>
            <w:vAlign w:val="center"/>
          </w:tcPr>
          <w:p w14:paraId="1472482F" w14:textId="77777777" w:rsidR="009126D5" w:rsidRPr="009B78DA" w:rsidRDefault="009126D5" w:rsidP="00550484">
            <w:pPr>
              <w:jc w:val="center"/>
              <w:rPr>
                <w:rFonts w:ascii="Arial" w:hAnsi="Arial" w:cs="Arial"/>
                <w:color w:val="000000" w:themeColor="text1"/>
                <w:sz w:val="22"/>
                <w:szCs w:val="22"/>
              </w:rPr>
            </w:pPr>
          </w:p>
        </w:tc>
        <w:tc>
          <w:tcPr>
            <w:tcW w:w="3118" w:type="dxa"/>
            <w:vAlign w:val="center"/>
          </w:tcPr>
          <w:p w14:paraId="7F480292" w14:textId="77777777" w:rsidR="009126D5" w:rsidRPr="009B78DA" w:rsidRDefault="009126D5" w:rsidP="00550484">
            <w:pPr>
              <w:jc w:val="center"/>
              <w:rPr>
                <w:rFonts w:ascii="Arial" w:hAnsi="Arial" w:cs="Arial"/>
                <w:color w:val="000000" w:themeColor="text1"/>
                <w:sz w:val="22"/>
                <w:szCs w:val="22"/>
              </w:rPr>
            </w:pPr>
          </w:p>
        </w:tc>
        <w:tc>
          <w:tcPr>
            <w:tcW w:w="1134" w:type="dxa"/>
            <w:vAlign w:val="center"/>
          </w:tcPr>
          <w:p w14:paraId="08979088" w14:textId="77777777" w:rsidR="009126D5" w:rsidRPr="009B78DA" w:rsidRDefault="009126D5" w:rsidP="00550484">
            <w:pPr>
              <w:jc w:val="center"/>
              <w:rPr>
                <w:rFonts w:ascii="Arial" w:hAnsi="Arial" w:cs="Arial"/>
                <w:color w:val="000000" w:themeColor="text1"/>
                <w:sz w:val="22"/>
                <w:szCs w:val="22"/>
              </w:rPr>
            </w:pPr>
          </w:p>
        </w:tc>
        <w:tc>
          <w:tcPr>
            <w:tcW w:w="987" w:type="dxa"/>
            <w:vAlign w:val="center"/>
          </w:tcPr>
          <w:p w14:paraId="39905DB1" w14:textId="77777777" w:rsidR="009126D5" w:rsidRPr="009B78DA" w:rsidRDefault="009126D5" w:rsidP="00550484">
            <w:pPr>
              <w:jc w:val="center"/>
              <w:rPr>
                <w:rFonts w:ascii="Arial" w:hAnsi="Arial" w:cs="Arial"/>
                <w:color w:val="000000" w:themeColor="text1"/>
                <w:sz w:val="22"/>
                <w:szCs w:val="22"/>
              </w:rPr>
            </w:pPr>
          </w:p>
        </w:tc>
      </w:tr>
      <w:tr w:rsidR="00A16B5E" w:rsidRPr="009B78DA" w14:paraId="68192D94" w14:textId="77777777" w:rsidTr="00550484">
        <w:trPr>
          <w:trHeight w:val="425"/>
        </w:trPr>
        <w:tc>
          <w:tcPr>
            <w:tcW w:w="3823" w:type="dxa"/>
            <w:vMerge/>
            <w:vAlign w:val="center"/>
          </w:tcPr>
          <w:p w14:paraId="76E4E6D0" w14:textId="77777777" w:rsidR="009126D5" w:rsidRPr="009B78DA" w:rsidRDefault="009126D5" w:rsidP="00550484">
            <w:pPr>
              <w:jc w:val="center"/>
              <w:rPr>
                <w:rFonts w:ascii="Arial" w:hAnsi="Arial" w:cs="Arial"/>
                <w:color w:val="000000" w:themeColor="text1"/>
                <w:sz w:val="22"/>
                <w:szCs w:val="22"/>
              </w:rPr>
            </w:pPr>
          </w:p>
        </w:tc>
        <w:tc>
          <w:tcPr>
            <w:tcW w:w="3118" w:type="dxa"/>
            <w:vAlign w:val="center"/>
          </w:tcPr>
          <w:p w14:paraId="4677B0A0" w14:textId="77777777" w:rsidR="009126D5" w:rsidRPr="009B78DA" w:rsidRDefault="009126D5" w:rsidP="00550484">
            <w:pPr>
              <w:jc w:val="center"/>
              <w:rPr>
                <w:rFonts w:ascii="Arial" w:hAnsi="Arial" w:cs="Arial"/>
                <w:color w:val="000000" w:themeColor="text1"/>
                <w:sz w:val="22"/>
                <w:szCs w:val="22"/>
              </w:rPr>
            </w:pPr>
          </w:p>
        </w:tc>
        <w:tc>
          <w:tcPr>
            <w:tcW w:w="1134" w:type="dxa"/>
            <w:vAlign w:val="center"/>
          </w:tcPr>
          <w:p w14:paraId="78BFB5B9" w14:textId="77777777" w:rsidR="009126D5" w:rsidRPr="009B78DA" w:rsidRDefault="009126D5" w:rsidP="00550484">
            <w:pPr>
              <w:jc w:val="center"/>
              <w:rPr>
                <w:rFonts w:ascii="Arial" w:hAnsi="Arial" w:cs="Arial"/>
                <w:color w:val="000000" w:themeColor="text1"/>
                <w:sz w:val="22"/>
                <w:szCs w:val="22"/>
              </w:rPr>
            </w:pPr>
          </w:p>
        </w:tc>
        <w:tc>
          <w:tcPr>
            <w:tcW w:w="987" w:type="dxa"/>
            <w:vAlign w:val="center"/>
          </w:tcPr>
          <w:p w14:paraId="6DAB84F9" w14:textId="77777777" w:rsidR="009126D5" w:rsidRPr="009B78DA" w:rsidRDefault="009126D5" w:rsidP="00550484">
            <w:pPr>
              <w:jc w:val="center"/>
              <w:rPr>
                <w:rFonts w:ascii="Arial" w:hAnsi="Arial" w:cs="Arial"/>
                <w:color w:val="000000" w:themeColor="text1"/>
                <w:sz w:val="22"/>
                <w:szCs w:val="22"/>
              </w:rPr>
            </w:pPr>
          </w:p>
        </w:tc>
      </w:tr>
    </w:tbl>
    <w:p w14:paraId="0105F0D0" w14:textId="785394E1" w:rsidR="00550484" w:rsidRDefault="009126D5" w:rsidP="00550484">
      <w:pPr>
        <w:spacing w:before="120" w:after="120"/>
        <w:ind w:firstLine="709"/>
        <w:jc w:val="both"/>
        <w:rPr>
          <w:rFonts w:ascii="Arial" w:hAnsi="Arial" w:cs="Arial"/>
          <w:color w:val="000000" w:themeColor="text1"/>
          <w:sz w:val="22"/>
          <w:szCs w:val="22"/>
        </w:rPr>
      </w:pPr>
      <w:r w:rsidRPr="009B78DA">
        <w:rPr>
          <w:rFonts w:ascii="Arial" w:hAnsi="Arial" w:cs="Arial"/>
          <w:color w:val="000000" w:themeColor="text1"/>
          <w:sz w:val="22"/>
          <w:szCs w:val="22"/>
        </w:rPr>
        <w:t>Kryterium komplementarności, za które należy  przyznać punkty wynika z faktu powiązania ze prowadz</w:t>
      </w:r>
      <w:r w:rsidR="006877E2" w:rsidRPr="009B78DA">
        <w:rPr>
          <w:rFonts w:ascii="Arial" w:hAnsi="Arial" w:cs="Arial"/>
          <w:color w:val="000000" w:themeColor="text1"/>
          <w:sz w:val="22"/>
          <w:szCs w:val="22"/>
        </w:rPr>
        <w:t>o</w:t>
      </w:r>
      <w:r w:rsidRPr="009B78DA">
        <w:rPr>
          <w:rFonts w:ascii="Arial" w:hAnsi="Arial" w:cs="Arial"/>
          <w:color w:val="000000" w:themeColor="text1"/>
          <w:sz w:val="22"/>
          <w:szCs w:val="22"/>
        </w:rPr>
        <w:t>nymi zmianami w infrastrukturze kolejowej: jest to elektryfikacja linii, podwyższenie dopuszczalnej prędkości konstrukcyjnej linii, budowa nowych odcinków linii, rewitalizacja, itp.</w:t>
      </w:r>
    </w:p>
    <w:p w14:paraId="0C37CF9E" w14:textId="5951A181" w:rsidR="003F3609" w:rsidRPr="009B78DA" w:rsidRDefault="00D52241" w:rsidP="00550484">
      <w:pPr>
        <w:pStyle w:val="Nagwek2"/>
        <w:numPr>
          <w:ilvl w:val="0"/>
          <w:numId w:val="267"/>
        </w:numPr>
        <w:spacing w:before="0" w:line="288" w:lineRule="auto"/>
        <w:ind w:left="357" w:hanging="357"/>
        <w:rPr>
          <w:rFonts w:cs="Arial"/>
          <w:b w:val="0"/>
          <w:bCs/>
          <w:sz w:val="24"/>
          <w:szCs w:val="24"/>
        </w:rPr>
      </w:pPr>
      <w:bookmarkStart w:id="390" w:name="_Toc100335083"/>
      <w:bookmarkStart w:id="391" w:name="_Toc146785809"/>
      <w:r w:rsidRPr="009B78DA">
        <w:rPr>
          <w:rFonts w:cs="Arial"/>
          <w:bCs/>
          <w:sz w:val="24"/>
          <w:szCs w:val="24"/>
        </w:rPr>
        <w:t>Ramy finansowe ze wskazaniem potencjalnych i rzeczywistych źró</w:t>
      </w:r>
      <w:r w:rsidR="003F3609" w:rsidRPr="009B78DA">
        <w:rPr>
          <w:rFonts w:cs="Arial"/>
          <w:bCs/>
          <w:sz w:val="24"/>
          <w:szCs w:val="24"/>
        </w:rPr>
        <w:t>deł finansowania</w:t>
      </w:r>
      <w:r w:rsidR="00107163" w:rsidRPr="009B78DA">
        <w:rPr>
          <w:rFonts w:cs="Arial"/>
          <w:bCs/>
          <w:sz w:val="24"/>
          <w:szCs w:val="24"/>
        </w:rPr>
        <w:t xml:space="preserve"> </w:t>
      </w:r>
      <w:r w:rsidR="003F3609" w:rsidRPr="009B78DA">
        <w:rPr>
          <w:rFonts w:cs="Arial"/>
          <w:bCs/>
          <w:sz w:val="24"/>
          <w:szCs w:val="24"/>
        </w:rPr>
        <w:t>(publicznych i niepublicznych)</w:t>
      </w:r>
      <w:bookmarkEnd w:id="390"/>
      <w:bookmarkEnd w:id="391"/>
    </w:p>
    <w:p w14:paraId="54249299" w14:textId="77777777" w:rsidR="00E90CF0" w:rsidRPr="009B78DA" w:rsidRDefault="00D52241" w:rsidP="00550484">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PSRT WP wytycza szereg celów w sferze transportu, których osiągnięcie przewiduje się perspektywie do 2030 r. Uzyskanie założonych rezultatów nastąpi dzięki skutecznej realizacji określonych w Programie zadań, przy czym powodzenie tego procesu jest nierozerwalnie powiązane z możliwościami finansowymi – przede wszystkim Samorządu Województwa oraz poszc</w:t>
      </w:r>
      <w:r w:rsidR="00E90CF0" w:rsidRPr="009B78DA">
        <w:rPr>
          <w:rFonts w:ascii="Arial" w:hAnsi="Arial" w:cs="Arial"/>
          <w:color w:val="000000" w:themeColor="text1"/>
          <w:sz w:val="22"/>
          <w:szCs w:val="22"/>
        </w:rPr>
        <w:t>zególnych samorządów lokalnych.</w:t>
      </w:r>
    </w:p>
    <w:p w14:paraId="1A18EC3F" w14:textId="66D44907" w:rsidR="00E90CF0" w:rsidRPr="009B78DA" w:rsidRDefault="00D52241" w:rsidP="00550484">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Ramy finansowe dla realizacji celów Programu opracowane są w formie prognostycznej i oparte są na szacunkach. Utrudnieniem w konstruowaniu tego rodzaju prognozy jest bliższe określenie realnych możliwości uzyskania wsparcia finansowego </w:t>
      </w:r>
      <w:r w:rsidR="006014D4"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z </w:t>
      </w:r>
      <w:r w:rsidR="007140CD" w:rsidRPr="009B78DA">
        <w:rPr>
          <w:rFonts w:ascii="Arial" w:hAnsi="Arial" w:cs="Arial"/>
          <w:color w:val="000000" w:themeColor="text1"/>
          <w:sz w:val="22"/>
          <w:szCs w:val="22"/>
        </w:rPr>
        <w:t>funduszy europejskich</w:t>
      </w:r>
      <w:r w:rsidRPr="009B78DA">
        <w:rPr>
          <w:rFonts w:ascii="Arial" w:hAnsi="Arial" w:cs="Arial"/>
          <w:color w:val="000000" w:themeColor="text1"/>
          <w:sz w:val="22"/>
          <w:szCs w:val="22"/>
        </w:rPr>
        <w:t xml:space="preserve"> krajowych i ponadregionalnych przez podmioty z terenu województwa podkarpackiego. Główną przeszkodą dla bliższego określenia puli środków finalnie przeznaczonych na przedsięwzięcia realizowane w regionie jest stosowanie trybu konkursowego dla wyboru projektów oraz brak rozgraniczenia alo</w:t>
      </w:r>
      <w:r w:rsidR="00E90CF0" w:rsidRPr="009B78DA">
        <w:rPr>
          <w:rFonts w:ascii="Arial" w:hAnsi="Arial" w:cs="Arial"/>
          <w:color w:val="000000" w:themeColor="text1"/>
          <w:sz w:val="22"/>
          <w:szCs w:val="22"/>
        </w:rPr>
        <w:t>kacji na konkretne województwa.</w:t>
      </w:r>
    </w:p>
    <w:p w14:paraId="6F5EE272" w14:textId="61738921" w:rsidR="00EA3C7F" w:rsidRPr="009B78DA" w:rsidRDefault="00D52241" w:rsidP="00550484">
      <w:pPr>
        <w:spacing w:after="12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ramach finansowych skupiono się nie tylko na potencjalnych źródłach finansowania inwestycji, ale również wskazano podmioty odpowiedzialne za konkretne elementy infrastruktury transportowej oraz dokonano przybliżenia możliwych kosztów wynikających z ich eksploatacji i utrzymania.</w:t>
      </w:r>
    </w:p>
    <w:p w14:paraId="4E11F939" w14:textId="41789377" w:rsidR="00FB2CB0" w:rsidRPr="009B78DA" w:rsidRDefault="00FB2CB0" w:rsidP="00550484">
      <w:pPr>
        <w:pStyle w:val="Legenda"/>
        <w:keepNext/>
        <w:rPr>
          <w:rFonts w:ascii="Arial" w:hAnsi="Arial" w:cs="Arial"/>
          <w:i w:val="0"/>
          <w:color w:val="000000" w:themeColor="text1"/>
          <w:sz w:val="22"/>
          <w:szCs w:val="22"/>
        </w:rPr>
      </w:pPr>
      <w:bookmarkStart w:id="392" w:name="_Toc146785755"/>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Główne podmioty odpowiedzialne za utrzymanie infrastruktury transportowej na terenie województwa podkarpackiego</w:t>
      </w:r>
      <w:bookmarkEnd w:id="392"/>
    </w:p>
    <w:tbl>
      <w:tblPr>
        <w:tblStyle w:val="Tabela-Siatka1"/>
        <w:tblW w:w="0" w:type="auto"/>
        <w:tblLook w:val="04A0" w:firstRow="1" w:lastRow="0" w:firstColumn="1" w:lastColumn="0" w:noHBand="0" w:noVBand="1"/>
        <w:tblCaption w:val="Tabela 25 Główne podmioty odpowiedzialne za utrzymanie infrastruktury transportowej na terenie województwa podkarpackiego"/>
        <w:tblDescription w:val="Tabela zawiera Elementy infrastruktury transportowej, Podmiot odpowiedzialny"/>
      </w:tblPr>
      <w:tblGrid>
        <w:gridCol w:w="2600"/>
        <w:gridCol w:w="6462"/>
      </w:tblGrid>
      <w:tr w:rsidR="006F4FD2" w:rsidRPr="009B78DA" w14:paraId="5E87F316" w14:textId="77777777" w:rsidTr="00550484">
        <w:trPr>
          <w:tblHeader/>
        </w:trPr>
        <w:tc>
          <w:tcPr>
            <w:tcW w:w="0" w:type="auto"/>
            <w:shd w:val="clear" w:color="auto" w:fill="DEEAF6" w:themeFill="accent1" w:themeFillTint="33"/>
            <w:vAlign w:val="center"/>
          </w:tcPr>
          <w:p w14:paraId="3346E9F9" w14:textId="77777777" w:rsidR="00E90CF0" w:rsidRPr="009B78DA" w:rsidRDefault="00E90CF0" w:rsidP="00550484">
            <w:pPr>
              <w:spacing w:line="264" w:lineRule="auto"/>
              <w:rPr>
                <w:rFonts w:ascii="Arial" w:hAnsi="Arial" w:cs="Arial"/>
                <w:b/>
                <w:color w:val="000000" w:themeColor="text1"/>
                <w:sz w:val="22"/>
                <w:szCs w:val="22"/>
              </w:rPr>
            </w:pPr>
            <w:r w:rsidRPr="009B78DA">
              <w:rPr>
                <w:rFonts w:ascii="Arial" w:hAnsi="Arial" w:cs="Arial"/>
                <w:b/>
                <w:color w:val="000000" w:themeColor="text1"/>
                <w:sz w:val="22"/>
                <w:szCs w:val="22"/>
              </w:rPr>
              <w:t>Elementy infrastruktury transportowej</w:t>
            </w:r>
          </w:p>
        </w:tc>
        <w:tc>
          <w:tcPr>
            <w:tcW w:w="0" w:type="auto"/>
            <w:shd w:val="clear" w:color="auto" w:fill="DEEAF6" w:themeFill="accent1" w:themeFillTint="33"/>
            <w:vAlign w:val="center"/>
          </w:tcPr>
          <w:p w14:paraId="428AB67F" w14:textId="77777777" w:rsidR="00E90CF0" w:rsidRPr="009B78DA" w:rsidRDefault="00E90CF0" w:rsidP="00550484">
            <w:pPr>
              <w:spacing w:line="264" w:lineRule="auto"/>
              <w:rPr>
                <w:rFonts w:ascii="Arial" w:hAnsi="Arial" w:cs="Arial"/>
                <w:b/>
                <w:color w:val="000000" w:themeColor="text1"/>
                <w:sz w:val="22"/>
                <w:szCs w:val="22"/>
              </w:rPr>
            </w:pPr>
            <w:r w:rsidRPr="009B78DA">
              <w:rPr>
                <w:rFonts w:ascii="Arial" w:hAnsi="Arial" w:cs="Arial"/>
                <w:b/>
                <w:color w:val="000000" w:themeColor="text1"/>
                <w:sz w:val="22"/>
                <w:szCs w:val="22"/>
              </w:rPr>
              <w:t>Podmiot odpowiedzialny</w:t>
            </w:r>
          </w:p>
        </w:tc>
      </w:tr>
      <w:tr w:rsidR="006F4FD2" w:rsidRPr="009B78DA" w14:paraId="6A98A89B" w14:textId="77777777" w:rsidTr="00550484">
        <w:tc>
          <w:tcPr>
            <w:tcW w:w="0" w:type="auto"/>
            <w:vAlign w:val="center"/>
          </w:tcPr>
          <w:p w14:paraId="208581BD" w14:textId="7777777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Drogi krajowe</w:t>
            </w:r>
          </w:p>
        </w:tc>
        <w:tc>
          <w:tcPr>
            <w:tcW w:w="0" w:type="auto"/>
            <w:vAlign w:val="center"/>
          </w:tcPr>
          <w:p w14:paraId="3CCEF4F8" w14:textId="424D389C"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 xml:space="preserve">Generalna Dyrekcja Dróg Krajowych i Autostrad </w:t>
            </w:r>
            <w:r w:rsidR="00725FD6" w:rsidRPr="009B78DA">
              <w:rPr>
                <w:rFonts w:ascii="Arial" w:hAnsi="Arial" w:cs="Arial"/>
                <w:color w:val="000000" w:themeColor="text1"/>
                <w:sz w:val="22"/>
                <w:szCs w:val="22"/>
              </w:rPr>
              <w:br/>
            </w:r>
            <w:r w:rsidRPr="009B78DA">
              <w:rPr>
                <w:rFonts w:ascii="Arial" w:hAnsi="Arial" w:cs="Arial"/>
                <w:color w:val="000000" w:themeColor="text1"/>
                <w:sz w:val="22"/>
                <w:szCs w:val="22"/>
              </w:rPr>
              <w:t>(z ramienia ministra właściwego do spraw transportu)**</w:t>
            </w:r>
          </w:p>
        </w:tc>
      </w:tr>
      <w:tr w:rsidR="006F4FD2" w:rsidRPr="009B78DA" w14:paraId="6A070D3E" w14:textId="77777777" w:rsidTr="00550484">
        <w:tc>
          <w:tcPr>
            <w:tcW w:w="0" w:type="auto"/>
            <w:vAlign w:val="center"/>
          </w:tcPr>
          <w:p w14:paraId="7D892C54" w14:textId="7777777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Drogi wojewódzkie</w:t>
            </w:r>
          </w:p>
        </w:tc>
        <w:tc>
          <w:tcPr>
            <w:tcW w:w="0" w:type="auto"/>
            <w:vAlign w:val="center"/>
          </w:tcPr>
          <w:p w14:paraId="1276938C" w14:textId="7777777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Samorząd Województwa**</w:t>
            </w:r>
          </w:p>
        </w:tc>
      </w:tr>
      <w:tr w:rsidR="006F4FD2" w:rsidRPr="009B78DA" w14:paraId="2AAC0062" w14:textId="77777777" w:rsidTr="00550484">
        <w:tc>
          <w:tcPr>
            <w:tcW w:w="0" w:type="auto"/>
            <w:vAlign w:val="center"/>
          </w:tcPr>
          <w:p w14:paraId="2B93E3E2" w14:textId="7777777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Drogi lokalne*</w:t>
            </w:r>
          </w:p>
        </w:tc>
        <w:tc>
          <w:tcPr>
            <w:tcW w:w="0" w:type="auto"/>
            <w:vAlign w:val="center"/>
          </w:tcPr>
          <w:p w14:paraId="639A1F34" w14:textId="7777777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 xml:space="preserve">Jednostki Samorządu Terytorialnego - zgodnie </w:t>
            </w:r>
            <w:r w:rsidR="00725FD6" w:rsidRPr="009B78DA">
              <w:rPr>
                <w:rFonts w:ascii="Arial" w:hAnsi="Arial" w:cs="Arial"/>
                <w:color w:val="000000" w:themeColor="text1"/>
                <w:sz w:val="22"/>
                <w:szCs w:val="22"/>
              </w:rPr>
              <w:br/>
            </w:r>
            <w:r w:rsidRPr="009B78DA">
              <w:rPr>
                <w:rFonts w:ascii="Arial" w:hAnsi="Arial" w:cs="Arial"/>
                <w:color w:val="000000" w:themeColor="text1"/>
                <w:sz w:val="22"/>
                <w:szCs w:val="22"/>
              </w:rPr>
              <w:t>z właściwością (samorząd powiatowy lub gminny)</w:t>
            </w:r>
          </w:p>
        </w:tc>
      </w:tr>
      <w:tr w:rsidR="006F4FD2" w:rsidRPr="009B78DA" w14:paraId="78C6ECF6" w14:textId="77777777" w:rsidTr="00550484">
        <w:tc>
          <w:tcPr>
            <w:tcW w:w="0" w:type="auto"/>
            <w:vAlign w:val="center"/>
          </w:tcPr>
          <w:p w14:paraId="2397780F" w14:textId="7777777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Ścieżki i trasy rowerowe</w:t>
            </w:r>
          </w:p>
        </w:tc>
        <w:tc>
          <w:tcPr>
            <w:tcW w:w="0" w:type="auto"/>
            <w:vAlign w:val="center"/>
          </w:tcPr>
          <w:p w14:paraId="04E5A3BB" w14:textId="7777777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 xml:space="preserve">Jednostki Samorządu Terytorialnego różnego szczebla – zgodnie z właściwością </w:t>
            </w:r>
          </w:p>
        </w:tc>
      </w:tr>
      <w:tr w:rsidR="006F4FD2" w:rsidRPr="009B78DA" w14:paraId="18B68C54" w14:textId="77777777" w:rsidTr="00550484">
        <w:tc>
          <w:tcPr>
            <w:tcW w:w="0" w:type="auto"/>
            <w:vAlign w:val="center"/>
          </w:tcPr>
          <w:p w14:paraId="027D83C5" w14:textId="7777777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Linie kolejowe</w:t>
            </w:r>
          </w:p>
        </w:tc>
        <w:tc>
          <w:tcPr>
            <w:tcW w:w="0" w:type="auto"/>
            <w:vAlign w:val="center"/>
          </w:tcPr>
          <w:p w14:paraId="2434CD59" w14:textId="7777777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PKP Polskie Linie Kolejowe S.A.</w:t>
            </w:r>
          </w:p>
        </w:tc>
      </w:tr>
      <w:tr w:rsidR="006F4FD2" w:rsidRPr="009B78DA" w14:paraId="4DD947D4" w14:textId="77777777" w:rsidTr="00550484">
        <w:tc>
          <w:tcPr>
            <w:tcW w:w="0" w:type="auto"/>
            <w:vAlign w:val="center"/>
          </w:tcPr>
          <w:p w14:paraId="2E323773" w14:textId="7777777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PKP Linia Hutnicza Szerokotorowa</w:t>
            </w:r>
          </w:p>
        </w:tc>
        <w:tc>
          <w:tcPr>
            <w:tcW w:w="0" w:type="auto"/>
            <w:vAlign w:val="center"/>
          </w:tcPr>
          <w:p w14:paraId="578614D0" w14:textId="0B209DD9" w:rsidR="00E90CF0" w:rsidRPr="009B78DA" w:rsidRDefault="001D4B64"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PKP Linia Hutnicza Szerokotorowa sp. z o.o.</w:t>
            </w:r>
          </w:p>
        </w:tc>
      </w:tr>
      <w:tr w:rsidR="006F4FD2" w:rsidRPr="009B78DA" w14:paraId="2B668E5B" w14:textId="77777777" w:rsidTr="00550484">
        <w:tc>
          <w:tcPr>
            <w:tcW w:w="0" w:type="auto"/>
            <w:vAlign w:val="center"/>
          </w:tcPr>
          <w:p w14:paraId="23A568CF" w14:textId="7777777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Lotniska</w:t>
            </w:r>
          </w:p>
        </w:tc>
        <w:tc>
          <w:tcPr>
            <w:tcW w:w="0" w:type="auto"/>
            <w:vAlign w:val="center"/>
          </w:tcPr>
          <w:p w14:paraId="1BB28A0B" w14:textId="081C8B22"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Port Lotniczy Rzeszów-Jasionka Sp. z o.o., Lotnisko Mielec Sp. z o.o., Gmina Krosno, Ośrodek Kształcenia Lotniczego Politechniki Rzeszowskiej, Aeroklub Polski, Lotnicze Pogotowie Ratunkowe</w:t>
            </w:r>
          </w:p>
        </w:tc>
      </w:tr>
      <w:tr w:rsidR="006F4FD2" w:rsidRPr="009B78DA" w14:paraId="6F7E200F" w14:textId="77777777" w:rsidTr="00550484">
        <w:tc>
          <w:tcPr>
            <w:tcW w:w="0" w:type="auto"/>
            <w:vAlign w:val="center"/>
          </w:tcPr>
          <w:p w14:paraId="1870020B" w14:textId="072E6FA8"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Terminale intermodalne</w:t>
            </w:r>
            <w:r w:rsidR="00B54979" w:rsidRPr="009B78DA">
              <w:rPr>
                <w:rFonts w:ascii="Arial" w:hAnsi="Arial" w:cs="Arial"/>
                <w:color w:val="000000" w:themeColor="text1"/>
                <w:sz w:val="22"/>
                <w:szCs w:val="22"/>
              </w:rPr>
              <w:t>, terminale przeładunkowe</w:t>
            </w:r>
          </w:p>
        </w:tc>
        <w:tc>
          <w:tcPr>
            <w:tcW w:w="0" w:type="auto"/>
            <w:vAlign w:val="center"/>
          </w:tcPr>
          <w:p w14:paraId="1C0B1054" w14:textId="4A1255D7" w:rsidR="00E90CF0" w:rsidRPr="009B78DA" w:rsidRDefault="00E90CF0" w:rsidP="00550484">
            <w:pPr>
              <w:spacing w:line="264" w:lineRule="auto"/>
              <w:rPr>
                <w:rFonts w:ascii="Arial" w:hAnsi="Arial" w:cs="Arial"/>
                <w:color w:val="000000" w:themeColor="text1"/>
                <w:sz w:val="22"/>
                <w:szCs w:val="22"/>
              </w:rPr>
            </w:pPr>
            <w:r w:rsidRPr="009B78DA">
              <w:rPr>
                <w:rFonts w:ascii="Arial" w:hAnsi="Arial" w:cs="Arial"/>
                <w:color w:val="000000" w:themeColor="text1"/>
                <w:sz w:val="22"/>
                <w:szCs w:val="22"/>
              </w:rPr>
              <w:t>PKP CARGO Centrum Logistyczne Medyka – Żurawica Sp. z o.o, PCC Intermodal S.A.</w:t>
            </w:r>
            <w:r w:rsidR="00BE2932" w:rsidRPr="009B78DA">
              <w:rPr>
                <w:rFonts w:ascii="Arial" w:hAnsi="Arial" w:cs="Arial"/>
                <w:color w:val="000000" w:themeColor="text1"/>
                <w:sz w:val="22"/>
                <w:szCs w:val="22"/>
              </w:rPr>
              <w:t>, EnergoSped Sp. z o.o.</w:t>
            </w:r>
            <w:r w:rsidR="00F5236C" w:rsidRPr="009B78DA">
              <w:rPr>
                <w:rFonts w:ascii="Arial" w:hAnsi="Arial" w:cs="Arial"/>
                <w:color w:val="000000" w:themeColor="text1"/>
                <w:sz w:val="22"/>
                <w:szCs w:val="22"/>
              </w:rPr>
              <w:t>, PKP LHS sp. z o.o. oraz Treeden</w:t>
            </w:r>
          </w:p>
        </w:tc>
      </w:tr>
    </w:tbl>
    <w:p w14:paraId="54A0CC78" w14:textId="1E714630" w:rsidR="00E90CF0" w:rsidRPr="009B78DA" w:rsidRDefault="00E90CF0" w:rsidP="00EC3354">
      <w:pPr>
        <w:spacing w:before="120" w:after="120" w:line="288" w:lineRule="auto"/>
        <w:rPr>
          <w:rFonts w:ascii="Arial" w:hAnsi="Arial" w:cs="Arial"/>
          <w:color w:val="000000" w:themeColor="text1"/>
          <w:sz w:val="22"/>
          <w:szCs w:val="22"/>
        </w:rPr>
      </w:pPr>
      <w:r w:rsidRPr="009B78DA">
        <w:rPr>
          <w:rFonts w:ascii="Arial" w:hAnsi="Arial" w:cs="Arial"/>
          <w:b/>
          <w:color w:val="000000" w:themeColor="text1"/>
          <w:sz w:val="22"/>
          <w:szCs w:val="22"/>
        </w:rPr>
        <w:t>*</w:t>
      </w:r>
      <w:r w:rsidRPr="009B78DA">
        <w:rPr>
          <w:rFonts w:ascii="Arial" w:hAnsi="Arial" w:cs="Arial"/>
          <w:color w:val="000000" w:themeColor="text1"/>
          <w:sz w:val="22"/>
          <w:szCs w:val="22"/>
        </w:rPr>
        <w:t xml:space="preserve"> Drogi gminne oraz powiatowe.</w:t>
      </w:r>
    </w:p>
    <w:p w14:paraId="22436169" w14:textId="286492FD" w:rsidR="00444B50" w:rsidRPr="009B78DA" w:rsidRDefault="00E90CF0" w:rsidP="00EC3354">
      <w:pPr>
        <w:spacing w:before="120" w:after="120" w:line="288" w:lineRule="auto"/>
        <w:rPr>
          <w:rFonts w:ascii="Arial" w:hAnsi="Arial" w:cs="Arial"/>
          <w:color w:val="000000" w:themeColor="text1"/>
          <w:sz w:val="22"/>
          <w:szCs w:val="22"/>
        </w:rPr>
      </w:pPr>
      <w:r w:rsidRPr="009B78DA">
        <w:rPr>
          <w:rFonts w:ascii="Arial" w:hAnsi="Arial" w:cs="Arial"/>
          <w:b/>
          <w:color w:val="000000" w:themeColor="text1"/>
          <w:sz w:val="22"/>
          <w:szCs w:val="22"/>
        </w:rPr>
        <w:t>**</w:t>
      </w:r>
      <w:r w:rsidR="007344CA" w:rsidRPr="009B78DA">
        <w:rPr>
          <w:rFonts w:ascii="Arial" w:hAnsi="Arial" w:cs="Arial"/>
          <w:color w:val="000000" w:themeColor="text1"/>
          <w:sz w:val="22"/>
          <w:szCs w:val="22"/>
        </w:rPr>
        <w:t xml:space="preserve"> N</w:t>
      </w:r>
      <w:r w:rsidRPr="009B78DA">
        <w:rPr>
          <w:rFonts w:ascii="Arial" w:hAnsi="Arial" w:cs="Arial"/>
          <w:color w:val="000000" w:themeColor="text1"/>
          <w:sz w:val="22"/>
          <w:szCs w:val="22"/>
        </w:rPr>
        <w:t>a terenie miast na prawach powiatu za zadania w zakresie finansowania, budowy, przebudowy, remontu, utrzymania, ochrony i zarządzania drogami publicznymi, z wyjątkiem autostrad i dróg ekspre</w:t>
      </w:r>
      <w:r w:rsidR="00EC3354">
        <w:rPr>
          <w:rFonts w:ascii="Arial" w:hAnsi="Arial" w:cs="Arial"/>
          <w:color w:val="000000" w:themeColor="text1"/>
          <w:sz w:val="22"/>
          <w:szCs w:val="22"/>
        </w:rPr>
        <w:t>sowych, odpowiada samorząd JST.</w:t>
      </w:r>
    </w:p>
    <w:p w14:paraId="67746DDB" w14:textId="77777777" w:rsidR="00AB1EBC" w:rsidRPr="009B78DA" w:rsidRDefault="00AB1EBC" w:rsidP="00EC3354">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Finansowanie inwestycji w ramach PSRT WP uwzględnia dostępne formy wsparcia UE, środki budżetu państwa, środki własne województwa oraz środki pochodzące z innych źródeł finansowania. Planuje się, iż nakłady finansowe przeznaczone na realizację PSRT WP pochodzić będą z następujących źródeł:</w:t>
      </w:r>
    </w:p>
    <w:p w14:paraId="0087096B" w14:textId="20684684" w:rsidR="00BB0089" w:rsidRPr="009B78DA" w:rsidRDefault="00AB1EBC" w:rsidP="00EC3354">
      <w:pPr>
        <w:pStyle w:val="Akapitzlist"/>
        <w:numPr>
          <w:ilvl w:val="0"/>
          <w:numId w:val="189"/>
        </w:numPr>
        <w:spacing w:after="0" w:line="288" w:lineRule="auto"/>
        <w:ind w:hanging="357"/>
        <w:rPr>
          <w:rFonts w:ascii="Arial" w:hAnsi="Arial" w:cs="Arial"/>
          <w:color w:val="000000" w:themeColor="text1"/>
          <w:sz w:val="22"/>
          <w:szCs w:val="22"/>
        </w:rPr>
      </w:pPr>
      <w:r w:rsidRPr="009B78DA">
        <w:rPr>
          <w:rFonts w:ascii="Arial" w:hAnsi="Arial" w:cs="Arial"/>
          <w:color w:val="000000" w:themeColor="text1"/>
          <w:sz w:val="22"/>
          <w:szCs w:val="22"/>
        </w:rPr>
        <w:t>zagraniczne środki publiczne:</w:t>
      </w:r>
    </w:p>
    <w:p w14:paraId="398EB248" w14:textId="77777777" w:rsidR="008E3892" w:rsidRPr="009B78DA" w:rsidRDefault="008E3892" w:rsidP="00EC3354">
      <w:pPr>
        <w:pStyle w:val="Akapitzlist"/>
        <w:numPr>
          <w:ilvl w:val="0"/>
          <w:numId w:val="190"/>
        </w:numPr>
        <w:spacing w:after="0" w:line="288" w:lineRule="auto"/>
        <w:ind w:hanging="357"/>
        <w:rPr>
          <w:rFonts w:ascii="Arial" w:hAnsi="Arial" w:cs="Arial"/>
          <w:color w:val="000000" w:themeColor="text1"/>
          <w:sz w:val="22"/>
          <w:szCs w:val="22"/>
        </w:rPr>
      </w:pPr>
      <w:r w:rsidRPr="009B78DA">
        <w:rPr>
          <w:rFonts w:ascii="Arial" w:hAnsi="Arial" w:cs="Arial"/>
          <w:color w:val="000000" w:themeColor="text1"/>
          <w:sz w:val="22"/>
          <w:szCs w:val="22"/>
        </w:rPr>
        <w:t xml:space="preserve">środki pochodzące z budżetu Unii Europejskiej w ramach Polityki Spójności i innych polityk Unii Europejskiej, </w:t>
      </w:r>
    </w:p>
    <w:p w14:paraId="325A551D" w14:textId="77777777" w:rsidR="008E3892" w:rsidRPr="009B78DA" w:rsidRDefault="008E3892" w:rsidP="00EC3354">
      <w:pPr>
        <w:pStyle w:val="Akapitzlist"/>
        <w:numPr>
          <w:ilvl w:val="0"/>
          <w:numId w:val="190"/>
        </w:numPr>
        <w:spacing w:after="0" w:line="288" w:lineRule="auto"/>
        <w:ind w:hanging="357"/>
        <w:rPr>
          <w:rFonts w:ascii="Arial" w:hAnsi="Arial" w:cs="Arial"/>
          <w:color w:val="000000" w:themeColor="text1"/>
          <w:sz w:val="22"/>
          <w:szCs w:val="22"/>
        </w:rPr>
      </w:pPr>
      <w:r w:rsidRPr="009B78DA">
        <w:rPr>
          <w:rFonts w:ascii="Arial" w:hAnsi="Arial" w:cs="Arial"/>
          <w:color w:val="000000" w:themeColor="text1"/>
          <w:sz w:val="22"/>
          <w:szCs w:val="22"/>
        </w:rPr>
        <w:t>środki pochodzące z unijnego Instrumentu na rzecz Odbudowy i Zwiększenia Odporności dostępne w ramach Krajowego Planu Odbudowy,</w:t>
      </w:r>
    </w:p>
    <w:p w14:paraId="4E801506" w14:textId="77777777" w:rsidR="008E3892" w:rsidRPr="009B78DA" w:rsidRDefault="008E3892" w:rsidP="00EC3354">
      <w:pPr>
        <w:pStyle w:val="Akapitzlist"/>
        <w:numPr>
          <w:ilvl w:val="0"/>
          <w:numId w:val="190"/>
        </w:numPr>
        <w:spacing w:after="0" w:line="288" w:lineRule="auto"/>
        <w:ind w:hanging="357"/>
        <w:rPr>
          <w:rFonts w:ascii="Arial" w:hAnsi="Arial" w:cs="Arial"/>
          <w:color w:val="000000" w:themeColor="text1"/>
          <w:sz w:val="22"/>
          <w:szCs w:val="22"/>
        </w:rPr>
      </w:pPr>
      <w:r w:rsidRPr="009B78DA">
        <w:rPr>
          <w:rFonts w:ascii="Arial" w:hAnsi="Arial" w:cs="Arial"/>
          <w:color w:val="000000" w:themeColor="text1"/>
          <w:sz w:val="22"/>
          <w:szCs w:val="22"/>
        </w:rPr>
        <w:t>kredyty międzynarodowych instytucji finansowych,</w:t>
      </w:r>
    </w:p>
    <w:p w14:paraId="22B358B4" w14:textId="77777777" w:rsidR="008E3892" w:rsidRPr="009B78DA" w:rsidRDefault="008E3892" w:rsidP="00EC3354">
      <w:pPr>
        <w:pStyle w:val="Akapitzlist"/>
        <w:numPr>
          <w:ilvl w:val="0"/>
          <w:numId w:val="190"/>
        </w:numPr>
        <w:spacing w:after="0" w:line="288" w:lineRule="auto"/>
        <w:ind w:hanging="357"/>
        <w:rPr>
          <w:rFonts w:ascii="Arial" w:hAnsi="Arial" w:cs="Arial"/>
          <w:color w:val="000000" w:themeColor="text1"/>
          <w:sz w:val="22"/>
          <w:szCs w:val="22"/>
        </w:rPr>
      </w:pPr>
      <w:r w:rsidRPr="009B78DA">
        <w:rPr>
          <w:rFonts w:ascii="Arial" w:hAnsi="Arial" w:cs="Arial"/>
          <w:color w:val="000000" w:themeColor="text1"/>
          <w:sz w:val="22"/>
          <w:szCs w:val="22"/>
        </w:rPr>
        <w:t>mechanizmy norweskie,</w:t>
      </w:r>
    </w:p>
    <w:p w14:paraId="555EBCD8" w14:textId="77777777" w:rsidR="008E3892" w:rsidRPr="009B78DA" w:rsidRDefault="008E3892" w:rsidP="00EC3354">
      <w:pPr>
        <w:pStyle w:val="Akapitzlist"/>
        <w:numPr>
          <w:ilvl w:val="0"/>
          <w:numId w:val="190"/>
        </w:numPr>
        <w:spacing w:after="0" w:line="288" w:lineRule="auto"/>
        <w:ind w:hanging="357"/>
        <w:rPr>
          <w:rFonts w:ascii="Arial" w:hAnsi="Arial" w:cs="Arial"/>
          <w:color w:val="000000" w:themeColor="text1"/>
          <w:sz w:val="22"/>
          <w:szCs w:val="22"/>
        </w:rPr>
      </w:pPr>
      <w:r w:rsidRPr="009B78DA">
        <w:rPr>
          <w:rFonts w:ascii="Arial" w:hAnsi="Arial" w:cs="Arial"/>
          <w:color w:val="000000" w:themeColor="text1"/>
          <w:sz w:val="22"/>
          <w:szCs w:val="22"/>
        </w:rPr>
        <w:t>inne środki pomocowe</w:t>
      </w:r>
    </w:p>
    <w:p w14:paraId="4C253521" w14:textId="47897CD6" w:rsidR="00BB0089" w:rsidRPr="009B78DA" w:rsidRDefault="00BB0089" w:rsidP="00BB0089">
      <w:pPr>
        <w:spacing w:after="0" w:line="264" w:lineRule="auto"/>
        <w:jc w:val="both"/>
        <w:rPr>
          <w:rFonts w:ascii="Arial" w:hAnsi="Arial" w:cs="Arial"/>
          <w:color w:val="000000" w:themeColor="text1"/>
          <w:sz w:val="22"/>
          <w:szCs w:val="22"/>
        </w:rPr>
        <w:sectPr w:rsidR="00BB0089" w:rsidRPr="009B78DA" w:rsidSect="00596015">
          <w:pgSz w:w="11906" w:h="16838"/>
          <w:pgMar w:top="1417" w:right="1417" w:bottom="1417" w:left="1417" w:header="708" w:footer="708" w:gutter="0"/>
          <w:cols w:space="708"/>
          <w:docGrid w:linePitch="360"/>
        </w:sectPr>
      </w:pPr>
    </w:p>
    <w:p w14:paraId="24829F38" w14:textId="28A0B69C" w:rsidR="00FB2CB0" w:rsidRPr="009B78DA" w:rsidRDefault="00FB2CB0" w:rsidP="00FB2CB0">
      <w:pPr>
        <w:pStyle w:val="Legenda"/>
        <w:keepNext/>
        <w:jc w:val="both"/>
        <w:rPr>
          <w:rFonts w:ascii="Arial" w:hAnsi="Arial" w:cs="Arial"/>
          <w:i w:val="0"/>
          <w:color w:val="000000" w:themeColor="text1"/>
          <w:sz w:val="22"/>
          <w:szCs w:val="22"/>
        </w:rPr>
      </w:pPr>
      <w:bookmarkStart w:id="393" w:name="_Toc146785756"/>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Źródła finansowania inwestycji transportowych z wykorzystaniem środków UE dostępnych w perspektywach finansowych na lata</w:t>
      </w:r>
      <w:r w:rsidR="0099520C">
        <w:rPr>
          <w:rFonts w:ascii="Arial" w:hAnsi="Arial" w:cs="Arial"/>
          <w:i w:val="0"/>
          <w:color w:val="000000" w:themeColor="text1"/>
          <w:sz w:val="22"/>
          <w:szCs w:val="22"/>
        </w:rPr>
        <w:t xml:space="preserve"> 2014-2020 </w:t>
      </w:r>
      <w:r w:rsidR="0099520C">
        <w:rPr>
          <w:rFonts w:ascii="Arial" w:hAnsi="Arial" w:cs="Arial"/>
          <w:i w:val="0"/>
          <w:color w:val="000000" w:themeColor="text1"/>
          <w:sz w:val="22"/>
          <w:szCs w:val="22"/>
        </w:rPr>
        <w:br/>
      </w:r>
      <w:r w:rsidRPr="009B78DA">
        <w:rPr>
          <w:rFonts w:ascii="Arial" w:hAnsi="Arial" w:cs="Arial"/>
          <w:i w:val="0"/>
          <w:color w:val="000000" w:themeColor="text1"/>
          <w:sz w:val="22"/>
          <w:szCs w:val="22"/>
        </w:rPr>
        <w:t>i 2021-2027 (z uwzględnieniem środków w ramach KPO) wg założonych alokacji przewidzianych na zadania z dziedziny transportu.</w:t>
      </w:r>
      <w:bookmarkEnd w:id="393"/>
    </w:p>
    <w:tbl>
      <w:tblPr>
        <w:tblStyle w:val="Tabela-Siatka1"/>
        <w:tblW w:w="5000" w:type="pct"/>
        <w:tblLook w:val="04A0" w:firstRow="1" w:lastRow="0" w:firstColumn="1" w:lastColumn="0" w:noHBand="0" w:noVBand="1"/>
        <w:tblCaption w:val="Tabela 26 Źródła finansowania inwestycji transportowych z wykorzystaniem środków UE dostępnych w perspektywach finansowych na lata 2014-2020 i 2021-2027 (z uwzględnieniem środków w ramach KPO) wg założonych alokacji przewidzianych na zadania z dziedziny transportu."/>
        <w:tblDescription w:val="Tabela zawiera PF na lata 2014-2020 Program, Alokacja (EUR), PF na lata 2021-2027 Program, Alokacja (EUR)"/>
      </w:tblPr>
      <w:tblGrid>
        <w:gridCol w:w="4389"/>
        <w:gridCol w:w="2142"/>
        <w:gridCol w:w="5032"/>
        <w:gridCol w:w="3825"/>
      </w:tblGrid>
      <w:tr w:rsidR="006F4FD2" w:rsidRPr="009B78DA" w14:paraId="35C76455" w14:textId="77777777" w:rsidTr="0099520C">
        <w:trPr>
          <w:tblHeader/>
        </w:trPr>
        <w:tc>
          <w:tcPr>
            <w:tcW w:w="1426" w:type="pct"/>
            <w:shd w:val="clear" w:color="auto" w:fill="DEEAF6" w:themeFill="accent1" w:themeFillTint="33"/>
            <w:vAlign w:val="center"/>
          </w:tcPr>
          <w:p w14:paraId="00A08EC9" w14:textId="7E668C31" w:rsidR="00C729E8" w:rsidRPr="009B78DA" w:rsidRDefault="000A07B3" w:rsidP="0099520C">
            <w:pPr>
              <w:spacing w:before="40" w:after="40" w:line="276" w:lineRule="auto"/>
              <w:jc w:val="center"/>
              <w:rPr>
                <w:rFonts w:ascii="Arial" w:hAnsi="Arial" w:cs="Arial"/>
                <w:b/>
                <w:color w:val="000000" w:themeColor="text1"/>
                <w:sz w:val="22"/>
                <w:szCs w:val="22"/>
              </w:rPr>
            </w:pPr>
            <w:r>
              <w:rPr>
                <w:rFonts w:ascii="Arial" w:hAnsi="Arial" w:cs="Arial"/>
                <w:b/>
                <w:color w:val="000000" w:themeColor="text1"/>
                <w:sz w:val="22"/>
                <w:szCs w:val="22"/>
              </w:rPr>
              <w:t>PF na lata 2014-2020 Program</w:t>
            </w:r>
          </w:p>
        </w:tc>
        <w:tc>
          <w:tcPr>
            <w:tcW w:w="696" w:type="pct"/>
            <w:shd w:val="clear" w:color="auto" w:fill="DEEAF6" w:themeFill="accent1" w:themeFillTint="33"/>
            <w:vAlign w:val="center"/>
          </w:tcPr>
          <w:p w14:paraId="2A925491"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Alokacja (EUR)</w:t>
            </w:r>
          </w:p>
        </w:tc>
        <w:tc>
          <w:tcPr>
            <w:tcW w:w="1635" w:type="pct"/>
            <w:shd w:val="clear" w:color="auto" w:fill="DEEAF6" w:themeFill="accent1" w:themeFillTint="33"/>
            <w:vAlign w:val="center"/>
          </w:tcPr>
          <w:p w14:paraId="4AC30436"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PF na lata 2021-2027 Program</w:t>
            </w:r>
          </w:p>
        </w:tc>
        <w:tc>
          <w:tcPr>
            <w:tcW w:w="1243" w:type="pct"/>
            <w:shd w:val="clear" w:color="auto" w:fill="DEEAF6" w:themeFill="accent1" w:themeFillTint="33"/>
            <w:vAlign w:val="center"/>
          </w:tcPr>
          <w:p w14:paraId="3685602D"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Alokacja (EUR)</w:t>
            </w:r>
          </w:p>
        </w:tc>
      </w:tr>
      <w:tr w:rsidR="006F4FD2" w:rsidRPr="009B78DA" w14:paraId="120E373D" w14:textId="77777777" w:rsidTr="0099520C">
        <w:tc>
          <w:tcPr>
            <w:tcW w:w="1426" w:type="pct"/>
            <w:vAlign w:val="center"/>
          </w:tcPr>
          <w:p w14:paraId="3D60DD62"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RPO WP 2014-2020</w:t>
            </w:r>
          </w:p>
        </w:tc>
        <w:tc>
          <w:tcPr>
            <w:tcW w:w="696" w:type="pct"/>
            <w:vAlign w:val="center"/>
          </w:tcPr>
          <w:p w14:paraId="4819BD89" w14:textId="4A585B5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406 382 648</w:t>
            </w:r>
          </w:p>
        </w:tc>
        <w:tc>
          <w:tcPr>
            <w:tcW w:w="1635" w:type="pct"/>
            <w:vAlign w:val="center"/>
          </w:tcPr>
          <w:p w14:paraId="1E890ECF"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Program Regionalny Fundusze Europejskie dla Podkarpacia 2021-2027</w:t>
            </w:r>
          </w:p>
        </w:tc>
        <w:tc>
          <w:tcPr>
            <w:tcW w:w="1243" w:type="pct"/>
            <w:vAlign w:val="center"/>
          </w:tcPr>
          <w:p w14:paraId="0B09CD1B"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305 225 151*</w:t>
            </w:r>
          </w:p>
        </w:tc>
      </w:tr>
      <w:tr w:rsidR="006F4FD2" w:rsidRPr="009B78DA" w14:paraId="5AE203F8" w14:textId="77777777" w:rsidTr="0099520C">
        <w:tc>
          <w:tcPr>
            <w:tcW w:w="1426" w:type="pct"/>
            <w:vAlign w:val="center"/>
          </w:tcPr>
          <w:p w14:paraId="4669DC00"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POIiŚ</w:t>
            </w:r>
          </w:p>
        </w:tc>
        <w:tc>
          <w:tcPr>
            <w:tcW w:w="696" w:type="pct"/>
            <w:vAlign w:val="center"/>
          </w:tcPr>
          <w:p w14:paraId="6629D8B8"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19 811 566 714</w:t>
            </w:r>
          </w:p>
        </w:tc>
        <w:tc>
          <w:tcPr>
            <w:tcW w:w="1635" w:type="pct"/>
            <w:vAlign w:val="center"/>
          </w:tcPr>
          <w:p w14:paraId="6E6BFA2F" w14:textId="25341718"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FE</w:t>
            </w:r>
            <w:r w:rsidR="00B77C70" w:rsidRPr="009B78DA">
              <w:rPr>
                <w:rFonts w:ascii="Arial" w:hAnsi="Arial" w:cs="Arial"/>
                <w:b/>
                <w:color w:val="000000" w:themeColor="text1"/>
                <w:sz w:val="22"/>
                <w:szCs w:val="22"/>
              </w:rPr>
              <w:t>nI</w:t>
            </w:r>
            <w:r w:rsidRPr="009B78DA">
              <w:rPr>
                <w:rFonts w:ascii="Arial" w:hAnsi="Arial" w:cs="Arial"/>
                <w:b/>
                <w:color w:val="000000" w:themeColor="text1"/>
                <w:sz w:val="22"/>
                <w:szCs w:val="22"/>
              </w:rPr>
              <w:t>KS</w:t>
            </w:r>
          </w:p>
        </w:tc>
        <w:tc>
          <w:tcPr>
            <w:tcW w:w="1243" w:type="pct"/>
            <w:vAlign w:val="center"/>
          </w:tcPr>
          <w:p w14:paraId="3F69DA21" w14:textId="085ED646" w:rsidR="00C729E8" w:rsidRPr="009B78DA" w:rsidRDefault="00C375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12 910 654 906</w:t>
            </w:r>
          </w:p>
        </w:tc>
      </w:tr>
      <w:tr w:rsidR="006F4FD2" w:rsidRPr="009B78DA" w14:paraId="01D5109A" w14:textId="77777777" w:rsidTr="0099520C">
        <w:tc>
          <w:tcPr>
            <w:tcW w:w="1426" w:type="pct"/>
            <w:vAlign w:val="center"/>
          </w:tcPr>
          <w:p w14:paraId="2BBF3516"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PO PW</w:t>
            </w:r>
          </w:p>
        </w:tc>
        <w:tc>
          <w:tcPr>
            <w:tcW w:w="696" w:type="pct"/>
            <w:vAlign w:val="center"/>
          </w:tcPr>
          <w:p w14:paraId="6164475C"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1 246 562 812</w:t>
            </w:r>
          </w:p>
        </w:tc>
        <w:tc>
          <w:tcPr>
            <w:tcW w:w="1635" w:type="pct"/>
            <w:vAlign w:val="center"/>
          </w:tcPr>
          <w:p w14:paraId="5F12815E"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FEPW</w:t>
            </w:r>
          </w:p>
        </w:tc>
        <w:tc>
          <w:tcPr>
            <w:tcW w:w="1243" w:type="pct"/>
            <w:vAlign w:val="center"/>
          </w:tcPr>
          <w:p w14:paraId="63F9D108" w14:textId="4E92449E"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1</w:t>
            </w:r>
            <w:r w:rsidR="008C32E5" w:rsidRPr="009B78DA">
              <w:rPr>
                <w:rFonts w:ascii="Arial" w:hAnsi="Arial" w:cs="Arial"/>
                <w:b/>
                <w:color w:val="000000" w:themeColor="text1"/>
                <w:sz w:val="22"/>
                <w:szCs w:val="22"/>
              </w:rPr>
              <w:t> 539 692 954</w:t>
            </w:r>
          </w:p>
        </w:tc>
      </w:tr>
      <w:tr w:rsidR="006F4FD2" w:rsidRPr="009B78DA" w14:paraId="360821CD" w14:textId="77777777" w:rsidTr="0099520C">
        <w:tc>
          <w:tcPr>
            <w:tcW w:w="1426" w:type="pct"/>
            <w:vAlign w:val="center"/>
          </w:tcPr>
          <w:p w14:paraId="65EA9E9D"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EWT 2014-2020</w:t>
            </w:r>
          </w:p>
        </w:tc>
        <w:tc>
          <w:tcPr>
            <w:tcW w:w="696" w:type="pct"/>
            <w:vAlign w:val="center"/>
          </w:tcPr>
          <w:p w14:paraId="74D3CF7E"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109 199 038</w:t>
            </w:r>
          </w:p>
        </w:tc>
        <w:tc>
          <w:tcPr>
            <w:tcW w:w="1635" w:type="pct"/>
            <w:vAlign w:val="center"/>
          </w:tcPr>
          <w:p w14:paraId="7CCBF92D"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EWT 2021-2027</w:t>
            </w:r>
          </w:p>
        </w:tc>
        <w:tc>
          <w:tcPr>
            <w:tcW w:w="1243" w:type="pct"/>
            <w:vAlign w:val="center"/>
          </w:tcPr>
          <w:p w14:paraId="38231C79" w14:textId="56C20D4E" w:rsidR="00C729E8" w:rsidRPr="009B78DA" w:rsidRDefault="00067BBB"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73 116 142</w:t>
            </w:r>
            <w:r w:rsidR="001A35F2" w:rsidRPr="009B78DA">
              <w:rPr>
                <w:rFonts w:ascii="Arial" w:hAnsi="Arial" w:cs="Arial"/>
                <w:b/>
                <w:color w:val="000000" w:themeColor="text1"/>
                <w:sz w:val="22"/>
                <w:szCs w:val="22"/>
              </w:rPr>
              <w:t xml:space="preserve"> </w:t>
            </w:r>
            <w:r w:rsidR="00C729E8" w:rsidRPr="009B78DA">
              <w:rPr>
                <w:rFonts w:ascii="Arial" w:hAnsi="Arial" w:cs="Arial"/>
                <w:b/>
                <w:color w:val="000000" w:themeColor="text1"/>
                <w:sz w:val="22"/>
                <w:szCs w:val="22"/>
              </w:rPr>
              <w:t>**</w:t>
            </w:r>
          </w:p>
        </w:tc>
      </w:tr>
      <w:tr w:rsidR="006F4FD2" w:rsidRPr="009B78DA" w14:paraId="071EFE1D" w14:textId="77777777" w:rsidTr="0099520C">
        <w:tc>
          <w:tcPr>
            <w:tcW w:w="1426" w:type="pct"/>
            <w:vAlign w:val="center"/>
          </w:tcPr>
          <w:p w14:paraId="71059920" w14:textId="77777777" w:rsidR="00C729E8" w:rsidRPr="009B78DA" w:rsidRDefault="00C729E8" w:rsidP="0099520C">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Program Współpracy Transgranicznej Rzeczpospolita Polska – Republika Słowacka 2014-2020</w:t>
            </w:r>
          </w:p>
        </w:tc>
        <w:tc>
          <w:tcPr>
            <w:tcW w:w="696" w:type="pct"/>
            <w:vAlign w:val="center"/>
          </w:tcPr>
          <w:p w14:paraId="7ED050CA" w14:textId="77777777" w:rsidR="00C729E8" w:rsidRPr="009B78DA" w:rsidRDefault="00C729E8" w:rsidP="0099520C">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55 800 000</w:t>
            </w:r>
          </w:p>
        </w:tc>
        <w:tc>
          <w:tcPr>
            <w:tcW w:w="1635" w:type="pct"/>
            <w:vAlign w:val="center"/>
          </w:tcPr>
          <w:p w14:paraId="18B85271" w14:textId="77777777" w:rsidR="00C729E8" w:rsidRPr="009B78DA" w:rsidRDefault="00C729E8" w:rsidP="0099520C">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Program Współpracy Transgranicznej Rzeczpospolita Polska – Republika Słowacka 2021-2027</w:t>
            </w:r>
          </w:p>
        </w:tc>
        <w:tc>
          <w:tcPr>
            <w:tcW w:w="1243" w:type="pct"/>
            <w:vAlign w:val="center"/>
          </w:tcPr>
          <w:p w14:paraId="723F72AB" w14:textId="4A051C80" w:rsidR="00C729E8" w:rsidRPr="009B78DA" w:rsidRDefault="00BB2E6D" w:rsidP="0099520C">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 xml:space="preserve">24 616 142 </w:t>
            </w:r>
            <w:r w:rsidR="00C729E8" w:rsidRPr="009B78DA">
              <w:rPr>
                <w:rFonts w:ascii="Arial" w:hAnsi="Arial" w:cs="Arial"/>
                <w:color w:val="000000" w:themeColor="text1"/>
                <w:sz w:val="22"/>
                <w:szCs w:val="22"/>
              </w:rPr>
              <w:t>***</w:t>
            </w:r>
          </w:p>
        </w:tc>
      </w:tr>
      <w:tr w:rsidR="006F4FD2" w:rsidRPr="009B78DA" w14:paraId="3EFDBDF7" w14:textId="77777777" w:rsidTr="0099520C">
        <w:tc>
          <w:tcPr>
            <w:tcW w:w="1426" w:type="pct"/>
            <w:vAlign w:val="center"/>
          </w:tcPr>
          <w:p w14:paraId="4B0758E7" w14:textId="77777777" w:rsidR="00C729E8" w:rsidRPr="009B78DA" w:rsidRDefault="00C729E8" w:rsidP="0099520C">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Program Współpracy Transgranicznej Polska-Białoruś-Ukraina 2014-2020</w:t>
            </w:r>
          </w:p>
        </w:tc>
        <w:tc>
          <w:tcPr>
            <w:tcW w:w="696" w:type="pct"/>
            <w:vAlign w:val="center"/>
          </w:tcPr>
          <w:p w14:paraId="73EA82DC" w14:textId="77777777" w:rsidR="00C729E8" w:rsidRPr="009B78DA" w:rsidRDefault="00C729E8" w:rsidP="0099520C">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53 399 038</w:t>
            </w:r>
          </w:p>
        </w:tc>
        <w:tc>
          <w:tcPr>
            <w:tcW w:w="1635" w:type="pct"/>
            <w:vAlign w:val="center"/>
          </w:tcPr>
          <w:p w14:paraId="06AB362D" w14:textId="66E2A1F6" w:rsidR="00C729E8" w:rsidRPr="009B78DA" w:rsidRDefault="00B97ABD" w:rsidP="0099520C">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Interreg NEXT Polska-Ukraina 2021-2027</w:t>
            </w:r>
          </w:p>
        </w:tc>
        <w:tc>
          <w:tcPr>
            <w:tcW w:w="1243" w:type="pct"/>
            <w:vAlign w:val="center"/>
          </w:tcPr>
          <w:p w14:paraId="714A0063" w14:textId="1F06B427" w:rsidR="00C729E8" w:rsidRPr="009B78DA" w:rsidRDefault="00067BBB" w:rsidP="0099520C">
            <w:pPr>
              <w:spacing w:before="40" w:after="40" w:line="276" w:lineRule="auto"/>
              <w:jc w:val="center"/>
              <w:rPr>
                <w:rFonts w:ascii="Arial" w:hAnsi="Arial" w:cs="Arial"/>
                <w:bCs/>
                <w:color w:val="000000" w:themeColor="text1"/>
                <w:sz w:val="22"/>
                <w:szCs w:val="22"/>
              </w:rPr>
            </w:pPr>
            <w:r w:rsidRPr="009B78DA">
              <w:rPr>
                <w:rFonts w:ascii="Arial" w:hAnsi="Arial" w:cs="Arial"/>
                <w:bCs/>
                <w:color w:val="000000" w:themeColor="text1"/>
                <w:sz w:val="22"/>
                <w:szCs w:val="22"/>
              </w:rPr>
              <w:t>48 500 000</w:t>
            </w:r>
          </w:p>
        </w:tc>
      </w:tr>
      <w:tr w:rsidR="006F4FD2" w:rsidRPr="009B78DA" w14:paraId="3AD66409" w14:textId="77777777" w:rsidTr="0099520C">
        <w:tc>
          <w:tcPr>
            <w:tcW w:w="1426" w:type="pct"/>
            <w:vAlign w:val="center"/>
          </w:tcPr>
          <w:p w14:paraId="276D8B11" w14:textId="77777777" w:rsidR="00C729E8" w:rsidRPr="009B78DA" w:rsidRDefault="00C729E8" w:rsidP="0099520C">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696" w:type="pct"/>
            <w:vAlign w:val="center"/>
          </w:tcPr>
          <w:p w14:paraId="307CD8F4" w14:textId="77777777" w:rsidR="00C729E8" w:rsidRPr="009B78DA" w:rsidRDefault="00C729E8" w:rsidP="0099520C">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w:t>
            </w:r>
          </w:p>
        </w:tc>
        <w:tc>
          <w:tcPr>
            <w:tcW w:w="1635" w:type="pct"/>
            <w:vAlign w:val="center"/>
          </w:tcPr>
          <w:p w14:paraId="409BD0F2"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Krajowy Plan Odbudowy</w:t>
            </w:r>
          </w:p>
        </w:tc>
        <w:tc>
          <w:tcPr>
            <w:tcW w:w="1243" w:type="pct"/>
            <w:vAlign w:val="center"/>
          </w:tcPr>
          <w:p w14:paraId="34ABB89E" w14:textId="12FD0CF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 xml:space="preserve">7 </w:t>
            </w:r>
            <w:r w:rsidR="0067635C" w:rsidRPr="009B78DA">
              <w:rPr>
                <w:rFonts w:ascii="Arial" w:hAnsi="Arial" w:cs="Arial"/>
                <w:b/>
                <w:color w:val="000000" w:themeColor="text1"/>
                <w:sz w:val="22"/>
                <w:szCs w:val="22"/>
              </w:rPr>
              <w:t>515</w:t>
            </w:r>
            <w:r w:rsidRPr="009B78DA">
              <w:rPr>
                <w:rFonts w:ascii="Arial" w:hAnsi="Arial" w:cs="Arial"/>
                <w:b/>
                <w:color w:val="000000" w:themeColor="text1"/>
                <w:sz w:val="22"/>
                <w:szCs w:val="22"/>
              </w:rPr>
              <w:t xml:space="preserve"> 000 000****</w:t>
            </w:r>
          </w:p>
        </w:tc>
      </w:tr>
      <w:tr w:rsidR="00C729E8" w:rsidRPr="009B78DA" w14:paraId="15C9A67E" w14:textId="77777777" w:rsidTr="0099520C">
        <w:tc>
          <w:tcPr>
            <w:tcW w:w="1426" w:type="pct"/>
            <w:vAlign w:val="center"/>
          </w:tcPr>
          <w:p w14:paraId="4DC8708E"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RAZEM</w:t>
            </w:r>
          </w:p>
        </w:tc>
        <w:tc>
          <w:tcPr>
            <w:tcW w:w="696" w:type="pct"/>
            <w:vAlign w:val="center"/>
          </w:tcPr>
          <w:p w14:paraId="1D92D5C6"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21 573 711 212</w:t>
            </w:r>
          </w:p>
        </w:tc>
        <w:tc>
          <w:tcPr>
            <w:tcW w:w="1635" w:type="pct"/>
            <w:vAlign w:val="center"/>
          </w:tcPr>
          <w:p w14:paraId="251FCCC5" w14:textId="77777777" w:rsidR="00C729E8" w:rsidRPr="009B78DA" w:rsidRDefault="00C729E8" w:rsidP="0099520C">
            <w:pPr>
              <w:spacing w:before="40" w:after="4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RAZEM</w:t>
            </w:r>
          </w:p>
        </w:tc>
        <w:tc>
          <w:tcPr>
            <w:tcW w:w="1243" w:type="pct"/>
            <w:vAlign w:val="center"/>
          </w:tcPr>
          <w:p w14:paraId="4FFF721D" w14:textId="13557339" w:rsidR="00C729E8" w:rsidRPr="009B78DA" w:rsidRDefault="00E110B1" w:rsidP="0099520C">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22</w:t>
            </w:r>
            <w:r w:rsidR="00AF2477" w:rsidRPr="009B78DA">
              <w:rPr>
                <w:rFonts w:ascii="Arial" w:hAnsi="Arial" w:cs="Arial"/>
                <w:b/>
                <w:bCs/>
                <w:color w:val="000000" w:themeColor="text1"/>
                <w:sz w:val="22"/>
                <w:szCs w:val="22"/>
              </w:rPr>
              <w:t xml:space="preserve"> </w:t>
            </w:r>
            <w:r w:rsidRPr="009B78DA">
              <w:rPr>
                <w:rFonts w:ascii="Arial" w:hAnsi="Arial" w:cs="Arial"/>
                <w:b/>
                <w:bCs/>
                <w:color w:val="000000" w:themeColor="text1"/>
                <w:sz w:val="22"/>
                <w:szCs w:val="22"/>
              </w:rPr>
              <w:t>343</w:t>
            </w:r>
            <w:r w:rsidR="00AF2477" w:rsidRPr="009B78DA">
              <w:rPr>
                <w:rFonts w:ascii="Arial" w:hAnsi="Arial" w:cs="Arial"/>
                <w:b/>
                <w:bCs/>
                <w:color w:val="000000" w:themeColor="text1"/>
                <w:sz w:val="22"/>
                <w:szCs w:val="22"/>
              </w:rPr>
              <w:t xml:space="preserve"> </w:t>
            </w:r>
            <w:r w:rsidRPr="009B78DA">
              <w:rPr>
                <w:rFonts w:ascii="Arial" w:hAnsi="Arial" w:cs="Arial"/>
                <w:b/>
                <w:bCs/>
                <w:color w:val="000000" w:themeColor="text1"/>
                <w:sz w:val="22"/>
                <w:szCs w:val="22"/>
              </w:rPr>
              <w:t>689</w:t>
            </w:r>
            <w:r w:rsidR="00AF2477" w:rsidRPr="009B78DA">
              <w:rPr>
                <w:rFonts w:ascii="Arial" w:hAnsi="Arial" w:cs="Arial"/>
                <w:b/>
                <w:bCs/>
                <w:color w:val="000000" w:themeColor="text1"/>
                <w:sz w:val="22"/>
                <w:szCs w:val="22"/>
              </w:rPr>
              <w:t xml:space="preserve"> </w:t>
            </w:r>
            <w:r w:rsidRPr="009B78DA">
              <w:rPr>
                <w:rFonts w:ascii="Arial" w:hAnsi="Arial" w:cs="Arial"/>
                <w:b/>
                <w:bCs/>
                <w:color w:val="000000" w:themeColor="text1"/>
                <w:sz w:val="22"/>
                <w:szCs w:val="22"/>
              </w:rPr>
              <w:t>153</w:t>
            </w:r>
          </w:p>
        </w:tc>
      </w:tr>
    </w:tbl>
    <w:p w14:paraId="6CC51460" w14:textId="54A4D72B" w:rsidR="00C729E8" w:rsidRPr="009B78DA" w:rsidRDefault="00C729E8" w:rsidP="0099520C">
      <w:pPr>
        <w:spacing w:before="120" w:after="120" w:line="276" w:lineRule="auto"/>
        <w:rPr>
          <w:rFonts w:ascii="Arial" w:hAnsi="Arial" w:cs="Arial"/>
          <w:color w:val="000000" w:themeColor="text1"/>
          <w:sz w:val="22"/>
          <w:szCs w:val="22"/>
        </w:rPr>
      </w:pPr>
      <w:r w:rsidRPr="0099520C">
        <w:rPr>
          <w:rFonts w:ascii="Arial" w:hAnsi="Arial" w:cs="Arial"/>
          <w:b/>
          <w:color w:val="000000" w:themeColor="text1"/>
          <w:sz w:val="22"/>
          <w:szCs w:val="22"/>
        </w:rPr>
        <w:t>*</w:t>
      </w:r>
      <w:r w:rsidRPr="009B78DA">
        <w:rPr>
          <w:rFonts w:ascii="Arial" w:hAnsi="Arial" w:cs="Arial"/>
          <w:color w:val="000000" w:themeColor="text1"/>
          <w:sz w:val="22"/>
          <w:szCs w:val="22"/>
        </w:rPr>
        <w:t xml:space="preserve"> Łączna kwota środków dostępnych w ramach Priorytetu 3. </w:t>
      </w:r>
      <w:r w:rsidRPr="009B78DA">
        <w:rPr>
          <w:rFonts w:ascii="Arial" w:hAnsi="Arial" w:cs="Arial"/>
          <w:i/>
          <w:color w:val="000000" w:themeColor="text1"/>
          <w:sz w:val="22"/>
          <w:szCs w:val="22"/>
        </w:rPr>
        <w:t>Mobilność miejska</w:t>
      </w:r>
      <w:r w:rsidRPr="009B78DA">
        <w:rPr>
          <w:rFonts w:ascii="Arial" w:hAnsi="Arial" w:cs="Arial"/>
          <w:color w:val="000000" w:themeColor="text1"/>
          <w:sz w:val="22"/>
          <w:szCs w:val="22"/>
        </w:rPr>
        <w:t xml:space="preserve"> oraz 4. </w:t>
      </w:r>
      <w:r w:rsidRPr="009B78DA">
        <w:rPr>
          <w:rFonts w:ascii="Arial" w:hAnsi="Arial" w:cs="Arial"/>
          <w:i/>
          <w:color w:val="000000" w:themeColor="text1"/>
          <w:sz w:val="22"/>
          <w:szCs w:val="22"/>
        </w:rPr>
        <w:t>Mobilność i łączność</w:t>
      </w:r>
      <w:r w:rsidRPr="009B78DA">
        <w:rPr>
          <w:rFonts w:ascii="Arial" w:hAnsi="Arial" w:cs="Arial"/>
          <w:color w:val="000000" w:themeColor="text1"/>
          <w:sz w:val="22"/>
          <w:szCs w:val="22"/>
        </w:rPr>
        <w:t xml:space="preserve"> wg poziomu wskazanego </w:t>
      </w:r>
      <w:r w:rsidR="0099520C">
        <w:rPr>
          <w:rFonts w:ascii="Arial" w:hAnsi="Arial" w:cs="Arial"/>
          <w:color w:val="000000" w:themeColor="text1"/>
          <w:sz w:val="22"/>
          <w:szCs w:val="22"/>
        </w:rPr>
        <w:t>w planowanym podziale alokacji.</w:t>
      </w:r>
    </w:p>
    <w:p w14:paraId="5FAB976A" w14:textId="000EBDF3" w:rsidR="00C729E8" w:rsidRPr="009B78DA" w:rsidRDefault="00C729E8" w:rsidP="0099520C">
      <w:pPr>
        <w:spacing w:before="120" w:after="120" w:line="276" w:lineRule="auto"/>
        <w:rPr>
          <w:rFonts w:ascii="Arial" w:hAnsi="Arial" w:cs="Arial"/>
          <w:color w:val="000000" w:themeColor="text1"/>
          <w:sz w:val="22"/>
          <w:szCs w:val="22"/>
        </w:rPr>
      </w:pPr>
      <w:r w:rsidRPr="0099520C">
        <w:rPr>
          <w:rFonts w:ascii="Arial" w:hAnsi="Arial" w:cs="Arial"/>
          <w:b/>
          <w:color w:val="000000" w:themeColor="text1"/>
          <w:sz w:val="22"/>
          <w:szCs w:val="22"/>
        </w:rPr>
        <w:t>**</w:t>
      </w:r>
      <w:r w:rsidRPr="009B78DA">
        <w:rPr>
          <w:rFonts w:ascii="Arial" w:hAnsi="Arial" w:cs="Arial"/>
          <w:color w:val="000000" w:themeColor="text1"/>
          <w:sz w:val="22"/>
          <w:szCs w:val="22"/>
        </w:rPr>
        <w:t xml:space="preserve"> Kwota środków pochodzących z EFRR dostępnych w ramach</w:t>
      </w:r>
      <w:r w:rsidRPr="009B78DA">
        <w:rPr>
          <w:color w:val="000000" w:themeColor="text1"/>
        </w:rPr>
        <w:t xml:space="preserve"> </w:t>
      </w:r>
      <w:r w:rsidRPr="009B78DA">
        <w:rPr>
          <w:rFonts w:ascii="Arial" w:hAnsi="Arial" w:cs="Arial"/>
          <w:color w:val="000000" w:themeColor="text1"/>
          <w:sz w:val="22"/>
          <w:szCs w:val="22"/>
        </w:rPr>
        <w:t>Programu Współpracy Transgranicznej Rzeczpospolita Polska – Republika Słowacka 2021-2027</w:t>
      </w:r>
      <w:r w:rsidR="00067BBB" w:rsidRPr="009B78DA">
        <w:rPr>
          <w:rFonts w:ascii="Arial" w:hAnsi="Arial" w:cs="Arial"/>
          <w:color w:val="000000" w:themeColor="text1"/>
          <w:sz w:val="22"/>
          <w:szCs w:val="22"/>
        </w:rPr>
        <w:t xml:space="preserve"> wraz z środkami </w:t>
      </w:r>
      <w:r w:rsidR="00C52386" w:rsidRPr="009B78DA">
        <w:rPr>
          <w:rFonts w:ascii="Arial" w:hAnsi="Arial" w:cs="Arial"/>
          <w:color w:val="000000" w:themeColor="text1"/>
          <w:sz w:val="22"/>
          <w:szCs w:val="22"/>
        </w:rPr>
        <w:t xml:space="preserve">alokowanymi na przedsięwzięcia transportowe w ramach Programu </w:t>
      </w:r>
      <w:r w:rsidR="00067BBB" w:rsidRPr="009B78DA">
        <w:rPr>
          <w:rFonts w:ascii="Arial" w:hAnsi="Arial" w:cs="Arial"/>
          <w:color w:val="000000" w:themeColor="text1"/>
          <w:sz w:val="22"/>
          <w:szCs w:val="22"/>
        </w:rPr>
        <w:t>Interreg NEXT Polska-Ukraina 2021-2027</w:t>
      </w:r>
      <w:r w:rsidR="00C52386"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Kwota dostępnych środków zostanie zaktualizowana i/lub uzupełniona w momencie pozyskania adekwatnych danych.</w:t>
      </w:r>
    </w:p>
    <w:p w14:paraId="54DCB71E" w14:textId="2C37B5E4" w:rsidR="00C729E8" w:rsidRPr="009B78DA" w:rsidRDefault="00C729E8" w:rsidP="0099520C">
      <w:pPr>
        <w:spacing w:before="120" w:after="120" w:line="276" w:lineRule="auto"/>
        <w:rPr>
          <w:rFonts w:ascii="Arial" w:hAnsi="Arial" w:cs="Arial"/>
          <w:color w:val="000000" w:themeColor="text1"/>
          <w:sz w:val="22"/>
          <w:szCs w:val="22"/>
        </w:rPr>
      </w:pPr>
      <w:r w:rsidRPr="0099520C">
        <w:rPr>
          <w:rFonts w:ascii="Arial" w:hAnsi="Arial" w:cs="Arial"/>
          <w:b/>
          <w:color w:val="000000" w:themeColor="text1"/>
          <w:sz w:val="22"/>
          <w:szCs w:val="22"/>
        </w:rPr>
        <w:t>***</w:t>
      </w:r>
      <w:r w:rsidRPr="009B78DA">
        <w:rPr>
          <w:rFonts w:ascii="Arial" w:hAnsi="Arial" w:cs="Arial"/>
          <w:color w:val="000000" w:themeColor="text1"/>
          <w:sz w:val="22"/>
          <w:szCs w:val="22"/>
        </w:rPr>
        <w:t xml:space="preserve"> Kwota środków pochodzących z EFRR dostępnych w ramach Priorytetu 2 </w:t>
      </w:r>
      <w:r w:rsidR="001A35F2" w:rsidRPr="009B78DA">
        <w:rPr>
          <w:rFonts w:ascii="Arial" w:hAnsi="Arial" w:cs="Arial"/>
          <w:color w:val="000000" w:themeColor="text1"/>
          <w:sz w:val="22"/>
          <w:szCs w:val="22"/>
        </w:rPr>
        <w:t xml:space="preserve">z uwzględnieniem </w:t>
      </w:r>
      <w:r w:rsidRPr="009B78DA">
        <w:rPr>
          <w:rFonts w:ascii="Arial" w:hAnsi="Arial" w:cs="Arial"/>
          <w:color w:val="000000" w:themeColor="text1"/>
          <w:sz w:val="22"/>
          <w:szCs w:val="22"/>
        </w:rPr>
        <w:t>środków przeznac</w:t>
      </w:r>
      <w:r w:rsidR="0099520C">
        <w:rPr>
          <w:rFonts w:ascii="Arial" w:hAnsi="Arial" w:cs="Arial"/>
          <w:color w:val="000000" w:themeColor="text1"/>
          <w:sz w:val="22"/>
          <w:szCs w:val="22"/>
        </w:rPr>
        <w:t>zonych na pomoc techniczną.</w:t>
      </w:r>
    </w:p>
    <w:p w14:paraId="79B52107" w14:textId="6244ADB0" w:rsidR="00C729E8" w:rsidRPr="009B78DA" w:rsidRDefault="00C729E8" w:rsidP="0099520C">
      <w:pPr>
        <w:spacing w:before="120" w:after="120" w:line="276" w:lineRule="auto"/>
        <w:rPr>
          <w:rFonts w:ascii="Arial" w:hAnsi="Arial" w:cs="Arial"/>
          <w:color w:val="000000" w:themeColor="text1"/>
          <w:sz w:val="22"/>
          <w:szCs w:val="22"/>
        </w:rPr>
      </w:pPr>
      <w:r w:rsidRPr="0099520C">
        <w:rPr>
          <w:rFonts w:ascii="Arial" w:hAnsi="Arial" w:cs="Arial"/>
          <w:color w:val="000000" w:themeColor="text1"/>
          <w:sz w:val="22"/>
          <w:szCs w:val="22"/>
        </w:rPr>
        <w:t>****</w:t>
      </w:r>
      <w:r w:rsidRPr="009B78DA">
        <w:rPr>
          <w:rFonts w:ascii="Arial" w:hAnsi="Arial" w:cs="Arial"/>
          <w:color w:val="000000" w:themeColor="text1"/>
          <w:sz w:val="22"/>
          <w:szCs w:val="22"/>
        </w:rPr>
        <w:t xml:space="preserve"> Przybliżona wartość ogólnokrajowej alokacji środków przeznaczonych na zadania transportowe</w:t>
      </w:r>
      <w:r w:rsidR="0067635C" w:rsidRPr="009B78DA">
        <w:rPr>
          <w:rFonts w:ascii="Arial" w:hAnsi="Arial" w:cs="Arial"/>
          <w:color w:val="000000" w:themeColor="text1"/>
          <w:sz w:val="22"/>
          <w:szCs w:val="22"/>
        </w:rPr>
        <w:t xml:space="preserve"> (komponent E – </w:t>
      </w:r>
      <w:r w:rsidR="0067635C" w:rsidRPr="009B78DA">
        <w:rPr>
          <w:rFonts w:ascii="Arial" w:hAnsi="Arial" w:cs="Arial"/>
          <w:i/>
          <w:color w:val="000000" w:themeColor="text1"/>
          <w:sz w:val="22"/>
          <w:szCs w:val="22"/>
        </w:rPr>
        <w:t>Zielona, inteligentna mobilność</w:t>
      </w:r>
      <w:r w:rsidR="0067635C" w:rsidRPr="009B78DA">
        <w:rPr>
          <w:rFonts w:ascii="Arial" w:hAnsi="Arial" w:cs="Arial"/>
          <w:color w:val="000000" w:themeColor="text1"/>
          <w:sz w:val="22"/>
          <w:szCs w:val="22"/>
        </w:rPr>
        <w:t>)</w:t>
      </w:r>
      <w:r w:rsidRPr="009B78DA">
        <w:rPr>
          <w:rFonts w:ascii="Arial" w:hAnsi="Arial" w:cs="Arial"/>
          <w:color w:val="000000" w:themeColor="text1"/>
          <w:sz w:val="22"/>
          <w:szCs w:val="22"/>
        </w:rPr>
        <w:t>. Kwota stanowi łączną wartość środków z mechanizmu grantowego i pożyczkowego (odpowiednio: 6,</w:t>
      </w:r>
      <w:r w:rsidR="0067635C" w:rsidRPr="009B78DA">
        <w:rPr>
          <w:rFonts w:ascii="Arial" w:hAnsi="Arial" w:cs="Arial"/>
          <w:color w:val="000000" w:themeColor="text1"/>
          <w:sz w:val="22"/>
          <w:szCs w:val="22"/>
        </w:rPr>
        <w:t>815</w:t>
      </w:r>
      <w:r w:rsidRPr="009B78DA">
        <w:rPr>
          <w:rFonts w:ascii="Arial" w:hAnsi="Arial" w:cs="Arial"/>
          <w:color w:val="000000" w:themeColor="text1"/>
          <w:sz w:val="22"/>
          <w:szCs w:val="22"/>
        </w:rPr>
        <w:t xml:space="preserve"> mld euro i 0,7</w:t>
      </w:r>
      <w:r w:rsidR="0067635C" w:rsidRPr="009B78DA">
        <w:rPr>
          <w:rFonts w:ascii="Arial" w:hAnsi="Arial" w:cs="Arial"/>
          <w:color w:val="000000" w:themeColor="text1"/>
          <w:sz w:val="22"/>
          <w:szCs w:val="22"/>
        </w:rPr>
        <w:t>00</w:t>
      </w:r>
      <w:r w:rsidR="0099520C">
        <w:rPr>
          <w:rFonts w:ascii="Arial" w:hAnsi="Arial" w:cs="Arial"/>
          <w:color w:val="000000" w:themeColor="text1"/>
          <w:sz w:val="22"/>
          <w:szCs w:val="22"/>
        </w:rPr>
        <w:t xml:space="preserve"> mld euro).</w:t>
      </w:r>
    </w:p>
    <w:p w14:paraId="7851513F" w14:textId="138F40C9" w:rsidR="00C729E8" w:rsidRPr="009B78DA" w:rsidRDefault="00C729E8" w:rsidP="00F45E35">
      <w:pPr>
        <w:spacing w:after="0" w:line="276" w:lineRule="auto"/>
        <w:jc w:val="both"/>
        <w:rPr>
          <w:rFonts w:ascii="Arial" w:hAnsi="Arial" w:cs="Arial"/>
          <w:color w:val="000000" w:themeColor="text1"/>
          <w:sz w:val="22"/>
          <w:szCs w:val="22"/>
        </w:rPr>
        <w:sectPr w:rsidR="00C729E8" w:rsidRPr="009B78DA" w:rsidSect="00AB1EBC">
          <w:pgSz w:w="16838" w:h="11906" w:orient="landscape"/>
          <w:pgMar w:top="720" w:right="720" w:bottom="720" w:left="720" w:header="708" w:footer="708" w:gutter="0"/>
          <w:cols w:space="708"/>
          <w:docGrid w:linePitch="360"/>
        </w:sectPr>
      </w:pPr>
    </w:p>
    <w:p w14:paraId="1E2368C0" w14:textId="03848714" w:rsidR="00A06196" w:rsidRPr="009B78DA" w:rsidRDefault="00A06196" w:rsidP="0099520C">
      <w:pPr>
        <w:spacing w:after="0" w:line="276" w:lineRule="auto"/>
        <w:rPr>
          <w:rFonts w:ascii="Arial" w:hAnsi="Arial" w:cs="Arial"/>
          <w:color w:val="000000" w:themeColor="text1"/>
          <w:sz w:val="22"/>
          <w:szCs w:val="22"/>
        </w:rPr>
      </w:pPr>
      <w:bookmarkStart w:id="394" w:name="_Hlk92717393"/>
      <w:bookmarkStart w:id="395" w:name="_Hlk92701717"/>
      <w:r w:rsidRPr="009B78DA">
        <w:rPr>
          <w:rFonts w:ascii="Arial" w:hAnsi="Arial" w:cs="Arial"/>
          <w:color w:val="000000" w:themeColor="text1"/>
          <w:sz w:val="22"/>
          <w:szCs w:val="22"/>
        </w:rPr>
        <w:t xml:space="preserve">Porównując alokację środków potencjalnie dostępnych na realizację PSRT WP w ramach </w:t>
      </w:r>
      <w:r w:rsidR="0098565B" w:rsidRPr="009B78DA">
        <w:rPr>
          <w:rFonts w:ascii="Arial" w:hAnsi="Arial" w:cs="Arial"/>
          <w:color w:val="000000" w:themeColor="text1"/>
          <w:sz w:val="22"/>
          <w:szCs w:val="22"/>
        </w:rPr>
        <w:t>programów z f</w:t>
      </w:r>
      <w:r w:rsidRPr="009B78DA">
        <w:rPr>
          <w:rFonts w:ascii="Arial" w:hAnsi="Arial" w:cs="Arial"/>
          <w:color w:val="000000" w:themeColor="text1"/>
          <w:sz w:val="22"/>
          <w:szCs w:val="22"/>
        </w:rPr>
        <w:t xml:space="preserve">unduszy </w:t>
      </w:r>
      <w:r w:rsidR="0098565B"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uropejskich </w:t>
      </w:r>
      <w:r w:rsidR="0098565B" w:rsidRPr="009B78DA">
        <w:rPr>
          <w:rFonts w:ascii="Arial" w:hAnsi="Arial" w:cs="Arial"/>
          <w:color w:val="000000" w:themeColor="text1"/>
          <w:sz w:val="22"/>
          <w:szCs w:val="22"/>
        </w:rPr>
        <w:t xml:space="preserve">polityki spójności </w:t>
      </w:r>
      <w:r w:rsidRPr="009B78DA">
        <w:rPr>
          <w:rFonts w:ascii="Arial" w:hAnsi="Arial" w:cs="Arial"/>
          <w:color w:val="000000" w:themeColor="text1"/>
          <w:sz w:val="22"/>
          <w:szCs w:val="22"/>
        </w:rPr>
        <w:t>perspektywy finansowej UE 2014-2020, która wynosiła 21 573 711 212 EUR, co stanowiło</w:t>
      </w:r>
      <w:r w:rsidR="00DF5B61" w:rsidRPr="009B78DA">
        <w:rPr>
          <w:rFonts w:ascii="Arial" w:hAnsi="Arial" w:cs="Arial"/>
          <w:color w:val="000000" w:themeColor="text1"/>
          <w:sz w:val="22"/>
          <w:szCs w:val="22"/>
        </w:rPr>
        <w:t xml:space="preserve"> </w:t>
      </w:r>
      <w:r w:rsidR="00491990" w:rsidRPr="009B78DA">
        <w:rPr>
          <w:rFonts w:ascii="Arial" w:hAnsi="Arial" w:cs="Arial"/>
          <w:color w:val="000000" w:themeColor="text1"/>
          <w:sz w:val="22"/>
          <w:szCs w:val="22"/>
        </w:rPr>
        <w:t>95 334 229 845,83</w:t>
      </w:r>
      <w:r w:rsidR="00DF5B61" w:rsidRPr="009B78DA">
        <w:rPr>
          <w:rFonts w:ascii="Arial" w:hAnsi="Arial" w:cs="Arial"/>
          <w:color w:val="000000" w:themeColor="text1"/>
          <w:sz w:val="22"/>
          <w:szCs w:val="22"/>
        </w:rPr>
        <w:t xml:space="preserve"> PLN</w:t>
      </w:r>
      <w:r w:rsidRPr="009B78DA">
        <w:rPr>
          <w:rStyle w:val="Odwoanieprzypisudolnego"/>
          <w:rFonts w:ascii="Arial" w:hAnsi="Arial" w:cs="Arial"/>
          <w:color w:val="000000" w:themeColor="text1"/>
          <w:sz w:val="22"/>
          <w:szCs w:val="22"/>
        </w:rPr>
        <w:footnoteReference w:id="41"/>
      </w:r>
      <w:r w:rsidRPr="009B78DA">
        <w:rPr>
          <w:rFonts w:ascii="Arial" w:hAnsi="Arial" w:cs="Arial"/>
          <w:color w:val="000000" w:themeColor="text1"/>
          <w:sz w:val="22"/>
          <w:szCs w:val="22"/>
        </w:rPr>
        <w:t xml:space="preserve"> oraz przeznaczoną na inwestycje transportowe ilość </w:t>
      </w:r>
      <w:bookmarkStart w:id="396" w:name="_Hlk92714554"/>
      <w:r w:rsidRPr="009B78DA">
        <w:rPr>
          <w:rFonts w:ascii="Arial" w:hAnsi="Arial" w:cs="Arial"/>
          <w:color w:val="000000" w:themeColor="text1"/>
          <w:sz w:val="22"/>
          <w:szCs w:val="22"/>
        </w:rPr>
        <w:t>Funduszy Europejskich w ramach polityki spójności na lata 2021-2027 (wraz ze środkami KPO</w:t>
      </w:r>
      <w:bookmarkEnd w:id="396"/>
      <w:r w:rsidRPr="009B78DA">
        <w:rPr>
          <w:rFonts w:ascii="Arial" w:hAnsi="Arial" w:cs="Arial"/>
          <w:color w:val="000000" w:themeColor="text1"/>
          <w:sz w:val="22"/>
          <w:szCs w:val="22"/>
        </w:rPr>
        <w:t xml:space="preserve">) w wysokości </w:t>
      </w:r>
      <w:r w:rsidR="000D3828" w:rsidRPr="009B78DA">
        <w:rPr>
          <w:rFonts w:ascii="Arial" w:hAnsi="Arial" w:cs="Arial"/>
          <w:color w:val="000000" w:themeColor="text1"/>
          <w:sz w:val="22"/>
          <w:szCs w:val="22"/>
        </w:rPr>
        <w:t>22 343 689</w:t>
      </w:r>
      <w:r w:rsidR="00210D79" w:rsidRPr="009B78DA">
        <w:rPr>
          <w:rFonts w:ascii="Arial" w:hAnsi="Arial" w:cs="Arial"/>
          <w:color w:val="000000" w:themeColor="text1"/>
          <w:sz w:val="22"/>
          <w:szCs w:val="22"/>
        </w:rPr>
        <w:t> </w:t>
      </w:r>
      <w:r w:rsidR="000D3828" w:rsidRPr="009B78DA">
        <w:rPr>
          <w:rFonts w:ascii="Arial" w:hAnsi="Arial" w:cs="Arial"/>
          <w:color w:val="000000" w:themeColor="text1"/>
          <w:sz w:val="22"/>
          <w:szCs w:val="22"/>
        </w:rPr>
        <w:t>153</w:t>
      </w:r>
      <w:r w:rsidR="00210D79"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EUR, będących równowartością</w:t>
      </w:r>
      <w:r w:rsidR="00491990" w:rsidRPr="009B78DA">
        <w:rPr>
          <w:rFonts w:ascii="Arial" w:hAnsi="Arial" w:cs="Arial"/>
          <w:color w:val="000000" w:themeColor="text1"/>
          <w:sz w:val="22"/>
          <w:szCs w:val="22"/>
        </w:rPr>
        <w:t xml:space="preserve"> </w:t>
      </w:r>
      <w:r w:rsidR="00455D33" w:rsidRPr="009B78DA">
        <w:rPr>
          <w:rFonts w:ascii="Arial" w:hAnsi="Arial" w:cs="Arial"/>
          <w:color w:val="000000" w:themeColor="text1"/>
          <w:sz w:val="22"/>
          <w:szCs w:val="22"/>
        </w:rPr>
        <w:t xml:space="preserve">98 736 762 367,11 </w:t>
      </w:r>
      <w:r w:rsidRPr="009B78DA">
        <w:rPr>
          <w:rFonts w:ascii="Arial" w:hAnsi="Arial" w:cs="Arial"/>
          <w:color w:val="000000" w:themeColor="text1"/>
          <w:sz w:val="22"/>
          <w:szCs w:val="22"/>
        </w:rPr>
        <w:t xml:space="preserve">PLN, można stwierdzić, iż pula środków na lata 2021-27 jest wyższa o ok. </w:t>
      </w:r>
      <w:r w:rsidR="006C68FD" w:rsidRPr="009B78DA">
        <w:rPr>
          <w:rFonts w:ascii="Arial" w:hAnsi="Arial" w:cs="Arial"/>
          <w:color w:val="000000" w:themeColor="text1"/>
          <w:sz w:val="22"/>
          <w:szCs w:val="22"/>
        </w:rPr>
        <w:t>3,</w:t>
      </w:r>
      <w:r w:rsidR="003F7F61" w:rsidRPr="009B78DA">
        <w:rPr>
          <w:rFonts w:ascii="Arial" w:hAnsi="Arial" w:cs="Arial"/>
          <w:color w:val="000000" w:themeColor="text1"/>
          <w:sz w:val="22"/>
          <w:szCs w:val="22"/>
        </w:rPr>
        <w:t>5</w:t>
      </w:r>
      <w:r w:rsidR="006C68FD"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 względem perspektywy poprzedniej. </w:t>
      </w:r>
    </w:p>
    <w:bookmarkEnd w:id="394"/>
    <w:p w14:paraId="332D91F0" w14:textId="77777777" w:rsidR="00AB1EBC" w:rsidRPr="009B78DA" w:rsidRDefault="008F2803" w:rsidP="0099520C">
      <w:pPr>
        <w:pStyle w:val="Akapitzlist"/>
        <w:numPr>
          <w:ilvl w:val="0"/>
          <w:numId w:val="189"/>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krajowe środki publiczne:</w:t>
      </w:r>
    </w:p>
    <w:p w14:paraId="7644617A" w14:textId="77777777" w:rsidR="00AB1EBC" w:rsidRPr="009B78DA" w:rsidRDefault="00AB1EBC" w:rsidP="0099520C">
      <w:pPr>
        <w:pStyle w:val="Akapitzlist"/>
        <w:numPr>
          <w:ilvl w:val="0"/>
          <w:numId w:val="191"/>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budżet województwa</w:t>
      </w:r>
    </w:p>
    <w:p w14:paraId="385C757D" w14:textId="77777777" w:rsidR="00AB1EBC" w:rsidRPr="009B78DA" w:rsidRDefault="00AB1EBC" w:rsidP="0099520C">
      <w:pPr>
        <w:pStyle w:val="Akapitzlist"/>
        <w:numPr>
          <w:ilvl w:val="0"/>
          <w:numId w:val="191"/>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budżet jednostek samorządu terytorialnego</w:t>
      </w:r>
    </w:p>
    <w:p w14:paraId="4E14131A" w14:textId="6C55C6F4" w:rsidR="00AB1EBC" w:rsidRPr="009B78DA" w:rsidRDefault="00AB1EBC" w:rsidP="0099520C">
      <w:pPr>
        <w:pStyle w:val="Akapitzlist"/>
        <w:numPr>
          <w:ilvl w:val="0"/>
          <w:numId w:val="191"/>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budżet jednostek oraz form organizacyjno-prawnych sektora finansów publicznych (np. PKP PLK S</w:t>
      </w:r>
      <w:r w:rsidR="0060230F" w:rsidRPr="009B78DA">
        <w:rPr>
          <w:rFonts w:ascii="Arial" w:hAnsi="Arial" w:cs="Arial"/>
          <w:color w:val="000000" w:themeColor="text1"/>
          <w:sz w:val="22"/>
          <w:szCs w:val="22"/>
        </w:rPr>
        <w:t>.</w:t>
      </w:r>
      <w:r w:rsidRPr="009B78DA">
        <w:rPr>
          <w:rFonts w:ascii="Arial" w:hAnsi="Arial" w:cs="Arial"/>
          <w:color w:val="000000" w:themeColor="text1"/>
          <w:sz w:val="22"/>
          <w:szCs w:val="22"/>
        </w:rPr>
        <w:t>A</w:t>
      </w:r>
      <w:r w:rsidR="0060230F" w:rsidRPr="009B78DA">
        <w:rPr>
          <w:rFonts w:ascii="Arial" w:hAnsi="Arial" w:cs="Arial"/>
          <w:color w:val="000000" w:themeColor="text1"/>
          <w:sz w:val="22"/>
          <w:szCs w:val="22"/>
        </w:rPr>
        <w:t>.</w:t>
      </w:r>
      <w:r w:rsidRPr="009B78DA">
        <w:rPr>
          <w:rFonts w:ascii="Arial" w:hAnsi="Arial" w:cs="Arial"/>
          <w:color w:val="000000" w:themeColor="text1"/>
          <w:sz w:val="22"/>
          <w:szCs w:val="22"/>
        </w:rPr>
        <w:t>, GDDKiA)</w:t>
      </w:r>
    </w:p>
    <w:p w14:paraId="732DAC5A" w14:textId="1F9054AC" w:rsidR="00AB1EBC" w:rsidRPr="009B78DA" w:rsidRDefault="00AB1EBC" w:rsidP="0099520C">
      <w:pPr>
        <w:pStyle w:val="Akapitzlist"/>
        <w:numPr>
          <w:ilvl w:val="0"/>
          <w:numId w:val="191"/>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budżet państwa</w:t>
      </w:r>
    </w:p>
    <w:p w14:paraId="3A39E5B7" w14:textId="77777777" w:rsidR="00AB1EBC" w:rsidRPr="009B78DA" w:rsidRDefault="00AB1EBC" w:rsidP="0099520C">
      <w:pPr>
        <w:pStyle w:val="Akapitzlist"/>
        <w:numPr>
          <w:ilvl w:val="0"/>
          <w:numId w:val="191"/>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państwowe fundusze celowe (np. Fundusz Kolejowy, Krajowy Fundusz Drogowy, Rządowy Fundusz Rozwoju Dróg)</w:t>
      </w:r>
    </w:p>
    <w:p w14:paraId="5A2E8268" w14:textId="77777777" w:rsidR="00AB1EBC" w:rsidRPr="009B78DA" w:rsidRDefault="00AB1EBC" w:rsidP="0099520C">
      <w:pPr>
        <w:pStyle w:val="Akapitzlist"/>
        <w:numPr>
          <w:ilvl w:val="0"/>
          <w:numId w:val="191"/>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Rządowy Fundusz Inwestycji Lokalnych stanowiący bezzwrotne wsparcie pochodzące z Funduszu Przeciwdziałania COVID-19,</w:t>
      </w:r>
    </w:p>
    <w:p w14:paraId="454DC352" w14:textId="77777777" w:rsidR="00AB1EBC" w:rsidRPr="009B78DA" w:rsidRDefault="00AB1EBC" w:rsidP="0099520C">
      <w:pPr>
        <w:pStyle w:val="Akapitzlist"/>
        <w:numPr>
          <w:ilvl w:val="0"/>
          <w:numId w:val="191"/>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kredyty krajowych instytucji finansowych,</w:t>
      </w:r>
    </w:p>
    <w:p w14:paraId="534AFE13" w14:textId="0820C48D" w:rsidR="00AB1EBC" w:rsidRPr="009B78DA" w:rsidRDefault="00AB1EBC" w:rsidP="0099520C">
      <w:pPr>
        <w:pStyle w:val="Akapitzlist"/>
        <w:numPr>
          <w:ilvl w:val="0"/>
          <w:numId w:val="191"/>
        </w:numPr>
        <w:spacing w:after="120" w:line="276" w:lineRule="auto"/>
        <w:ind w:left="714" w:hanging="357"/>
        <w:contextualSpacing w:val="0"/>
        <w:rPr>
          <w:rFonts w:ascii="Arial" w:hAnsi="Arial" w:cs="Arial"/>
          <w:color w:val="000000" w:themeColor="text1"/>
          <w:sz w:val="22"/>
          <w:szCs w:val="22"/>
        </w:rPr>
      </w:pPr>
      <w:r w:rsidRPr="009B78DA">
        <w:rPr>
          <w:rFonts w:ascii="Arial" w:hAnsi="Arial" w:cs="Arial"/>
          <w:color w:val="000000" w:themeColor="text1"/>
          <w:sz w:val="22"/>
          <w:szCs w:val="22"/>
        </w:rPr>
        <w:t>inne dostępne instrumenty finansowe wsparcia publicznego.</w:t>
      </w:r>
    </w:p>
    <w:p w14:paraId="328F2F35" w14:textId="4338F540" w:rsidR="00FB2CB0" w:rsidRPr="009B78DA" w:rsidRDefault="00FB2CB0" w:rsidP="0099520C">
      <w:pPr>
        <w:pStyle w:val="Legenda"/>
        <w:keepNext/>
        <w:spacing w:after="0" w:line="276" w:lineRule="auto"/>
        <w:rPr>
          <w:rFonts w:ascii="Arial" w:hAnsi="Arial" w:cs="Arial"/>
          <w:i w:val="0"/>
          <w:color w:val="000000" w:themeColor="text1"/>
          <w:sz w:val="22"/>
          <w:szCs w:val="22"/>
        </w:rPr>
      </w:pPr>
      <w:bookmarkStart w:id="397" w:name="_Toc146785757"/>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27</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Szacunkowa ilość krajowych środków publicznych przeznaczonych na wydatki </w:t>
      </w:r>
      <w:r w:rsidR="00250D5E">
        <w:rPr>
          <w:rFonts w:ascii="Arial" w:hAnsi="Arial" w:cs="Arial"/>
          <w:i w:val="0"/>
          <w:color w:val="000000" w:themeColor="text1"/>
          <w:sz w:val="22"/>
          <w:szCs w:val="22"/>
        </w:rPr>
        <w:br/>
      </w:r>
      <w:r w:rsidRPr="009B78DA">
        <w:rPr>
          <w:rFonts w:ascii="Arial" w:hAnsi="Arial" w:cs="Arial"/>
          <w:i w:val="0"/>
          <w:color w:val="000000" w:themeColor="text1"/>
          <w:sz w:val="22"/>
          <w:szCs w:val="22"/>
        </w:rPr>
        <w:t xml:space="preserve">w sferze transportu umożliwiających finansowanie przedsięwzięć drogowych założonych </w:t>
      </w:r>
      <w:r w:rsidR="00250D5E">
        <w:rPr>
          <w:rFonts w:ascii="Arial" w:hAnsi="Arial" w:cs="Arial"/>
          <w:i w:val="0"/>
          <w:color w:val="000000" w:themeColor="text1"/>
          <w:sz w:val="22"/>
          <w:szCs w:val="22"/>
        </w:rPr>
        <w:br/>
      </w:r>
      <w:r w:rsidRPr="009B78DA">
        <w:rPr>
          <w:rFonts w:ascii="Arial" w:hAnsi="Arial" w:cs="Arial"/>
          <w:i w:val="0"/>
          <w:color w:val="000000" w:themeColor="text1"/>
          <w:sz w:val="22"/>
          <w:szCs w:val="22"/>
        </w:rPr>
        <w:t>w ramach PSRT WP</w:t>
      </w:r>
      <w:r w:rsidRPr="009B78DA">
        <w:rPr>
          <w:rStyle w:val="Odwoanieprzypisudolnego"/>
          <w:rFonts w:ascii="Arial" w:hAnsi="Arial" w:cs="Arial"/>
          <w:i w:val="0"/>
          <w:color w:val="000000" w:themeColor="text1"/>
          <w:sz w:val="22"/>
          <w:szCs w:val="22"/>
        </w:rPr>
        <w:footnoteReference w:id="42"/>
      </w:r>
      <w:r w:rsidRPr="009B78DA">
        <w:rPr>
          <w:rFonts w:ascii="Arial" w:hAnsi="Arial" w:cs="Arial"/>
          <w:i w:val="0"/>
          <w:color w:val="000000" w:themeColor="text1"/>
          <w:sz w:val="22"/>
          <w:szCs w:val="22"/>
        </w:rPr>
        <w:t>.</w:t>
      </w:r>
      <w:bookmarkEnd w:id="397"/>
    </w:p>
    <w:tbl>
      <w:tblPr>
        <w:tblStyle w:val="Tabela-Siatka"/>
        <w:tblW w:w="5000" w:type="pct"/>
        <w:tblLook w:val="04A0" w:firstRow="1" w:lastRow="0" w:firstColumn="1" w:lastColumn="0" w:noHBand="0" w:noVBand="1"/>
        <w:tblCaption w:val="Tabela 27 Szacunkowa ilość krajowych środków publicznych przeznaczonych na wydatki w sferze transportu umożliwiających finansowanie przedsięwzięć drogowych założonych w ramach PSRT WP ."/>
        <w:tblDescription w:val="Tabela zawiera Krajowe środki publiczne na inwestycje transportowe drogowe, Budżet na lata 2021-2030 (PLN)"/>
      </w:tblPr>
      <w:tblGrid>
        <w:gridCol w:w="5098"/>
        <w:gridCol w:w="3964"/>
      </w:tblGrid>
      <w:tr w:rsidR="006F4FD2" w:rsidRPr="009B78DA" w14:paraId="38EB45FC" w14:textId="77777777" w:rsidTr="00EB5DAA">
        <w:trPr>
          <w:tblHeader/>
        </w:trPr>
        <w:tc>
          <w:tcPr>
            <w:tcW w:w="2813" w:type="pct"/>
            <w:shd w:val="clear" w:color="auto" w:fill="DEEAF6" w:themeFill="accent1" w:themeFillTint="33"/>
            <w:vAlign w:val="center"/>
          </w:tcPr>
          <w:p w14:paraId="0A823942" w14:textId="77777777" w:rsidR="008F2803" w:rsidRPr="009B78DA" w:rsidRDefault="008F2803" w:rsidP="00FE774E">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Krajowe środki publiczne na inwestycje transportowe drogowe</w:t>
            </w:r>
          </w:p>
        </w:tc>
        <w:tc>
          <w:tcPr>
            <w:tcW w:w="2187" w:type="pct"/>
            <w:shd w:val="clear" w:color="auto" w:fill="DEEAF6" w:themeFill="accent1" w:themeFillTint="33"/>
            <w:vAlign w:val="center"/>
          </w:tcPr>
          <w:p w14:paraId="40DB5226" w14:textId="6DE77251" w:rsidR="008F2803" w:rsidRPr="009B78DA" w:rsidRDefault="008F2803" w:rsidP="00FE774E">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Budżet na lata 2021-2030 (</w:t>
            </w:r>
            <w:r w:rsidR="00CE23D3" w:rsidRPr="009B78DA">
              <w:rPr>
                <w:rFonts w:ascii="Arial" w:hAnsi="Arial" w:cs="Arial"/>
                <w:b/>
                <w:color w:val="000000" w:themeColor="text1"/>
                <w:sz w:val="22"/>
                <w:szCs w:val="22"/>
              </w:rPr>
              <w:t xml:space="preserve">tys. </w:t>
            </w:r>
            <w:r w:rsidRPr="009B78DA">
              <w:rPr>
                <w:rFonts w:ascii="Arial" w:hAnsi="Arial" w:cs="Arial"/>
                <w:b/>
                <w:color w:val="000000" w:themeColor="text1"/>
                <w:sz w:val="22"/>
                <w:szCs w:val="22"/>
              </w:rPr>
              <w:t>PLN)</w:t>
            </w:r>
          </w:p>
        </w:tc>
      </w:tr>
      <w:tr w:rsidR="009B78B9" w:rsidRPr="009B78DA" w14:paraId="6F605571" w14:textId="77777777" w:rsidTr="00531C04">
        <w:tc>
          <w:tcPr>
            <w:tcW w:w="2813" w:type="pct"/>
            <w:vAlign w:val="center"/>
          </w:tcPr>
          <w:p w14:paraId="34E8A7A5" w14:textId="63196FE1" w:rsidR="009B78B9" w:rsidRPr="009B78DA" w:rsidRDefault="009B78B9" w:rsidP="009B78B9">
            <w:pPr>
              <w:spacing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Poziom krajowy</w:t>
            </w:r>
          </w:p>
        </w:tc>
        <w:tc>
          <w:tcPr>
            <w:tcW w:w="2187" w:type="pct"/>
            <w:shd w:val="clear" w:color="auto" w:fill="auto"/>
            <w:vAlign w:val="bottom"/>
          </w:tcPr>
          <w:p w14:paraId="5C742946" w14:textId="15183E48" w:rsidR="009B78B9" w:rsidRPr="009B78DA" w:rsidRDefault="009B78B9" w:rsidP="009B78B9">
            <w:pPr>
              <w:spacing w:line="276" w:lineRule="auto"/>
              <w:jc w:val="center"/>
              <w:rPr>
                <w:rFonts w:ascii="Arial" w:hAnsi="Arial" w:cs="Arial"/>
                <w:b/>
                <w:color w:val="000000" w:themeColor="text1"/>
                <w:sz w:val="22"/>
                <w:szCs w:val="22"/>
              </w:rPr>
            </w:pPr>
            <w:r w:rsidRPr="009B78DA">
              <w:rPr>
                <w:rFonts w:ascii="Arial" w:hAnsi="Arial" w:cs="Arial"/>
                <w:color w:val="000000" w:themeColor="text1"/>
                <w:sz w:val="22"/>
                <w:szCs w:val="22"/>
              </w:rPr>
              <w:t>24 516 673,36</w:t>
            </w:r>
          </w:p>
        </w:tc>
      </w:tr>
      <w:tr w:rsidR="009B78B9" w:rsidRPr="009B78DA" w14:paraId="6F3254D1" w14:textId="77777777" w:rsidTr="00531C04">
        <w:tc>
          <w:tcPr>
            <w:tcW w:w="2813" w:type="pct"/>
            <w:vAlign w:val="center"/>
          </w:tcPr>
          <w:p w14:paraId="5DBAC949" w14:textId="61E5FEA7" w:rsidR="009B78B9" w:rsidRPr="009B78DA" w:rsidRDefault="009B78B9" w:rsidP="009B78B9">
            <w:pPr>
              <w:spacing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Poziom wojewódzki</w:t>
            </w:r>
          </w:p>
        </w:tc>
        <w:tc>
          <w:tcPr>
            <w:tcW w:w="2187" w:type="pct"/>
            <w:shd w:val="clear" w:color="auto" w:fill="auto"/>
            <w:vAlign w:val="bottom"/>
          </w:tcPr>
          <w:p w14:paraId="61C8CB76" w14:textId="282102FB" w:rsidR="009B78B9" w:rsidRPr="009B78DA" w:rsidRDefault="009B78B9" w:rsidP="009B78B9">
            <w:pPr>
              <w:spacing w:line="276" w:lineRule="auto"/>
              <w:jc w:val="center"/>
              <w:rPr>
                <w:rFonts w:ascii="Arial" w:hAnsi="Arial" w:cs="Arial"/>
                <w:b/>
                <w:color w:val="000000" w:themeColor="text1"/>
                <w:sz w:val="22"/>
                <w:szCs w:val="22"/>
              </w:rPr>
            </w:pPr>
            <w:r w:rsidRPr="009B78DA">
              <w:rPr>
                <w:rFonts w:ascii="Arial" w:hAnsi="Arial" w:cs="Arial"/>
                <w:color w:val="000000" w:themeColor="text1"/>
                <w:sz w:val="22"/>
                <w:szCs w:val="22"/>
              </w:rPr>
              <w:t>5 128 462,99</w:t>
            </w:r>
          </w:p>
        </w:tc>
      </w:tr>
      <w:tr w:rsidR="009B78B9" w:rsidRPr="009B78DA" w14:paraId="218ABD91" w14:textId="77777777" w:rsidTr="00531C04">
        <w:tc>
          <w:tcPr>
            <w:tcW w:w="2813" w:type="pct"/>
            <w:vAlign w:val="center"/>
          </w:tcPr>
          <w:p w14:paraId="78ECC5CA" w14:textId="4F67266E" w:rsidR="009B78B9" w:rsidRPr="009B78DA" w:rsidRDefault="009B78B9" w:rsidP="009B78B9">
            <w:pPr>
              <w:spacing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Poziom lokalny*</w:t>
            </w:r>
          </w:p>
        </w:tc>
        <w:tc>
          <w:tcPr>
            <w:tcW w:w="2187" w:type="pct"/>
            <w:shd w:val="clear" w:color="auto" w:fill="auto"/>
            <w:vAlign w:val="bottom"/>
          </w:tcPr>
          <w:p w14:paraId="2E6CDDEE" w14:textId="55F6416E" w:rsidR="009B78B9" w:rsidRPr="009B78DA" w:rsidRDefault="009B78B9" w:rsidP="009B78B9">
            <w:pPr>
              <w:spacing w:line="276" w:lineRule="auto"/>
              <w:jc w:val="center"/>
              <w:rPr>
                <w:rFonts w:ascii="Arial" w:hAnsi="Arial" w:cs="Arial"/>
                <w:b/>
                <w:color w:val="000000" w:themeColor="text1"/>
                <w:sz w:val="22"/>
                <w:szCs w:val="22"/>
              </w:rPr>
            </w:pPr>
            <w:r w:rsidRPr="009B78DA">
              <w:rPr>
                <w:rFonts w:ascii="Arial" w:hAnsi="Arial" w:cs="Arial"/>
                <w:color w:val="000000" w:themeColor="text1"/>
                <w:sz w:val="22"/>
                <w:szCs w:val="22"/>
              </w:rPr>
              <w:t>13 529 067,93</w:t>
            </w:r>
          </w:p>
        </w:tc>
      </w:tr>
      <w:tr w:rsidR="009B78B9" w:rsidRPr="009B78DA" w14:paraId="0C249B87" w14:textId="77777777" w:rsidTr="00531C04">
        <w:tc>
          <w:tcPr>
            <w:tcW w:w="2813" w:type="pct"/>
            <w:vAlign w:val="center"/>
          </w:tcPr>
          <w:p w14:paraId="62972FCD" w14:textId="77777777" w:rsidR="009B78B9" w:rsidRPr="009B78DA" w:rsidRDefault="009B78B9" w:rsidP="009B78B9">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RAZEM</w:t>
            </w:r>
          </w:p>
        </w:tc>
        <w:tc>
          <w:tcPr>
            <w:tcW w:w="2187" w:type="pct"/>
            <w:shd w:val="clear" w:color="auto" w:fill="auto"/>
            <w:vAlign w:val="bottom"/>
          </w:tcPr>
          <w:p w14:paraId="5D11BA4A" w14:textId="1EF7A3E9" w:rsidR="009B78B9" w:rsidRPr="009B78DA" w:rsidRDefault="009B78B9" w:rsidP="009B78B9">
            <w:pPr>
              <w:spacing w:line="276" w:lineRule="auto"/>
              <w:jc w:val="center"/>
              <w:rPr>
                <w:rFonts w:ascii="Arial" w:hAnsi="Arial" w:cs="Arial"/>
                <w:b/>
                <w:color w:val="000000" w:themeColor="text1"/>
                <w:sz w:val="22"/>
                <w:szCs w:val="22"/>
              </w:rPr>
            </w:pPr>
            <w:r w:rsidRPr="009B78DA">
              <w:rPr>
                <w:rFonts w:ascii="Arial" w:hAnsi="Arial" w:cs="Arial"/>
                <w:b/>
                <w:bCs/>
                <w:color w:val="000000" w:themeColor="text1"/>
                <w:sz w:val="22"/>
                <w:szCs w:val="22"/>
              </w:rPr>
              <w:t>43 174 204,27</w:t>
            </w:r>
          </w:p>
        </w:tc>
      </w:tr>
    </w:tbl>
    <w:p w14:paraId="0D13AEF1" w14:textId="7A38C725" w:rsidR="003F3DF9" w:rsidRPr="009B78DA" w:rsidRDefault="003F3DF9" w:rsidP="0099520C">
      <w:pPr>
        <w:spacing w:before="120" w:after="0" w:line="276" w:lineRule="auto"/>
        <w:rPr>
          <w:rFonts w:ascii="Arial" w:hAnsi="Arial" w:cs="Arial"/>
          <w:color w:val="000000" w:themeColor="text1"/>
          <w:sz w:val="22"/>
          <w:szCs w:val="22"/>
        </w:rPr>
      </w:pPr>
      <w:r w:rsidRPr="009B78DA">
        <w:rPr>
          <w:rFonts w:ascii="Arial" w:hAnsi="Arial" w:cs="Arial"/>
          <w:b/>
          <w:color w:val="000000" w:themeColor="text1"/>
          <w:sz w:val="22"/>
          <w:szCs w:val="22"/>
        </w:rPr>
        <w:t>*</w:t>
      </w:r>
      <w:r w:rsidRPr="009B78DA">
        <w:rPr>
          <w:rFonts w:ascii="Arial" w:hAnsi="Arial" w:cs="Arial"/>
          <w:color w:val="000000" w:themeColor="text1"/>
          <w:sz w:val="22"/>
          <w:szCs w:val="22"/>
        </w:rPr>
        <w:t xml:space="preserve"> Wydatki z budżetów powiatowych i gminnych łącznie.</w:t>
      </w:r>
    </w:p>
    <w:p w14:paraId="472B0454" w14:textId="08FCD886" w:rsidR="003F3DF9" w:rsidRPr="009B78DA" w:rsidRDefault="003F3DF9" w:rsidP="0099520C">
      <w:pPr>
        <w:rPr>
          <w:rFonts w:ascii="Calibri" w:hAnsi="Calibri" w:cs="Calibri"/>
          <w:color w:val="000000" w:themeColor="text1"/>
          <w:sz w:val="22"/>
          <w:szCs w:val="22"/>
        </w:rPr>
      </w:pPr>
      <w:r w:rsidRPr="009B78DA">
        <w:rPr>
          <w:rFonts w:ascii="Arial" w:hAnsi="Arial" w:cs="Arial"/>
          <w:color w:val="000000" w:themeColor="text1"/>
          <w:sz w:val="22"/>
          <w:szCs w:val="22"/>
        </w:rPr>
        <w:t xml:space="preserve">Prognozowana ilość krajowych środków publicznych przewidzianych do wydatkowania na działania inwestycyjne w sferze transportu (dane dla dróg wszystkich kategorii) na szczeblu wojewódzkim, powiatowym, gminnym w latach 2021-2030 </w:t>
      </w:r>
      <w:bookmarkStart w:id="398" w:name="_Hlk92716877"/>
      <w:r w:rsidRPr="009B78DA">
        <w:rPr>
          <w:rFonts w:ascii="Arial" w:hAnsi="Arial" w:cs="Arial"/>
          <w:color w:val="000000" w:themeColor="text1"/>
          <w:sz w:val="22"/>
          <w:szCs w:val="22"/>
        </w:rPr>
        <w:t xml:space="preserve">wyniesie łącznie </w:t>
      </w:r>
      <w:r w:rsidR="00CE23D3" w:rsidRPr="009B78DA">
        <w:rPr>
          <w:rFonts w:ascii="Arial" w:hAnsi="Arial" w:cs="Arial"/>
          <w:color w:val="000000" w:themeColor="text1"/>
          <w:sz w:val="22"/>
          <w:szCs w:val="22"/>
        </w:rPr>
        <w:t>43 174 204 270</w:t>
      </w:r>
      <w:r w:rsidR="00A06196" w:rsidRPr="009B78DA">
        <w:rPr>
          <w:rFonts w:ascii="Calibri" w:hAnsi="Calibri" w:cs="Calibri"/>
          <w:color w:val="000000" w:themeColor="text1"/>
          <w:sz w:val="22"/>
          <w:szCs w:val="22"/>
        </w:rPr>
        <w:t xml:space="preserve"> </w:t>
      </w:r>
      <w:r w:rsidR="00A06196" w:rsidRPr="009B78DA">
        <w:rPr>
          <w:rFonts w:ascii="Arial" w:hAnsi="Arial" w:cs="Arial"/>
          <w:color w:val="000000" w:themeColor="text1"/>
          <w:sz w:val="22"/>
          <w:szCs w:val="22"/>
        </w:rPr>
        <w:t>PLN.</w:t>
      </w:r>
      <w:bookmarkEnd w:id="398"/>
    </w:p>
    <w:p w14:paraId="5851EDDF" w14:textId="77777777" w:rsidR="003F3DF9" w:rsidRPr="009B78DA" w:rsidRDefault="003F3DF9" w:rsidP="0099520C">
      <w:pPr>
        <w:pStyle w:val="Akapitzlist"/>
        <w:numPr>
          <w:ilvl w:val="0"/>
          <w:numId w:val="189"/>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inne źródła finansowania, m. in.:</w:t>
      </w:r>
    </w:p>
    <w:p w14:paraId="5A1F584E" w14:textId="614B71F7" w:rsidR="003F3DF9" w:rsidRPr="009B78DA" w:rsidRDefault="003F3DF9" w:rsidP="0099520C">
      <w:pPr>
        <w:pStyle w:val="Akapitzlist"/>
        <w:numPr>
          <w:ilvl w:val="0"/>
          <w:numId w:val="192"/>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środki prywatne inwestorów m.in. w systemie partnerstwa </w:t>
      </w:r>
      <w:r w:rsidR="006777F8" w:rsidRPr="009B78DA">
        <w:rPr>
          <w:rFonts w:ascii="Arial" w:hAnsi="Arial" w:cs="Arial"/>
          <w:color w:val="000000" w:themeColor="text1"/>
          <w:sz w:val="22"/>
          <w:szCs w:val="22"/>
        </w:rPr>
        <w:t>publiczno-prywatnego</w:t>
      </w:r>
      <w:r w:rsidRPr="009B78DA">
        <w:rPr>
          <w:rFonts w:ascii="Arial" w:hAnsi="Arial" w:cs="Arial"/>
          <w:color w:val="000000" w:themeColor="text1"/>
          <w:sz w:val="22"/>
          <w:szCs w:val="22"/>
        </w:rPr>
        <w:t>,</w:t>
      </w:r>
    </w:p>
    <w:p w14:paraId="7F8B8F6F" w14:textId="77777777" w:rsidR="003F3DF9" w:rsidRPr="009B78DA" w:rsidRDefault="003F3DF9" w:rsidP="0099520C">
      <w:pPr>
        <w:pStyle w:val="Akapitzlist"/>
        <w:numPr>
          <w:ilvl w:val="0"/>
          <w:numId w:val="192"/>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środki uzyskiwane dzięki stopniowemu wdrażaniu zasad: „zanieczyszczający płaci” oraz „użytkownik płaci”,</w:t>
      </w:r>
    </w:p>
    <w:p w14:paraId="280A9321" w14:textId="77777777" w:rsidR="003F3DF9" w:rsidRPr="009B78DA" w:rsidRDefault="003F3DF9" w:rsidP="0099520C">
      <w:pPr>
        <w:pStyle w:val="Akapitzlist"/>
        <w:numPr>
          <w:ilvl w:val="0"/>
          <w:numId w:val="192"/>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kredyty komercyjne i pożyczki.</w:t>
      </w:r>
    </w:p>
    <w:p w14:paraId="38BB31EE" w14:textId="77777777" w:rsidR="003F3DF9" w:rsidRPr="009B78DA" w:rsidRDefault="003F3DF9" w:rsidP="0099520C">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Określenie przybliżonych kwot przeznaczonych do potencjalnego wykorzystania </w:t>
      </w:r>
      <w:r w:rsidR="006014D4" w:rsidRPr="009B78DA">
        <w:rPr>
          <w:rFonts w:ascii="Arial" w:hAnsi="Arial" w:cs="Arial"/>
          <w:color w:val="000000" w:themeColor="text1"/>
          <w:sz w:val="22"/>
          <w:szCs w:val="22"/>
        </w:rPr>
        <w:br/>
      </w:r>
      <w:r w:rsidRPr="009B78DA">
        <w:rPr>
          <w:rFonts w:ascii="Arial" w:hAnsi="Arial" w:cs="Arial"/>
          <w:color w:val="000000" w:themeColor="text1"/>
          <w:sz w:val="22"/>
          <w:szCs w:val="22"/>
        </w:rPr>
        <w:t>w perspektywie do 2030 r. w celu realizacji założeń Programu pochodzących ze źródeł innych niż zagraniczne i krajowe środki publiczne, nie jest możliwe.</w:t>
      </w:r>
    </w:p>
    <w:p w14:paraId="40E25F51" w14:textId="5AE9D1FE" w:rsidR="00444B50" w:rsidRPr="009B78DA" w:rsidRDefault="003F3DF9" w:rsidP="0099520C">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Podstawą oszacowania wartości środków finansowych, potencjalnie dostępnych na realizację PSRT WP jest suma kwot alokacji przeznaczonych</w:t>
      </w:r>
      <w:r w:rsidR="00092A48" w:rsidRPr="009B78DA">
        <w:rPr>
          <w:rFonts w:ascii="Arial" w:hAnsi="Arial" w:cs="Arial"/>
          <w:color w:val="000000" w:themeColor="text1"/>
          <w:sz w:val="22"/>
          <w:szCs w:val="22"/>
        </w:rPr>
        <w:t xml:space="preserve"> na</w:t>
      </w:r>
      <w:r w:rsidRPr="009B78DA">
        <w:rPr>
          <w:rFonts w:ascii="Arial" w:hAnsi="Arial" w:cs="Arial"/>
          <w:color w:val="000000" w:themeColor="text1"/>
          <w:sz w:val="22"/>
          <w:szCs w:val="22"/>
        </w:rPr>
        <w:t xml:space="preserve"> inwestycje transportowe </w:t>
      </w:r>
      <w:r w:rsidR="0098565B" w:rsidRPr="009B78DA">
        <w:rPr>
          <w:rFonts w:ascii="Arial" w:hAnsi="Arial" w:cs="Arial"/>
          <w:color w:val="000000" w:themeColor="text1"/>
          <w:sz w:val="22"/>
          <w:szCs w:val="22"/>
        </w:rPr>
        <w:br/>
      </w:r>
      <w:r w:rsidRPr="009B78DA">
        <w:rPr>
          <w:rFonts w:ascii="Arial" w:hAnsi="Arial" w:cs="Arial"/>
          <w:color w:val="000000" w:themeColor="text1"/>
          <w:sz w:val="22"/>
          <w:szCs w:val="22"/>
        </w:rPr>
        <w:t>w ramach</w:t>
      </w:r>
      <w:r w:rsidR="0098565B" w:rsidRPr="009B78DA">
        <w:rPr>
          <w:rFonts w:ascii="Arial" w:hAnsi="Arial" w:cs="Arial"/>
          <w:color w:val="000000" w:themeColor="text1"/>
          <w:sz w:val="22"/>
          <w:szCs w:val="22"/>
        </w:rPr>
        <w:t xml:space="preserve"> </w:t>
      </w:r>
      <w:bookmarkStart w:id="399" w:name="_Hlk92717424"/>
      <w:r w:rsidR="0098565B" w:rsidRPr="009B78DA">
        <w:rPr>
          <w:rFonts w:ascii="Arial" w:hAnsi="Arial" w:cs="Arial"/>
          <w:color w:val="000000" w:themeColor="text1"/>
          <w:sz w:val="22"/>
          <w:szCs w:val="22"/>
        </w:rPr>
        <w:t>programów z</w:t>
      </w:r>
      <w:r w:rsidRPr="009B78DA">
        <w:rPr>
          <w:rFonts w:ascii="Arial" w:hAnsi="Arial" w:cs="Arial"/>
          <w:color w:val="000000" w:themeColor="text1"/>
          <w:sz w:val="22"/>
          <w:szCs w:val="22"/>
        </w:rPr>
        <w:t xml:space="preserve"> </w:t>
      </w:r>
      <w:r w:rsidR="002C49F0" w:rsidRPr="009B78DA">
        <w:rPr>
          <w:rFonts w:ascii="Arial" w:hAnsi="Arial" w:cs="Arial"/>
          <w:color w:val="000000" w:themeColor="text1"/>
          <w:sz w:val="22"/>
          <w:szCs w:val="22"/>
        </w:rPr>
        <w:t>funduszy europejskich</w:t>
      </w:r>
      <w:r w:rsidRPr="009B78DA">
        <w:rPr>
          <w:rFonts w:ascii="Arial" w:hAnsi="Arial" w:cs="Arial"/>
          <w:color w:val="000000" w:themeColor="text1"/>
          <w:sz w:val="22"/>
          <w:szCs w:val="22"/>
        </w:rPr>
        <w:t xml:space="preserve"> polityki spójności </w:t>
      </w:r>
      <w:bookmarkEnd w:id="399"/>
      <w:r w:rsidRPr="009B78DA">
        <w:rPr>
          <w:rFonts w:ascii="Arial" w:hAnsi="Arial" w:cs="Arial"/>
          <w:color w:val="000000" w:themeColor="text1"/>
          <w:sz w:val="22"/>
          <w:szCs w:val="22"/>
        </w:rPr>
        <w:t xml:space="preserve">oraz EWT w perspektywie finansowej 2021-2027, środków KPO przewidzianych na inwestycje transportowe oraz krajowych środków publicznych prognozowanych do wydatkowania na inwestycje transportowe drogowe do 2030 roku. Szacowana i uogólniona kwota to łącznie: </w:t>
      </w:r>
      <w:r w:rsidR="0099520C">
        <w:rPr>
          <w:rFonts w:ascii="Arial" w:hAnsi="Arial" w:cs="Arial"/>
          <w:color w:val="000000" w:themeColor="text1"/>
          <w:sz w:val="22"/>
          <w:szCs w:val="22"/>
        </w:rPr>
        <w:br/>
      </w:r>
      <w:r w:rsidR="000E485A" w:rsidRPr="009B78DA">
        <w:rPr>
          <w:rFonts w:ascii="Arial" w:hAnsi="Arial" w:cs="Arial"/>
          <w:color w:val="000000" w:themeColor="text1"/>
          <w:sz w:val="22"/>
          <w:szCs w:val="22"/>
        </w:rPr>
        <w:t xml:space="preserve">141 910 966 637,11 </w:t>
      </w:r>
      <w:r w:rsidR="007D520E" w:rsidRPr="009B78DA">
        <w:rPr>
          <w:rFonts w:ascii="Arial" w:hAnsi="Arial" w:cs="Arial"/>
          <w:color w:val="000000" w:themeColor="text1"/>
          <w:sz w:val="22"/>
          <w:szCs w:val="22"/>
        </w:rPr>
        <w:t>PLN</w:t>
      </w:r>
      <w:r w:rsidR="007D520E" w:rsidRPr="009B78DA">
        <w:rPr>
          <w:rStyle w:val="Odwoanieprzypisudolnego"/>
          <w:rFonts w:ascii="Arial" w:hAnsi="Arial" w:cs="Arial"/>
          <w:color w:val="000000" w:themeColor="text1"/>
          <w:sz w:val="22"/>
          <w:szCs w:val="22"/>
        </w:rPr>
        <w:footnoteReference w:id="43"/>
      </w:r>
      <w:r w:rsidR="007D520E" w:rsidRPr="009B78DA">
        <w:rPr>
          <w:rFonts w:ascii="Arial" w:hAnsi="Arial" w:cs="Arial"/>
          <w:color w:val="000000" w:themeColor="text1"/>
          <w:sz w:val="22"/>
          <w:szCs w:val="22"/>
        </w:rPr>
        <w:t>.</w:t>
      </w:r>
    </w:p>
    <w:p w14:paraId="08B0FE95" w14:textId="21F6C1CC" w:rsidR="00FB2CB0" w:rsidRPr="009B78DA" w:rsidRDefault="00FB2CB0" w:rsidP="0099520C">
      <w:pPr>
        <w:pStyle w:val="Legenda"/>
        <w:keepNext/>
        <w:rPr>
          <w:rFonts w:ascii="Arial" w:hAnsi="Arial" w:cs="Arial"/>
          <w:i w:val="0"/>
          <w:color w:val="000000" w:themeColor="text1"/>
          <w:sz w:val="22"/>
          <w:szCs w:val="22"/>
        </w:rPr>
      </w:pPr>
      <w:bookmarkStart w:id="401" w:name="_Toc146785758"/>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Zestawienie szacunkowych ilości krajowych środków publicznych przeznaczonych na wydatki majątkowe inwestycyjne oraz wydatki bieżące w sferze transportu (drogi wszystkich kategorii) na lata 2021 – 2030 w województwie podkarpackim (w tys. PLN)</w:t>
      </w:r>
      <w:r w:rsidRPr="009B78DA">
        <w:rPr>
          <w:rStyle w:val="Odwoanieprzypisudolnego"/>
          <w:rFonts w:ascii="Arial" w:hAnsi="Arial" w:cs="Arial"/>
          <w:i w:val="0"/>
          <w:color w:val="000000" w:themeColor="text1"/>
          <w:sz w:val="22"/>
          <w:szCs w:val="22"/>
        </w:rPr>
        <w:footnoteReference w:id="44"/>
      </w:r>
      <w:r w:rsidRPr="009B78DA">
        <w:rPr>
          <w:rFonts w:ascii="Arial" w:hAnsi="Arial" w:cs="Arial"/>
          <w:i w:val="0"/>
          <w:color w:val="000000" w:themeColor="text1"/>
          <w:sz w:val="22"/>
          <w:szCs w:val="22"/>
        </w:rPr>
        <w:t>.</w:t>
      </w:r>
      <w:bookmarkEnd w:id="401"/>
    </w:p>
    <w:tbl>
      <w:tblPr>
        <w:tblStyle w:val="Tabela-Siatka"/>
        <w:tblW w:w="0" w:type="auto"/>
        <w:tblLook w:val="04A0" w:firstRow="1" w:lastRow="0" w:firstColumn="1" w:lastColumn="0" w:noHBand="0" w:noVBand="1"/>
        <w:tblCaption w:val="Tabela 28 Zestawienie szacunkowych ilości krajowych środków publicznych przeznaczonych na wydatki majątkowe inwestycyjne oraz wydatki bieżące w sferze transportu (drogi wszystkich kategorii) na lata 2021 – 2030 w województwie podkarpackim (w tys. PLN) ."/>
        <w:tblDescription w:val="Tabela zawiera Krajowe środki publiczne na inwestycje transportowe, Budżet na wydatki drogowe (w PLN) Majątkowe inwestycyjne, Budżet na wydatki drogowe (w PLN) Bieżące"/>
      </w:tblPr>
      <w:tblGrid>
        <w:gridCol w:w="3540"/>
        <w:gridCol w:w="3118"/>
        <w:gridCol w:w="2404"/>
      </w:tblGrid>
      <w:tr w:rsidR="00A05D86" w:rsidRPr="009B78DA" w14:paraId="38EDF042" w14:textId="77777777" w:rsidTr="00A05D86">
        <w:trPr>
          <w:tblHeader/>
        </w:trPr>
        <w:tc>
          <w:tcPr>
            <w:tcW w:w="0" w:type="auto"/>
            <w:shd w:val="clear" w:color="auto" w:fill="DEEAF6" w:themeFill="accent1" w:themeFillTint="33"/>
            <w:vAlign w:val="center"/>
          </w:tcPr>
          <w:p w14:paraId="5EB3174F" w14:textId="77777777" w:rsidR="003F3DF9" w:rsidRPr="009B78DA" w:rsidRDefault="003F3DF9" w:rsidP="00FE774E">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Krajowe środki publiczne na inwestycje transportowe</w:t>
            </w:r>
          </w:p>
        </w:tc>
        <w:tc>
          <w:tcPr>
            <w:tcW w:w="3118" w:type="dxa"/>
            <w:shd w:val="clear" w:color="auto" w:fill="DEEAF6" w:themeFill="accent1" w:themeFillTint="33"/>
            <w:vAlign w:val="center"/>
          </w:tcPr>
          <w:p w14:paraId="17920CE4" w14:textId="56DDF9D4" w:rsidR="003F3DF9" w:rsidRPr="009B78DA" w:rsidRDefault="003F3DF9" w:rsidP="00FE774E">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Budżet na wydatki drogowe Majątkowe inwestycyjne</w:t>
            </w:r>
          </w:p>
        </w:tc>
        <w:tc>
          <w:tcPr>
            <w:tcW w:w="2404" w:type="dxa"/>
            <w:shd w:val="clear" w:color="auto" w:fill="DEEAF6" w:themeFill="accent1" w:themeFillTint="33"/>
            <w:vAlign w:val="center"/>
          </w:tcPr>
          <w:p w14:paraId="7B3FAA08" w14:textId="77777777" w:rsidR="00A05D86" w:rsidRPr="009B78DA" w:rsidRDefault="003F3DF9" w:rsidP="00FE774E">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 xml:space="preserve">Budżet na wydatki drogowe </w:t>
            </w:r>
          </w:p>
          <w:p w14:paraId="59053C7A" w14:textId="3C53F08A" w:rsidR="003F3DF9" w:rsidRPr="009B78DA" w:rsidRDefault="003F3DF9" w:rsidP="00FE774E">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Bieżące</w:t>
            </w:r>
          </w:p>
        </w:tc>
      </w:tr>
      <w:tr w:rsidR="00A05D86" w:rsidRPr="009B78DA" w14:paraId="409DCB81" w14:textId="77777777" w:rsidTr="00A05D86">
        <w:tc>
          <w:tcPr>
            <w:tcW w:w="0" w:type="auto"/>
            <w:vAlign w:val="center"/>
          </w:tcPr>
          <w:p w14:paraId="1B26E8F3" w14:textId="6456ED71" w:rsidR="00B569BE" w:rsidRPr="009B78DA" w:rsidRDefault="00B569BE" w:rsidP="00B569BE">
            <w:pPr>
              <w:spacing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Poziom krajowy</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tcPr>
          <w:p w14:paraId="3EC36501" w14:textId="76BF89FB" w:rsidR="00B569BE" w:rsidRPr="009B78DA" w:rsidRDefault="00B569BE" w:rsidP="00B569B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22 202 388,00</w:t>
            </w:r>
          </w:p>
        </w:tc>
        <w:tc>
          <w:tcPr>
            <w:tcW w:w="2404" w:type="dxa"/>
            <w:tcBorders>
              <w:top w:val="single" w:sz="4" w:space="0" w:color="auto"/>
              <w:left w:val="nil"/>
              <w:bottom w:val="single" w:sz="4" w:space="0" w:color="auto"/>
              <w:right w:val="single" w:sz="4" w:space="0" w:color="auto"/>
            </w:tcBorders>
            <w:shd w:val="clear" w:color="auto" w:fill="auto"/>
            <w:vAlign w:val="center"/>
          </w:tcPr>
          <w:p w14:paraId="6906B014" w14:textId="5CD2906F" w:rsidR="00B569BE" w:rsidRPr="009B78DA" w:rsidRDefault="00B569BE" w:rsidP="00B569B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2 314 285,36</w:t>
            </w:r>
          </w:p>
        </w:tc>
      </w:tr>
      <w:tr w:rsidR="00A05D86" w:rsidRPr="009B78DA" w14:paraId="6A0A5203" w14:textId="77777777" w:rsidTr="00A05D86">
        <w:tc>
          <w:tcPr>
            <w:tcW w:w="0" w:type="auto"/>
            <w:vAlign w:val="center"/>
          </w:tcPr>
          <w:p w14:paraId="0094DE59" w14:textId="75E00075" w:rsidR="00B569BE" w:rsidRPr="009B78DA" w:rsidRDefault="00B569BE" w:rsidP="00B569BE">
            <w:pPr>
              <w:spacing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Poziom wojewódzki</w:t>
            </w:r>
          </w:p>
        </w:tc>
        <w:tc>
          <w:tcPr>
            <w:tcW w:w="3118" w:type="dxa"/>
            <w:tcBorders>
              <w:top w:val="nil"/>
              <w:left w:val="single" w:sz="4" w:space="0" w:color="auto"/>
              <w:bottom w:val="single" w:sz="4" w:space="0" w:color="auto"/>
              <w:right w:val="single" w:sz="4" w:space="0" w:color="auto"/>
            </w:tcBorders>
            <w:shd w:val="clear" w:color="auto" w:fill="auto"/>
            <w:vAlign w:val="center"/>
          </w:tcPr>
          <w:p w14:paraId="6A229E92" w14:textId="1EDC2A81" w:rsidR="00B569BE" w:rsidRPr="009B78DA" w:rsidRDefault="00B569BE" w:rsidP="00B569B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3 978 729,76</w:t>
            </w:r>
          </w:p>
        </w:tc>
        <w:tc>
          <w:tcPr>
            <w:tcW w:w="2404" w:type="dxa"/>
            <w:tcBorders>
              <w:top w:val="nil"/>
              <w:left w:val="nil"/>
              <w:bottom w:val="single" w:sz="4" w:space="0" w:color="auto"/>
              <w:right w:val="single" w:sz="4" w:space="0" w:color="auto"/>
            </w:tcBorders>
            <w:shd w:val="clear" w:color="auto" w:fill="auto"/>
            <w:vAlign w:val="center"/>
          </w:tcPr>
          <w:p w14:paraId="4D2A479E" w14:textId="553B8136" w:rsidR="00B569BE" w:rsidRPr="009B78DA" w:rsidRDefault="00B569BE" w:rsidP="00B569B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1 149 733,23</w:t>
            </w:r>
          </w:p>
        </w:tc>
      </w:tr>
      <w:tr w:rsidR="00A05D86" w:rsidRPr="009B78DA" w14:paraId="64157777" w14:textId="77777777" w:rsidTr="00A05D86">
        <w:tc>
          <w:tcPr>
            <w:tcW w:w="0" w:type="auto"/>
            <w:vAlign w:val="center"/>
          </w:tcPr>
          <w:p w14:paraId="28F92039" w14:textId="2D7E84BD" w:rsidR="00B569BE" w:rsidRPr="009B78DA" w:rsidRDefault="00B569BE" w:rsidP="00B569BE">
            <w:pPr>
              <w:spacing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Poziom lokalny*</w:t>
            </w:r>
          </w:p>
        </w:tc>
        <w:tc>
          <w:tcPr>
            <w:tcW w:w="3118" w:type="dxa"/>
            <w:tcBorders>
              <w:top w:val="nil"/>
              <w:left w:val="single" w:sz="4" w:space="0" w:color="auto"/>
              <w:bottom w:val="single" w:sz="4" w:space="0" w:color="auto"/>
              <w:right w:val="single" w:sz="4" w:space="0" w:color="auto"/>
            </w:tcBorders>
            <w:shd w:val="clear" w:color="auto" w:fill="auto"/>
            <w:vAlign w:val="center"/>
          </w:tcPr>
          <w:p w14:paraId="7855EA18" w14:textId="2A5D832C" w:rsidR="00B569BE" w:rsidRPr="009B78DA" w:rsidRDefault="00B569BE" w:rsidP="00B569B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8 736 250,12</w:t>
            </w:r>
          </w:p>
        </w:tc>
        <w:tc>
          <w:tcPr>
            <w:tcW w:w="2404" w:type="dxa"/>
            <w:tcBorders>
              <w:top w:val="nil"/>
              <w:left w:val="nil"/>
              <w:bottom w:val="single" w:sz="4" w:space="0" w:color="auto"/>
              <w:right w:val="single" w:sz="4" w:space="0" w:color="auto"/>
            </w:tcBorders>
            <w:shd w:val="clear" w:color="auto" w:fill="auto"/>
            <w:vAlign w:val="center"/>
          </w:tcPr>
          <w:p w14:paraId="13028E30" w14:textId="5BE0B272" w:rsidR="00B569BE" w:rsidRPr="009B78DA" w:rsidRDefault="00B569BE" w:rsidP="00B569BE">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4 792 817,81</w:t>
            </w:r>
          </w:p>
        </w:tc>
      </w:tr>
      <w:tr w:rsidR="00A05D86" w:rsidRPr="009B78DA" w14:paraId="0BAB1AC4" w14:textId="77777777" w:rsidTr="00A05D86">
        <w:tc>
          <w:tcPr>
            <w:tcW w:w="0" w:type="auto"/>
            <w:vAlign w:val="center"/>
          </w:tcPr>
          <w:p w14:paraId="2694FAA1" w14:textId="77777777" w:rsidR="00B569BE" w:rsidRPr="009B78DA" w:rsidRDefault="00B569BE" w:rsidP="00B569BE">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RAZEM</w:t>
            </w:r>
          </w:p>
        </w:tc>
        <w:tc>
          <w:tcPr>
            <w:tcW w:w="3118" w:type="dxa"/>
            <w:tcBorders>
              <w:top w:val="nil"/>
              <w:left w:val="single" w:sz="4" w:space="0" w:color="auto"/>
              <w:bottom w:val="single" w:sz="4" w:space="0" w:color="auto"/>
              <w:right w:val="single" w:sz="4" w:space="0" w:color="auto"/>
            </w:tcBorders>
            <w:shd w:val="clear" w:color="auto" w:fill="auto"/>
            <w:vAlign w:val="center"/>
          </w:tcPr>
          <w:p w14:paraId="3C5FC9A1" w14:textId="3F39F6C3" w:rsidR="00B569BE" w:rsidRPr="009B78DA" w:rsidRDefault="00B569BE" w:rsidP="00B569BE">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34 917 367,88</w:t>
            </w:r>
          </w:p>
        </w:tc>
        <w:tc>
          <w:tcPr>
            <w:tcW w:w="2404" w:type="dxa"/>
            <w:tcBorders>
              <w:top w:val="nil"/>
              <w:left w:val="nil"/>
              <w:bottom w:val="single" w:sz="4" w:space="0" w:color="auto"/>
              <w:right w:val="single" w:sz="4" w:space="0" w:color="auto"/>
            </w:tcBorders>
            <w:shd w:val="clear" w:color="auto" w:fill="auto"/>
            <w:vAlign w:val="center"/>
          </w:tcPr>
          <w:p w14:paraId="41C708D8" w14:textId="323E493F" w:rsidR="00B569BE" w:rsidRPr="009B78DA" w:rsidRDefault="00B569BE" w:rsidP="00B569BE">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8 256 836,39</w:t>
            </w:r>
          </w:p>
        </w:tc>
      </w:tr>
    </w:tbl>
    <w:p w14:paraId="5D2899F7" w14:textId="7F0A20BC" w:rsidR="007D520E" w:rsidRPr="009B78DA" w:rsidRDefault="003F3DF9" w:rsidP="0099520C">
      <w:pPr>
        <w:spacing w:before="120" w:after="120" w:line="276" w:lineRule="auto"/>
        <w:rPr>
          <w:rFonts w:ascii="Arial" w:hAnsi="Arial" w:cs="Arial"/>
          <w:color w:val="000000" w:themeColor="text1"/>
          <w:sz w:val="22"/>
          <w:szCs w:val="22"/>
        </w:rPr>
      </w:pPr>
      <w:r w:rsidRPr="009B78DA">
        <w:rPr>
          <w:rFonts w:ascii="Arial" w:hAnsi="Arial" w:cs="Arial"/>
          <w:b/>
          <w:color w:val="000000" w:themeColor="text1"/>
          <w:sz w:val="22"/>
          <w:szCs w:val="22"/>
        </w:rPr>
        <w:t>*</w:t>
      </w:r>
      <w:r w:rsidRPr="009B78DA">
        <w:rPr>
          <w:rFonts w:ascii="Arial" w:hAnsi="Arial" w:cs="Arial"/>
          <w:color w:val="000000" w:themeColor="text1"/>
          <w:sz w:val="22"/>
          <w:szCs w:val="22"/>
        </w:rPr>
        <w:t xml:space="preserve"> Wydatki z budżetów powiatowych</w:t>
      </w:r>
      <w:r w:rsidR="00A05D86" w:rsidRPr="009B78DA">
        <w:rPr>
          <w:rFonts w:ascii="Arial" w:hAnsi="Arial" w:cs="Arial"/>
          <w:color w:val="000000" w:themeColor="text1"/>
          <w:sz w:val="22"/>
          <w:szCs w:val="22"/>
        </w:rPr>
        <w:t xml:space="preserve"> i gminnych łącznie</w:t>
      </w:r>
      <w:r w:rsidR="0099520C">
        <w:rPr>
          <w:rFonts w:ascii="Arial" w:hAnsi="Arial" w:cs="Arial"/>
          <w:color w:val="000000" w:themeColor="text1"/>
          <w:sz w:val="22"/>
          <w:szCs w:val="22"/>
        </w:rPr>
        <w:t>.</w:t>
      </w:r>
    </w:p>
    <w:p w14:paraId="20C13D65" w14:textId="3AC36E4D" w:rsidR="007D520E" w:rsidRPr="009B78DA" w:rsidRDefault="007D520E" w:rsidP="0099520C">
      <w:pPr>
        <w:spacing w:after="0" w:line="276" w:lineRule="auto"/>
        <w:ind w:firstLine="708"/>
        <w:rPr>
          <w:rFonts w:ascii="Arial" w:hAnsi="Arial" w:cs="Arial"/>
          <w:color w:val="000000" w:themeColor="text1"/>
          <w:sz w:val="22"/>
          <w:szCs w:val="22"/>
        </w:rPr>
        <w:sectPr w:rsidR="007D520E" w:rsidRPr="009B78DA" w:rsidSect="00AB1EBC">
          <w:pgSz w:w="11906" w:h="16838"/>
          <w:pgMar w:top="1417" w:right="1417" w:bottom="1417" w:left="1417" w:header="708" w:footer="708" w:gutter="0"/>
          <w:cols w:space="708"/>
          <w:docGrid w:linePitch="360"/>
        </w:sectPr>
      </w:pPr>
      <w:bookmarkStart w:id="402" w:name="_Hlk92717064"/>
      <w:bookmarkEnd w:id="395"/>
      <w:r w:rsidRPr="009B78DA">
        <w:rPr>
          <w:rFonts w:ascii="Arial" w:hAnsi="Arial" w:cs="Arial"/>
          <w:color w:val="000000" w:themeColor="text1"/>
          <w:sz w:val="22"/>
          <w:szCs w:val="22"/>
        </w:rPr>
        <w:t xml:space="preserve">Porównując prognozowane kwoty publicznych środków krajowych przewidzianych na wydatki inwestycyjne oraz te związane z utrzymaniem i eksploatacją należy stwierdzić, że wydatki bieżące stanowić będą do 2030 roku </w:t>
      </w:r>
      <w:r w:rsidR="00A7571D" w:rsidRPr="009B78DA">
        <w:rPr>
          <w:rFonts w:ascii="Arial" w:hAnsi="Arial" w:cs="Arial"/>
          <w:color w:val="000000" w:themeColor="text1"/>
          <w:sz w:val="22"/>
          <w:szCs w:val="22"/>
        </w:rPr>
        <w:t>około</w:t>
      </w:r>
      <w:r w:rsidRPr="009B78DA">
        <w:rPr>
          <w:rFonts w:ascii="Arial" w:hAnsi="Arial" w:cs="Arial"/>
          <w:color w:val="000000" w:themeColor="text1"/>
          <w:sz w:val="22"/>
          <w:szCs w:val="22"/>
        </w:rPr>
        <w:t xml:space="preserve"> </w:t>
      </w:r>
      <w:r w:rsidR="00A7571D" w:rsidRPr="009B78DA">
        <w:rPr>
          <w:rFonts w:ascii="Arial" w:hAnsi="Arial" w:cs="Arial"/>
          <w:color w:val="000000" w:themeColor="text1"/>
          <w:sz w:val="22"/>
          <w:szCs w:val="22"/>
        </w:rPr>
        <w:t xml:space="preserve">19 </w:t>
      </w:r>
      <w:r w:rsidRPr="009B78DA">
        <w:rPr>
          <w:rFonts w:ascii="Arial" w:hAnsi="Arial" w:cs="Arial"/>
          <w:color w:val="000000" w:themeColor="text1"/>
          <w:sz w:val="22"/>
          <w:szCs w:val="22"/>
        </w:rPr>
        <w:t xml:space="preserve">procent kosztów ponoszonych na rzecz infrastruktury drogowej w regionie. </w:t>
      </w:r>
    </w:p>
    <w:p w14:paraId="263BF454" w14:textId="58747E83" w:rsidR="00FB2CB0" w:rsidRPr="009B78DA" w:rsidRDefault="00FB2CB0" w:rsidP="00FB2CB0">
      <w:pPr>
        <w:pStyle w:val="Legenda"/>
        <w:keepNext/>
        <w:jc w:val="both"/>
        <w:rPr>
          <w:rFonts w:ascii="Arial" w:hAnsi="Arial" w:cs="Arial"/>
          <w:i w:val="0"/>
          <w:color w:val="000000" w:themeColor="text1"/>
          <w:sz w:val="22"/>
          <w:szCs w:val="22"/>
        </w:rPr>
      </w:pPr>
      <w:bookmarkStart w:id="403" w:name="_Toc146785759"/>
      <w:bookmarkEnd w:id="402"/>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29</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Zestawienie potencjalnych źródeł finansowania realizacji celów podstawowych PSRT WP w odniesieniu do wskazanych działań lub grup działań zamieszczonych w części kierunkowej Programu</w:t>
      </w:r>
      <w:r w:rsidRPr="009B78DA">
        <w:rPr>
          <w:rStyle w:val="Odwoanieprzypisudolnego"/>
          <w:rFonts w:ascii="Arial" w:hAnsi="Arial" w:cs="Arial"/>
          <w:i w:val="0"/>
          <w:color w:val="000000" w:themeColor="text1"/>
          <w:sz w:val="22"/>
          <w:szCs w:val="22"/>
        </w:rPr>
        <w:footnoteReference w:id="45"/>
      </w:r>
      <w:r w:rsidRPr="009B78DA">
        <w:rPr>
          <w:rFonts w:ascii="Arial" w:hAnsi="Arial" w:cs="Arial"/>
          <w:i w:val="0"/>
          <w:color w:val="000000" w:themeColor="text1"/>
          <w:sz w:val="22"/>
          <w:szCs w:val="22"/>
        </w:rPr>
        <w:t>.</w:t>
      </w:r>
      <w:bookmarkEnd w:id="403"/>
    </w:p>
    <w:tbl>
      <w:tblPr>
        <w:tblStyle w:val="Tabela-Siatka"/>
        <w:tblW w:w="0" w:type="auto"/>
        <w:tblLook w:val="04A0" w:firstRow="1" w:lastRow="0" w:firstColumn="1" w:lastColumn="0" w:noHBand="0" w:noVBand="1"/>
        <w:tblCaption w:val="Tabela 29 Zestawienie potencjalnych źródeł finansowania realizacji celów podstawowych PSRT WP w odniesieniu do wskazanych działań lub grup działań zamieszczonych w części kierunkowej Programu ."/>
        <w:tblDescription w:val="Tabela zawiera Cel PSRT, Działania, Umowa Partnerstwa programy centralne, Umowa Partnerstwa programy regionalne, KPO, Programy krajowe, Inne źródła"/>
      </w:tblPr>
      <w:tblGrid>
        <w:gridCol w:w="1769"/>
        <w:gridCol w:w="2329"/>
        <w:gridCol w:w="2363"/>
        <w:gridCol w:w="2268"/>
        <w:gridCol w:w="1733"/>
        <w:gridCol w:w="2679"/>
        <w:gridCol w:w="2247"/>
      </w:tblGrid>
      <w:tr w:rsidR="006F4FD2" w:rsidRPr="0099520C" w14:paraId="4447650F" w14:textId="77777777" w:rsidTr="0099520C">
        <w:trPr>
          <w:tblHeader/>
        </w:trPr>
        <w:tc>
          <w:tcPr>
            <w:tcW w:w="0" w:type="auto"/>
            <w:shd w:val="clear" w:color="auto" w:fill="DEEAF6" w:themeFill="accent1" w:themeFillTint="33"/>
            <w:vAlign w:val="center"/>
          </w:tcPr>
          <w:p w14:paraId="04DF2792" w14:textId="2796E465" w:rsidR="007008B1" w:rsidRPr="0099520C" w:rsidRDefault="00560DF6" w:rsidP="0099520C">
            <w:pPr>
              <w:spacing w:before="40" w:after="40"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w:t>
            </w:r>
            <w:r w:rsidR="0099520C" w:rsidRPr="0099520C">
              <w:rPr>
                <w:rFonts w:ascii="Arial" w:hAnsi="Arial" w:cs="Arial"/>
                <w:b/>
                <w:color w:val="000000" w:themeColor="text1"/>
                <w:sz w:val="22"/>
                <w:szCs w:val="22"/>
              </w:rPr>
              <w:t>SRT</w:t>
            </w:r>
          </w:p>
        </w:tc>
        <w:tc>
          <w:tcPr>
            <w:tcW w:w="0" w:type="auto"/>
            <w:shd w:val="clear" w:color="auto" w:fill="DEEAF6" w:themeFill="accent1" w:themeFillTint="33"/>
            <w:vAlign w:val="center"/>
          </w:tcPr>
          <w:p w14:paraId="7FFDAD3B" w14:textId="02630993" w:rsidR="00560DF6" w:rsidRPr="0099520C" w:rsidRDefault="00560DF6" w:rsidP="0099520C">
            <w:pPr>
              <w:spacing w:before="40" w:after="40"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Działania</w:t>
            </w:r>
          </w:p>
        </w:tc>
        <w:tc>
          <w:tcPr>
            <w:tcW w:w="2363" w:type="dxa"/>
            <w:shd w:val="clear" w:color="auto" w:fill="DEEAF6" w:themeFill="accent1" w:themeFillTint="33"/>
            <w:vAlign w:val="center"/>
          </w:tcPr>
          <w:p w14:paraId="41EB9C2E" w14:textId="6728B0E4" w:rsidR="00560DF6" w:rsidRPr="0099520C" w:rsidRDefault="00560DF6" w:rsidP="0099520C">
            <w:pPr>
              <w:spacing w:before="40" w:after="40"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Umowa Partnerstwa programy centralne</w:t>
            </w:r>
          </w:p>
        </w:tc>
        <w:tc>
          <w:tcPr>
            <w:tcW w:w="2268" w:type="dxa"/>
            <w:shd w:val="clear" w:color="auto" w:fill="DEEAF6" w:themeFill="accent1" w:themeFillTint="33"/>
            <w:vAlign w:val="center"/>
          </w:tcPr>
          <w:p w14:paraId="06D37259" w14:textId="77777777" w:rsidR="00560DF6" w:rsidRPr="0099520C" w:rsidRDefault="00560DF6" w:rsidP="0099520C">
            <w:pPr>
              <w:spacing w:before="40" w:after="40"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Umowa Partnerstwa programy regionalne</w:t>
            </w:r>
          </w:p>
        </w:tc>
        <w:tc>
          <w:tcPr>
            <w:tcW w:w="1701" w:type="dxa"/>
            <w:shd w:val="clear" w:color="auto" w:fill="DEEAF6" w:themeFill="accent1" w:themeFillTint="33"/>
            <w:vAlign w:val="center"/>
          </w:tcPr>
          <w:p w14:paraId="78D66771" w14:textId="35A022EA" w:rsidR="00560DF6" w:rsidRPr="0099520C" w:rsidRDefault="00560DF6" w:rsidP="0099520C">
            <w:pPr>
              <w:spacing w:before="40" w:after="40"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KPO</w:t>
            </w:r>
          </w:p>
        </w:tc>
        <w:tc>
          <w:tcPr>
            <w:tcW w:w="2679" w:type="dxa"/>
            <w:shd w:val="clear" w:color="auto" w:fill="DEEAF6" w:themeFill="accent1" w:themeFillTint="33"/>
            <w:vAlign w:val="center"/>
          </w:tcPr>
          <w:p w14:paraId="544B5335" w14:textId="49CA0EA4" w:rsidR="00560DF6" w:rsidRPr="0099520C" w:rsidRDefault="00560DF6" w:rsidP="0099520C">
            <w:pPr>
              <w:spacing w:before="40" w:after="40"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Programy krajowe</w:t>
            </w:r>
          </w:p>
        </w:tc>
        <w:tc>
          <w:tcPr>
            <w:tcW w:w="0" w:type="auto"/>
            <w:shd w:val="clear" w:color="auto" w:fill="DEEAF6" w:themeFill="accent1" w:themeFillTint="33"/>
            <w:vAlign w:val="center"/>
          </w:tcPr>
          <w:p w14:paraId="68C40D84" w14:textId="1651155A" w:rsidR="00560DF6" w:rsidRPr="0099520C" w:rsidRDefault="00560DF6" w:rsidP="0099520C">
            <w:pPr>
              <w:spacing w:before="40" w:after="40"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Inne źródła</w:t>
            </w:r>
          </w:p>
        </w:tc>
      </w:tr>
      <w:tr w:rsidR="006F4FD2" w:rsidRPr="0099520C" w14:paraId="35B5468C" w14:textId="77777777" w:rsidTr="00560DF6">
        <w:tc>
          <w:tcPr>
            <w:tcW w:w="0" w:type="auto"/>
          </w:tcPr>
          <w:p w14:paraId="01FCBDB4"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1. (drogowy)</w:t>
            </w:r>
          </w:p>
        </w:tc>
        <w:tc>
          <w:tcPr>
            <w:tcW w:w="0" w:type="auto"/>
          </w:tcPr>
          <w:p w14:paraId="58066048" w14:textId="24701BFE"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Inwestycje dotyczące dróg krajowych </w:t>
            </w:r>
            <w:r w:rsidR="0099520C">
              <w:rPr>
                <w:rFonts w:ascii="Arial" w:hAnsi="Arial" w:cs="Arial"/>
                <w:color w:val="000000" w:themeColor="text1"/>
                <w:sz w:val="22"/>
                <w:szCs w:val="22"/>
              </w:rPr>
              <w:br/>
            </w:r>
            <w:r w:rsidRPr="0099520C">
              <w:rPr>
                <w:rFonts w:ascii="Arial" w:hAnsi="Arial" w:cs="Arial"/>
                <w:color w:val="000000" w:themeColor="text1"/>
                <w:sz w:val="22"/>
                <w:szCs w:val="22"/>
              </w:rPr>
              <w:t>(w tym szybkiego ruchu)</w:t>
            </w:r>
          </w:p>
        </w:tc>
        <w:tc>
          <w:tcPr>
            <w:tcW w:w="2363" w:type="dxa"/>
          </w:tcPr>
          <w:p w14:paraId="07A8855A"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(Inwestycje na drogach krajowych; tylko drogi GDDKiA)</w:t>
            </w:r>
          </w:p>
        </w:tc>
        <w:tc>
          <w:tcPr>
            <w:tcW w:w="2268" w:type="dxa"/>
          </w:tcPr>
          <w:p w14:paraId="671073FB"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1701" w:type="dxa"/>
          </w:tcPr>
          <w:p w14:paraId="7D3E5D6A" w14:textId="15AC16FA"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(Pod warunkiem ujęcia inwestycji </w:t>
            </w:r>
            <w:r w:rsidR="00FF5524">
              <w:rPr>
                <w:rFonts w:ascii="Arial" w:hAnsi="Arial" w:cs="Arial"/>
                <w:color w:val="000000" w:themeColor="text1"/>
                <w:sz w:val="22"/>
                <w:szCs w:val="22"/>
              </w:rPr>
              <w:br/>
            </w:r>
            <w:r w:rsidRPr="0099520C">
              <w:rPr>
                <w:rFonts w:ascii="Arial" w:hAnsi="Arial" w:cs="Arial"/>
                <w:color w:val="000000" w:themeColor="text1"/>
                <w:sz w:val="22"/>
                <w:szCs w:val="22"/>
              </w:rPr>
              <w:t>w ramach stosownego wykazu)</w:t>
            </w:r>
          </w:p>
        </w:tc>
        <w:tc>
          <w:tcPr>
            <w:tcW w:w="2679" w:type="dxa"/>
          </w:tcPr>
          <w:p w14:paraId="5C92A7AA"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r>
            <w:r w:rsidRPr="0099520C">
              <w:rPr>
                <w:rFonts w:ascii="Arial" w:hAnsi="Arial" w:cs="Arial"/>
                <w:i/>
                <w:color w:val="000000" w:themeColor="text1"/>
                <w:sz w:val="22"/>
                <w:szCs w:val="22"/>
              </w:rPr>
              <w:t>Program budowy 100 obwodnic na lata 2020 - 2030</w:t>
            </w:r>
            <w:r w:rsidRPr="0099520C">
              <w:rPr>
                <w:rFonts w:ascii="Arial" w:hAnsi="Arial" w:cs="Arial"/>
                <w:color w:val="000000" w:themeColor="text1"/>
                <w:sz w:val="22"/>
                <w:szCs w:val="22"/>
              </w:rPr>
              <w:t xml:space="preserve"> (program wykorzystujący środki krajowe i UE) - pod warunkiem ujęcia inwestycji w stosownym wykazie</w:t>
            </w:r>
          </w:p>
        </w:tc>
        <w:tc>
          <w:tcPr>
            <w:tcW w:w="0" w:type="auto"/>
          </w:tcPr>
          <w:p w14:paraId="0136FDDA"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Inne fundusze budżetu państwa (pod warunkiem ujęcia inwestycji </w:t>
            </w:r>
            <w:r w:rsidRPr="0099520C">
              <w:rPr>
                <w:rFonts w:ascii="Arial" w:hAnsi="Arial" w:cs="Arial"/>
                <w:color w:val="000000" w:themeColor="text1"/>
                <w:sz w:val="22"/>
                <w:szCs w:val="22"/>
              </w:rPr>
              <w:br/>
              <w:t>w stosownym wykazie)</w:t>
            </w:r>
          </w:p>
        </w:tc>
      </w:tr>
      <w:tr w:rsidR="006F4FD2" w:rsidRPr="0099520C" w14:paraId="0D93A878" w14:textId="77777777" w:rsidTr="00560DF6">
        <w:tc>
          <w:tcPr>
            <w:tcW w:w="0" w:type="auto"/>
          </w:tcPr>
          <w:p w14:paraId="0660451A"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1. (drogowy)</w:t>
            </w:r>
          </w:p>
        </w:tc>
        <w:tc>
          <w:tcPr>
            <w:tcW w:w="0" w:type="auto"/>
          </w:tcPr>
          <w:p w14:paraId="3647A607"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Budowa łączników DK z DW</w:t>
            </w:r>
          </w:p>
        </w:tc>
        <w:tc>
          <w:tcPr>
            <w:tcW w:w="2363" w:type="dxa"/>
          </w:tcPr>
          <w:p w14:paraId="75B91B21"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(Inwestycje na drogach krajowych; tylko drogi GDDKiA)</w:t>
            </w:r>
          </w:p>
        </w:tc>
        <w:tc>
          <w:tcPr>
            <w:tcW w:w="2268" w:type="dxa"/>
          </w:tcPr>
          <w:p w14:paraId="5952B0DB" w14:textId="56A4D8F5"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(Drogi o kategorii niższej niż drogi krajowe)</w:t>
            </w:r>
          </w:p>
        </w:tc>
        <w:tc>
          <w:tcPr>
            <w:tcW w:w="1701" w:type="dxa"/>
          </w:tcPr>
          <w:p w14:paraId="5457A2BD" w14:textId="492EE1DC"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(Pod warunkiem ujęcia inwestycji </w:t>
            </w:r>
            <w:r w:rsidR="00FF5524">
              <w:rPr>
                <w:rFonts w:ascii="Arial" w:hAnsi="Arial" w:cs="Arial"/>
                <w:color w:val="000000" w:themeColor="text1"/>
                <w:sz w:val="22"/>
                <w:szCs w:val="22"/>
              </w:rPr>
              <w:br/>
            </w:r>
            <w:r w:rsidRPr="0099520C">
              <w:rPr>
                <w:rFonts w:ascii="Arial" w:hAnsi="Arial" w:cs="Arial"/>
                <w:color w:val="000000" w:themeColor="text1"/>
                <w:sz w:val="22"/>
                <w:szCs w:val="22"/>
              </w:rPr>
              <w:t>w ramach stosownego wykazu)</w:t>
            </w:r>
          </w:p>
        </w:tc>
        <w:tc>
          <w:tcPr>
            <w:tcW w:w="2679" w:type="dxa"/>
          </w:tcPr>
          <w:p w14:paraId="410B1D0E"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0" w:type="auto"/>
          </w:tcPr>
          <w:p w14:paraId="6266673E"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Inne fundusze budżetu państwa (pod warunkiem ujęcia inwestycji </w:t>
            </w:r>
            <w:r w:rsidRPr="0099520C">
              <w:rPr>
                <w:rFonts w:ascii="Arial" w:hAnsi="Arial" w:cs="Arial"/>
                <w:color w:val="000000" w:themeColor="text1"/>
                <w:sz w:val="22"/>
                <w:szCs w:val="22"/>
              </w:rPr>
              <w:br/>
              <w:t>w stosownym wykazie)</w:t>
            </w:r>
          </w:p>
        </w:tc>
      </w:tr>
      <w:tr w:rsidR="006F4FD2" w:rsidRPr="0099520C" w14:paraId="731AABF2" w14:textId="77777777" w:rsidTr="00560DF6">
        <w:tc>
          <w:tcPr>
            <w:tcW w:w="0" w:type="auto"/>
          </w:tcPr>
          <w:p w14:paraId="74B2A921"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1. (drogowy)</w:t>
            </w:r>
          </w:p>
        </w:tc>
        <w:tc>
          <w:tcPr>
            <w:tcW w:w="0" w:type="auto"/>
          </w:tcPr>
          <w:p w14:paraId="050F5745" w14:textId="3344220A"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Inwestycje dotyczące dróg wojewódzkich </w:t>
            </w:r>
            <w:r w:rsidR="0099520C">
              <w:rPr>
                <w:rFonts w:ascii="Arial" w:hAnsi="Arial" w:cs="Arial"/>
                <w:color w:val="000000" w:themeColor="text1"/>
                <w:sz w:val="22"/>
                <w:szCs w:val="22"/>
              </w:rPr>
              <w:br/>
            </w:r>
            <w:r w:rsidRPr="0099520C">
              <w:rPr>
                <w:rFonts w:ascii="Arial" w:hAnsi="Arial" w:cs="Arial"/>
                <w:color w:val="000000" w:themeColor="text1"/>
                <w:sz w:val="22"/>
                <w:szCs w:val="22"/>
              </w:rPr>
              <w:t>i powiązanej</w:t>
            </w:r>
            <w:r w:rsidR="006777F8" w:rsidRPr="0099520C">
              <w:rPr>
                <w:rFonts w:ascii="Arial" w:hAnsi="Arial" w:cs="Arial"/>
                <w:color w:val="000000" w:themeColor="text1"/>
                <w:sz w:val="22"/>
                <w:szCs w:val="22"/>
              </w:rPr>
              <w:t xml:space="preserve"> </w:t>
            </w:r>
            <w:r w:rsidRPr="0099520C">
              <w:rPr>
                <w:rFonts w:ascii="Arial" w:hAnsi="Arial" w:cs="Arial"/>
                <w:color w:val="000000" w:themeColor="text1"/>
                <w:sz w:val="22"/>
                <w:szCs w:val="22"/>
              </w:rPr>
              <w:t>infrastruktury</w:t>
            </w:r>
          </w:p>
        </w:tc>
        <w:tc>
          <w:tcPr>
            <w:tcW w:w="2363" w:type="dxa"/>
          </w:tcPr>
          <w:p w14:paraId="3893A458" w14:textId="2626672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(Wyłącznie realizacja dróg wojewódzkich </w:t>
            </w:r>
            <w:r w:rsidR="0099520C">
              <w:rPr>
                <w:rFonts w:ascii="Arial" w:hAnsi="Arial" w:cs="Arial"/>
                <w:color w:val="000000" w:themeColor="text1"/>
                <w:sz w:val="22"/>
                <w:szCs w:val="22"/>
              </w:rPr>
              <w:br/>
            </w:r>
            <w:r w:rsidRPr="0099520C">
              <w:rPr>
                <w:rFonts w:ascii="Arial" w:hAnsi="Arial" w:cs="Arial"/>
                <w:color w:val="000000" w:themeColor="text1"/>
                <w:sz w:val="22"/>
                <w:szCs w:val="22"/>
              </w:rPr>
              <w:t xml:space="preserve">z obszaru Polski Wschodniej w </w:t>
            </w:r>
            <w:r w:rsidR="008177E4" w:rsidRPr="0099520C">
              <w:rPr>
                <w:rFonts w:ascii="Arial" w:hAnsi="Arial" w:cs="Arial"/>
                <w:color w:val="000000" w:themeColor="text1"/>
                <w:sz w:val="22"/>
                <w:szCs w:val="22"/>
              </w:rPr>
              <w:t>FEPW)</w:t>
            </w:r>
          </w:p>
        </w:tc>
        <w:tc>
          <w:tcPr>
            <w:tcW w:w="2268" w:type="dxa"/>
          </w:tcPr>
          <w:p w14:paraId="1314993D" w14:textId="0D240D31"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(Drogi o kategorii niższej niż drogi krajowe)</w:t>
            </w:r>
          </w:p>
        </w:tc>
        <w:tc>
          <w:tcPr>
            <w:tcW w:w="1701" w:type="dxa"/>
          </w:tcPr>
          <w:p w14:paraId="184787C3"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NIE </w:t>
            </w:r>
            <w:r w:rsidRPr="0099520C">
              <w:rPr>
                <w:rFonts w:ascii="Arial" w:hAnsi="Arial" w:cs="Arial"/>
                <w:color w:val="000000" w:themeColor="text1"/>
                <w:sz w:val="22"/>
                <w:szCs w:val="22"/>
              </w:rPr>
              <w:br/>
              <w:t>(Środki przeznaczone na inwestycje dot. dróg krajowych)</w:t>
            </w:r>
          </w:p>
        </w:tc>
        <w:tc>
          <w:tcPr>
            <w:tcW w:w="2679" w:type="dxa"/>
          </w:tcPr>
          <w:p w14:paraId="0B300C13"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r>
            <w:r w:rsidRPr="0099520C">
              <w:rPr>
                <w:rFonts w:ascii="Arial" w:hAnsi="Arial" w:cs="Arial"/>
                <w:i/>
                <w:color w:val="000000" w:themeColor="text1"/>
                <w:sz w:val="22"/>
                <w:szCs w:val="22"/>
              </w:rPr>
              <w:t>Program budowy 100 obwodnic na lata 2020 - 2030</w:t>
            </w:r>
            <w:r w:rsidRPr="0099520C">
              <w:rPr>
                <w:rFonts w:ascii="Arial" w:hAnsi="Arial" w:cs="Arial"/>
                <w:color w:val="000000" w:themeColor="text1"/>
                <w:sz w:val="22"/>
                <w:szCs w:val="22"/>
              </w:rPr>
              <w:t xml:space="preserve"> (program wykorzystujący środki krajowe i UE) - pod warunkiem ujęcia inwestycji w stosownym wykazie</w:t>
            </w:r>
          </w:p>
          <w:p w14:paraId="4D4BEC46" w14:textId="77777777" w:rsidR="00560DF6" w:rsidRPr="0099520C" w:rsidRDefault="00560DF6" w:rsidP="0099520C">
            <w:pPr>
              <w:spacing w:line="276" w:lineRule="auto"/>
              <w:jc w:val="center"/>
              <w:rPr>
                <w:rFonts w:ascii="Arial" w:hAnsi="Arial" w:cs="Arial"/>
                <w:i/>
                <w:color w:val="000000" w:themeColor="text1"/>
                <w:sz w:val="22"/>
                <w:szCs w:val="22"/>
              </w:rPr>
            </w:pPr>
            <w:r w:rsidRPr="0099520C">
              <w:rPr>
                <w:rFonts w:ascii="Arial" w:hAnsi="Arial" w:cs="Arial"/>
                <w:i/>
                <w:color w:val="000000" w:themeColor="text1"/>
                <w:sz w:val="22"/>
                <w:szCs w:val="22"/>
              </w:rPr>
              <w:t>Rządowy Fundusz Polski Ład: Program Inwestycji Strategicznych</w:t>
            </w:r>
          </w:p>
          <w:p w14:paraId="74B41C2F"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(wsparcie dla inwestycji JST; dofinansowanie pod warunkiem ujęcia zadania</w:t>
            </w:r>
          </w:p>
          <w:p w14:paraId="3CAA2059"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w stosownym wykazie)</w:t>
            </w:r>
          </w:p>
        </w:tc>
        <w:tc>
          <w:tcPr>
            <w:tcW w:w="0" w:type="auto"/>
          </w:tcPr>
          <w:p w14:paraId="65A7D81D"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Inne fundusze budżetu państwa (pod warunkiem ujęcia inwestycji </w:t>
            </w:r>
            <w:r w:rsidRPr="0099520C">
              <w:rPr>
                <w:rFonts w:ascii="Arial" w:hAnsi="Arial" w:cs="Arial"/>
                <w:color w:val="000000" w:themeColor="text1"/>
                <w:sz w:val="22"/>
                <w:szCs w:val="22"/>
              </w:rPr>
              <w:br/>
              <w:t>w stosownym wykazie)</w:t>
            </w:r>
          </w:p>
        </w:tc>
      </w:tr>
      <w:tr w:rsidR="006F4FD2" w:rsidRPr="0099520C" w14:paraId="013CA54A" w14:textId="77777777" w:rsidTr="00560DF6">
        <w:tc>
          <w:tcPr>
            <w:tcW w:w="0" w:type="auto"/>
          </w:tcPr>
          <w:p w14:paraId="614353D4"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1. (drogowy)</w:t>
            </w:r>
          </w:p>
        </w:tc>
        <w:tc>
          <w:tcPr>
            <w:tcW w:w="0" w:type="auto"/>
          </w:tcPr>
          <w:p w14:paraId="6EF3E206" w14:textId="76B4524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Budowa </w:t>
            </w:r>
            <w:r w:rsidR="0099520C">
              <w:rPr>
                <w:rFonts w:ascii="Arial" w:hAnsi="Arial" w:cs="Arial"/>
                <w:color w:val="000000" w:themeColor="text1"/>
                <w:sz w:val="22"/>
                <w:szCs w:val="22"/>
              </w:rPr>
              <w:br/>
            </w:r>
            <w:r w:rsidRPr="0099520C">
              <w:rPr>
                <w:rFonts w:ascii="Arial" w:hAnsi="Arial" w:cs="Arial"/>
                <w:color w:val="000000" w:themeColor="text1"/>
                <w:sz w:val="22"/>
                <w:szCs w:val="22"/>
              </w:rPr>
              <w:t>i modernizacja mostów</w:t>
            </w:r>
          </w:p>
        </w:tc>
        <w:tc>
          <w:tcPr>
            <w:tcW w:w="2363" w:type="dxa"/>
          </w:tcPr>
          <w:p w14:paraId="1D33039B"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(Inwestycje na drogach krajowych; tylko drogi GDDKiA)</w:t>
            </w:r>
          </w:p>
        </w:tc>
        <w:tc>
          <w:tcPr>
            <w:tcW w:w="2268" w:type="dxa"/>
          </w:tcPr>
          <w:p w14:paraId="491E1BDD" w14:textId="3B1AD0A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(Drogi o kategorii niższej niż drogi krajowe)</w:t>
            </w:r>
          </w:p>
        </w:tc>
        <w:tc>
          <w:tcPr>
            <w:tcW w:w="1701" w:type="dxa"/>
          </w:tcPr>
          <w:p w14:paraId="231FBCDC" w14:textId="00E574BA"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(Pod warunkiem ujęcia inwestycji </w:t>
            </w:r>
            <w:r w:rsidR="0099520C">
              <w:rPr>
                <w:rFonts w:ascii="Arial" w:hAnsi="Arial" w:cs="Arial"/>
                <w:color w:val="000000" w:themeColor="text1"/>
                <w:sz w:val="22"/>
                <w:szCs w:val="22"/>
              </w:rPr>
              <w:br/>
            </w:r>
            <w:r w:rsidRPr="0099520C">
              <w:rPr>
                <w:rFonts w:ascii="Arial" w:hAnsi="Arial" w:cs="Arial"/>
                <w:color w:val="000000" w:themeColor="text1"/>
                <w:sz w:val="22"/>
                <w:szCs w:val="22"/>
              </w:rPr>
              <w:t>w ramach stosownego wykazu)</w:t>
            </w:r>
          </w:p>
        </w:tc>
        <w:tc>
          <w:tcPr>
            <w:tcW w:w="2679" w:type="dxa"/>
          </w:tcPr>
          <w:p w14:paraId="139D1A04"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r>
            <w:r w:rsidRPr="0099520C">
              <w:rPr>
                <w:rFonts w:ascii="Arial" w:hAnsi="Arial" w:cs="Arial"/>
                <w:i/>
                <w:color w:val="000000" w:themeColor="text1"/>
                <w:sz w:val="22"/>
                <w:szCs w:val="22"/>
              </w:rPr>
              <w:t>Program Mosty dla regionów tzw. Mosty +</w:t>
            </w:r>
            <w:r w:rsidRPr="0099520C">
              <w:rPr>
                <w:rFonts w:ascii="Arial" w:hAnsi="Arial" w:cs="Arial"/>
                <w:color w:val="000000" w:themeColor="text1"/>
                <w:sz w:val="22"/>
                <w:szCs w:val="22"/>
              </w:rPr>
              <w:t xml:space="preserve"> (inwestycje mostowe wskazane w wykazie)</w:t>
            </w:r>
          </w:p>
          <w:p w14:paraId="0CFBD9FB" w14:textId="77777777" w:rsidR="00560DF6" w:rsidRPr="0099520C" w:rsidRDefault="00560DF6" w:rsidP="0099520C">
            <w:pPr>
              <w:spacing w:line="276" w:lineRule="auto"/>
              <w:jc w:val="center"/>
              <w:rPr>
                <w:rFonts w:ascii="Arial" w:hAnsi="Arial" w:cs="Arial"/>
                <w:i/>
                <w:color w:val="000000" w:themeColor="text1"/>
                <w:sz w:val="22"/>
                <w:szCs w:val="22"/>
              </w:rPr>
            </w:pPr>
            <w:r w:rsidRPr="0099520C">
              <w:rPr>
                <w:rFonts w:ascii="Arial" w:hAnsi="Arial" w:cs="Arial"/>
                <w:i/>
                <w:color w:val="000000" w:themeColor="text1"/>
                <w:sz w:val="22"/>
                <w:szCs w:val="22"/>
              </w:rPr>
              <w:t>Rządowy Fundusz Polski Ład: Program Inwestycji Strategicznych</w:t>
            </w:r>
          </w:p>
          <w:p w14:paraId="34E63372"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(wsparcie dla inwestycji JST; dofinansowanie pod warunkiem ujęcia zadania</w:t>
            </w:r>
          </w:p>
          <w:p w14:paraId="7E507E44"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w stosownym wykazie)</w:t>
            </w:r>
          </w:p>
        </w:tc>
        <w:tc>
          <w:tcPr>
            <w:tcW w:w="0" w:type="auto"/>
          </w:tcPr>
          <w:p w14:paraId="7108FF72"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Inne fundusze budżetu państwa (pod warunkiem ujęcia inwestycji </w:t>
            </w:r>
            <w:r w:rsidRPr="0099520C">
              <w:rPr>
                <w:rFonts w:ascii="Arial" w:hAnsi="Arial" w:cs="Arial"/>
                <w:color w:val="000000" w:themeColor="text1"/>
                <w:sz w:val="22"/>
                <w:szCs w:val="22"/>
              </w:rPr>
              <w:br/>
              <w:t>w stosownym wykazie)</w:t>
            </w:r>
          </w:p>
        </w:tc>
      </w:tr>
      <w:tr w:rsidR="006F4FD2" w:rsidRPr="0099520C" w14:paraId="3C9641F2" w14:textId="77777777" w:rsidTr="00560DF6">
        <w:tc>
          <w:tcPr>
            <w:tcW w:w="0" w:type="auto"/>
          </w:tcPr>
          <w:p w14:paraId="0E9DB884"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1. (drogowy)</w:t>
            </w:r>
          </w:p>
        </w:tc>
        <w:tc>
          <w:tcPr>
            <w:tcW w:w="0" w:type="auto"/>
          </w:tcPr>
          <w:p w14:paraId="53BC4F02"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Budowa obwodnic</w:t>
            </w:r>
          </w:p>
        </w:tc>
        <w:tc>
          <w:tcPr>
            <w:tcW w:w="2363" w:type="dxa"/>
          </w:tcPr>
          <w:p w14:paraId="7A2FE7C3"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(Inwestycje na drogach krajowych; tylko drogi GDDKiA)</w:t>
            </w:r>
          </w:p>
        </w:tc>
        <w:tc>
          <w:tcPr>
            <w:tcW w:w="2268" w:type="dxa"/>
          </w:tcPr>
          <w:p w14:paraId="1ADB18E1" w14:textId="0EC2F421"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(Drogi o kategorii niższej niż drogi krajowe)</w:t>
            </w:r>
          </w:p>
        </w:tc>
        <w:tc>
          <w:tcPr>
            <w:tcW w:w="1701" w:type="dxa"/>
          </w:tcPr>
          <w:p w14:paraId="62563F16" w14:textId="1D13E4FD"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(Pod warunkiem ujęcia inwestycji </w:t>
            </w:r>
            <w:r w:rsidR="00FF5524">
              <w:rPr>
                <w:rFonts w:ascii="Arial" w:hAnsi="Arial" w:cs="Arial"/>
                <w:color w:val="000000" w:themeColor="text1"/>
                <w:sz w:val="22"/>
                <w:szCs w:val="22"/>
              </w:rPr>
              <w:br/>
            </w:r>
            <w:r w:rsidRPr="0099520C">
              <w:rPr>
                <w:rFonts w:ascii="Arial" w:hAnsi="Arial" w:cs="Arial"/>
                <w:color w:val="000000" w:themeColor="text1"/>
                <w:sz w:val="22"/>
                <w:szCs w:val="22"/>
              </w:rPr>
              <w:t>w ramach stosownego wykazu)</w:t>
            </w:r>
          </w:p>
        </w:tc>
        <w:tc>
          <w:tcPr>
            <w:tcW w:w="2679" w:type="dxa"/>
          </w:tcPr>
          <w:p w14:paraId="21BF168C"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r>
            <w:r w:rsidRPr="0099520C">
              <w:rPr>
                <w:rFonts w:ascii="Arial" w:hAnsi="Arial" w:cs="Arial"/>
                <w:i/>
                <w:color w:val="000000" w:themeColor="text1"/>
                <w:sz w:val="22"/>
                <w:szCs w:val="22"/>
              </w:rPr>
              <w:t>Program budowy 100 obwodnic na lata 2020 - 2030</w:t>
            </w:r>
            <w:r w:rsidRPr="0099520C">
              <w:rPr>
                <w:rFonts w:ascii="Arial" w:hAnsi="Arial" w:cs="Arial"/>
                <w:color w:val="000000" w:themeColor="text1"/>
                <w:sz w:val="22"/>
                <w:szCs w:val="22"/>
              </w:rPr>
              <w:t xml:space="preserve"> (program wykorzystujący środki krajowe i UE) - pod warunkiem ujęcia inwestycji w stosownym wykazie</w:t>
            </w:r>
          </w:p>
          <w:p w14:paraId="3AD0AD62" w14:textId="77777777" w:rsidR="00560DF6" w:rsidRPr="0099520C" w:rsidRDefault="00560DF6" w:rsidP="0099520C">
            <w:pPr>
              <w:spacing w:line="276" w:lineRule="auto"/>
              <w:jc w:val="center"/>
              <w:rPr>
                <w:rFonts w:ascii="Arial" w:hAnsi="Arial" w:cs="Arial"/>
                <w:i/>
                <w:color w:val="000000" w:themeColor="text1"/>
                <w:sz w:val="22"/>
                <w:szCs w:val="22"/>
              </w:rPr>
            </w:pPr>
            <w:r w:rsidRPr="0099520C">
              <w:rPr>
                <w:rFonts w:ascii="Arial" w:hAnsi="Arial" w:cs="Arial"/>
                <w:i/>
                <w:color w:val="000000" w:themeColor="text1"/>
                <w:sz w:val="22"/>
                <w:szCs w:val="22"/>
              </w:rPr>
              <w:t>Rządowy Fundusz Polski Ład: Program Inwestycji Strategicznych</w:t>
            </w:r>
          </w:p>
          <w:p w14:paraId="72986F1A"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(wsparcie dla inwestycji JST; dofinansowanie pod warunkiem ujęcia zadania</w:t>
            </w:r>
          </w:p>
          <w:p w14:paraId="5CEB24DD"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w stosownym wykazie)</w:t>
            </w:r>
          </w:p>
        </w:tc>
        <w:tc>
          <w:tcPr>
            <w:tcW w:w="0" w:type="auto"/>
          </w:tcPr>
          <w:p w14:paraId="43F22C32" w14:textId="14B07CD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FE pochodzące </w:t>
            </w:r>
            <w:r w:rsidR="0099520C">
              <w:rPr>
                <w:rFonts w:ascii="Arial" w:hAnsi="Arial" w:cs="Arial"/>
                <w:color w:val="000000" w:themeColor="text1"/>
                <w:sz w:val="22"/>
                <w:szCs w:val="22"/>
              </w:rPr>
              <w:br/>
            </w:r>
            <w:r w:rsidRPr="0099520C">
              <w:rPr>
                <w:rFonts w:ascii="Arial" w:hAnsi="Arial" w:cs="Arial"/>
                <w:color w:val="000000" w:themeColor="text1"/>
                <w:sz w:val="22"/>
                <w:szCs w:val="22"/>
              </w:rPr>
              <w:t xml:space="preserve">z Perspektywy Finansowej </w:t>
            </w:r>
            <w:r w:rsidR="00FF5524">
              <w:rPr>
                <w:rFonts w:ascii="Arial" w:hAnsi="Arial" w:cs="Arial"/>
                <w:color w:val="000000" w:themeColor="text1"/>
                <w:sz w:val="22"/>
                <w:szCs w:val="22"/>
              </w:rPr>
              <w:br/>
            </w:r>
            <w:r w:rsidRPr="0099520C">
              <w:rPr>
                <w:rFonts w:ascii="Arial" w:hAnsi="Arial" w:cs="Arial"/>
                <w:color w:val="000000" w:themeColor="text1"/>
                <w:sz w:val="22"/>
                <w:szCs w:val="22"/>
              </w:rPr>
              <w:t xml:space="preserve">2014-2020 (inwestycje </w:t>
            </w:r>
            <w:r w:rsidRPr="0099520C">
              <w:rPr>
                <w:rFonts w:ascii="Arial" w:hAnsi="Arial" w:cs="Arial"/>
                <w:color w:val="000000" w:themeColor="text1"/>
                <w:sz w:val="22"/>
                <w:szCs w:val="22"/>
              </w:rPr>
              <w:br/>
              <w:t>w toku)</w:t>
            </w:r>
          </w:p>
        </w:tc>
      </w:tr>
      <w:tr w:rsidR="006F4FD2" w:rsidRPr="0099520C" w14:paraId="31A185AB" w14:textId="77777777" w:rsidTr="00560DF6">
        <w:tc>
          <w:tcPr>
            <w:tcW w:w="0" w:type="auto"/>
          </w:tcPr>
          <w:p w14:paraId="6B6CBB33"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1. (drogowy)</w:t>
            </w:r>
          </w:p>
        </w:tc>
        <w:tc>
          <w:tcPr>
            <w:tcW w:w="0" w:type="auto"/>
          </w:tcPr>
          <w:p w14:paraId="45568F02" w14:textId="5EE7FDA9"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Budowa dróg </w:t>
            </w:r>
            <w:r w:rsidR="0099520C">
              <w:rPr>
                <w:rFonts w:ascii="Arial" w:hAnsi="Arial" w:cs="Arial"/>
                <w:color w:val="000000" w:themeColor="text1"/>
                <w:sz w:val="22"/>
                <w:szCs w:val="22"/>
              </w:rPr>
              <w:br/>
            </w:r>
            <w:r w:rsidRPr="0099520C">
              <w:rPr>
                <w:rFonts w:ascii="Arial" w:hAnsi="Arial" w:cs="Arial"/>
                <w:color w:val="000000" w:themeColor="text1"/>
                <w:sz w:val="22"/>
                <w:szCs w:val="22"/>
              </w:rPr>
              <w:t xml:space="preserve">o statusie specjalnym </w:t>
            </w:r>
            <w:r w:rsidR="0099520C">
              <w:rPr>
                <w:rFonts w:ascii="Arial" w:hAnsi="Arial" w:cs="Arial"/>
                <w:color w:val="000000" w:themeColor="text1"/>
                <w:sz w:val="22"/>
                <w:szCs w:val="22"/>
              </w:rPr>
              <w:br/>
            </w:r>
            <w:r w:rsidRPr="0099520C">
              <w:rPr>
                <w:rFonts w:ascii="Arial" w:hAnsi="Arial" w:cs="Arial"/>
                <w:color w:val="000000" w:themeColor="text1"/>
                <w:sz w:val="22"/>
                <w:szCs w:val="22"/>
              </w:rPr>
              <w:t xml:space="preserve">i strategicznym </w:t>
            </w:r>
            <w:r w:rsidR="00FF5524">
              <w:rPr>
                <w:rFonts w:ascii="Arial" w:hAnsi="Arial" w:cs="Arial"/>
                <w:color w:val="000000" w:themeColor="text1"/>
                <w:sz w:val="22"/>
                <w:szCs w:val="22"/>
              </w:rPr>
              <w:br/>
            </w:r>
            <w:r w:rsidRPr="0099520C">
              <w:rPr>
                <w:rFonts w:ascii="Arial" w:hAnsi="Arial" w:cs="Arial"/>
                <w:color w:val="000000" w:themeColor="text1"/>
                <w:sz w:val="22"/>
                <w:szCs w:val="22"/>
              </w:rPr>
              <w:t xml:space="preserve">o innej randze niż DK </w:t>
            </w:r>
            <w:r w:rsidR="0099520C">
              <w:rPr>
                <w:rFonts w:ascii="Arial" w:hAnsi="Arial" w:cs="Arial"/>
                <w:color w:val="000000" w:themeColor="text1"/>
                <w:sz w:val="22"/>
                <w:szCs w:val="22"/>
              </w:rPr>
              <w:br/>
            </w:r>
            <w:r w:rsidRPr="0099520C">
              <w:rPr>
                <w:rFonts w:ascii="Arial" w:hAnsi="Arial" w:cs="Arial"/>
                <w:color w:val="000000" w:themeColor="text1"/>
                <w:sz w:val="22"/>
                <w:szCs w:val="22"/>
              </w:rPr>
              <w:t>i DW (w tym budowa dróg poprzecznych łączących przejścia graniczne w celu zarządzania ruchem granicznym)</w:t>
            </w:r>
          </w:p>
        </w:tc>
        <w:tc>
          <w:tcPr>
            <w:tcW w:w="2363" w:type="dxa"/>
          </w:tcPr>
          <w:p w14:paraId="24B926C1"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2268" w:type="dxa"/>
          </w:tcPr>
          <w:p w14:paraId="6E108A95" w14:textId="681C539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(Drogi o kategorii niższej niż drogi krajowe)</w:t>
            </w:r>
          </w:p>
        </w:tc>
        <w:tc>
          <w:tcPr>
            <w:tcW w:w="1701" w:type="dxa"/>
          </w:tcPr>
          <w:p w14:paraId="0BA1797B"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2679" w:type="dxa"/>
          </w:tcPr>
          <w:p w14:paraId="4CBE2732"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0" w:type="auto"/>
          </w:tcPr>
          <w:p w14:paraId="35F275E4"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Inne fundusze budżetu państwa (pod warunkiem ujęcia inwestycji </w:t>
            </w:r>
            <w:r w:rsidRPr="0099520C">
              <w:rPr>
                <w:rFonts w:ascii="Arial" w:hAnsi="Arial" w:cs="Arial"/>
                <w:color w:val="000000" w:themeColor="text1"/>
                <w:sz w:val="22"/>
                <w:szCs w:val="22"/>
              </w:rPr>
              <w:br/>
              <w:t>w stosownym wykazie) lub Fundusze Europejskie dostępne w ramach EWT</w:t>
            </w:r>
          </w:p>
        </w:tc>
      </w:tr>
      <w:tr w:rsidR="006F4FD2" w:rsidRPr="0099520C" w14:paraId="244F4ED9" w14:textId="77777777" w:rsidTr="00560DF6">
        <w:tc>
          <w:tcPr>
            <w:tcW w:w="0" w:type="auto"/>
          </w:tcPr>
          <w:p w14:paraId="1C91C2CC"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1. (kolejowy)</w:t>
            </w:r>
          </w:p>
        </w:tc>
        <w:tc>
          <w:tcPr>
            <w:tcW w:w="0" w:type="auto"/>
          </w:tcPr>
          <w:p w14:paraId="1EEABF23" w14:textId="252E0785"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Budowa, przebudowa, modernizacja, rozbudowa oraz rewitalizacja linii kolejowych w tym budowa i inwestycje dotyczące łączników pomiędzy liniami. Dotyczy infrastruktury kolejowej </w:t>
            </w:r>
            <w:r w:rsidR="0099520C">
              <w:rPr>
                <w:rFonts w:ascii="Arial" w:hAnsi="Arial" w:cs="Arial"/>
                <w:color w:val="000000" w:themeColor="text1"/>
                <w:sz w:val="22"/>
                <w:szCs w:val="22"/>
              </w:rPr>
              <w:br/>
            </w:r>
            <w:r w:rsidRPr="0099520C">
              <w:rPr>
                <w:rFonts w:ascii="Arial" w:hAnsi="Arial" w:cs="Arial"/>
                <w:color w:val="000000" w:themeColor="text1"/>
                <w:sz w:val="22"/>
                <w:szCs w:val="22"/>
              </w:rPr>
              <w:t>o znaczeniu ponadregionalnym oraz transgranicznym</w:t>
            </w:r>
          </w:p>
        </w:tc>
        <w:tc>
          <w:tcPr>
            <w:tcW w:w="2363" w:type="dxa"/>
          </w:tcPr>
          <w:p w14:paraId="2EB36FF1" w14:textId="025E2E6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(Infrastruktura kolejowa </w:t>
            </w:r>
            <w:r w:rsidR="0099520C">
              <w:rPr>
                <w:rFonts w:ascii="Arial" w:hAnsi="Arial" w:cs="Arial"/>
                <w:color w:val="000000" w:themeColor="text1"/>
                <w:sz w:val="22"/>
                <w:szCs w:val="22"/>
              </w:rPr>
              <w:br/>
            </w:r>
            <w:r w:rsidRPr="0099520C">
              <w:rPr>
                <w:rFonts w:ascii="Arial" w:hAnsi="Arial" w:cs="Arial"/>
                <w:color w:val="000000" w:themeColor="text1"/>
                <w:sz w:val="22"/>
                <w:szCs w:val="22"/>
              </w:rPr>
              <w:t xml:space="preserve">o charakterze ponadregionalnym; Tabor kolejowy do przewozów </w:t>
            </w:r>
            <w:r w:rsidR="0099520C">
              <w:rPr>
                <w:rFonts w:ascii="Arial" w:hAnsi="Arial" w:cs="Arial"/>
                <w:color w:val="000000" w:themeColor="text1"/>
                <w:sz w:val="22"/>
                <w:szCs w:val="22"/>
              </w:rPr>
              <w:br/>
            </w:r>
            <w:r w:rsidRPr="0099520C">
              <w:rPr>
                <w:rFonts w:ascii="Arial" w:hAnsi="Arial" w:cs="Arial"/>
                <w:color w:val="000000" w:themeColor="text1"/>
                <w:sz w:val="22"/>
                <w:szCs w:val="22"/>
              </w:rPr>
              <w:t>o charakterze ponadregionalnym)</w:t>
            </w:r>
          </w:p>
        </w:tc>
        <w:tc>
          <w:tcPr>
            <w:tcW w:w="2268" w:type="dxa"/>
          </w:tcPr>
          <w:p w14:paraId="34DA3C4E" w14:textId="5BF338A0"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(Infrastruktura kolejowa zarządzana przez samorząd terytorialny lub podległe mu jednostki; Budowa / rozbudowa bazy utrzymaniowo – naprawczej taboru kolejowego Tabor kolejowy do przewozów </w:t>
            </w:r>
            <w:r w:rsidR="0099520C">
              <w:rPr>
                <w:rFonts w:ascii="Arial" w:hAnsi="Arial" w:cs="Arial"/>
                <w:color w:val="000000" w:themeColor="text1"/>
                <w:sz w:val="22"/>
                <w:szCs w:val="22"/>
              </w:rPr>
              <w:br/>
            </w:r>
            <w:r w:rsidRPr="0099520C">
              <w:rPr>
                <w:rFonts w:ascii="Arial" w:hAnsi="Arial" w:cs="Arial"/>
                <w:color w:val="000000" w:themeColor="text1"/>
                <w:sz w:val="22"/>
                <w:szCs w:val="22"/>
              </w:rPr>
              <w:t>o charakterze regionalnym)</w:t>
            </w:r>
          </w:p>
        </w:tc>
        <w:tc>
          <w:tcPr>
            <w:tcW w:w="1701" w:type="dxa"/>
          </w:tcPr>
          <w:p w14:paraId="33484850" w14:textId="4D1D7D4A"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(Pod warunkiem ujęcia inwestycji </w:t>
            </w:r>
            <w:r w:rsidR="0099520C">
              <w:rPr>
                <w:rFonts w:ascii="Arial" w:hAnsi="Arial" w:cs="Arial"/>
                <w:color w:val="000000" w:themeColor="text1"/>
                <w:sz w:val="22"/>
                <w:szCs w:val="22"/>
              </w:rPr>
              <w:br/>
            </w:r>
            <w:r w:rsidRPr="0099520C">
              <w:rPr>
                <w:rFonts w:ascii="Arial" w:hAnsi="Arial" w:cs="Arial"/>
                <w:color w:val="000000" w:themeColor="text1"/>
                <w:sz w:val="22"/>
                <w:szCs w:val="22"/>
              </w:rPr>
              <w:t xml:space="preserve">w ramach stosownego wykazu, przy czym </w:t>
            </w:r>
            <w:r w:rsidR="00FF5524">
              <w:rPr>
                <w:rFonts w:ascii="Arial" w:hAnsi="Arial" w:cs="Arial"/>
                <w:color w:val="000000" w:themeColor="text1"/>
                <w:sz w:val="22"/>
                <w:szCs w:val="22"/>
              </w:rPr>
              <w:br/>
            </w:r>
            <w:r w:rsidRPr="0099520C">
              <w:rPr>
                <w:rFonts w:ascii="Arial" w:hAnsi="Arial" w:cs="Arial"/>
                <w:color w:val="000000" w:themeColor="text1"/>
                <w:sz w:val="22"/>
                <w:szCs w:val="22"/>
              </w:rPr>
              <w:t>w ramach KPO nie będą wdrażanie projekty transgraniczne)</w:t>
            </w:r>
          </w:p>
        </w:tc>
        <w:tc>
          <w:tcPr>
            <w:tcW w:w="2679" w:type="dxa"/>
          </w:tcPr>
          <w:p w14:paraId="770B05F1" w14:textId="28AA606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Krajowy P</w:t>
            </w:r>
            <w:r w:rsidR="00A95251" w:rsidRPr="0099520C">
              <w:rPr>
                <w:rFonts w:ascii="Arial" w:hAnsi="Arial" w:cs="Arial"/>
                <w:color w:val="000000" w:themeColor="text1"/>
                <w:sz w:val="22"/>
                <w:szCs w:val="22"/>
              </w:rPr>
              <w:t>rogram</w:t>
            </w:r>
            <w:r w:rsidRPr="0099520C">
              <w:rPr>
                <w:rFonts w:ascii="Arial" w:hAnsi="Arial" w:cs="Arial"/>
                <w:color w:val="000000" w:themeColor="text1"/>
                <w:sz w:val="22"/>
                <w:szCs w:val="22"/>
              </w:rPr>
              <w:t xml:space="preserve"> Kolejowy (uwzględniał środki UE kończącej się perspektywy 2014-2020); </w:t>
            </w:r>
            <w:r w:rsidRPr="0099520C">
              <w:rPr>
                <w:rFonts w:ascii="Arial" w:hAnsi="Arial" w:cs="Arial"/>
                <w:i/>
                <w:color w:val="000000" w:themeColor="text1"/>
                <w:sz w:val="22"/>
                <w:szCs w:val="22"/>
              </w:rPr>
              <w:t xml:space="preserve">Program Uzupełniania Lokalnej </w:t>
            </w:r>
            <w:r w:rsidR="0099520C">
              <w:rPr>
                <w:rFonts w:ascii="Arial" w:hAnsi="Arial" w:cs="Arial"/>
                <w:i/>
                <w:color w:val="000000" w:themeColor="text1"/>
                <w:sz w:val="22"/>
                <w:szCs w:val="22"/>
              </w:rPr>
              <w:br/>
            </w:r>
            <w:r w:rsidRPr="0099520C">
              <w:rPr>
                <w:rFonts w:ascii="Arial" w:hAnsi="Arial" w:cs="Arial"/>
                <w:i/>
                <w:color w:val="000000" w:themeColor="text1"/>
                <w:sz w:val="22"/>
                <w:szCs w:val="22"/>
              </w:rPr>
              <w:t>i Regionalnej Infrastruktury Kolejowej – Kolej+ do 2028 r.</w:t>
            </w:r>
            <w:r w:rsidRPr="0099520C">
              <w:rPr>
                <w:rFonts w:ascii="Arial" w:hAnsi="Arial" w:cs="Arial"/>
                <w:color w:val="000000" w:themeColor="text1"/>
                <w:sz w:val="22"/>
                <w:szCs w:val="22"/>
              </w:rPr>
              <w:t xml:space="preserve"> (pod warunkiem ujęcia inwestycji w ramach stosownego wykazu)</w:t>
            </w:r>
          </w:p>
        </w:tc>
        <w:tc>
          <w:tcPr>
            <w:tcW w:w="0" w:type="auto"/>
          </w:tcPr>
          <w:p w14:paraId="7CEFE96E" w14:textId="449BCFD2"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FE pochodzące </w:t>
            </w:r>
            <w:r w:rsidRPr="0099520C">
              <w:rPr>
                <w:rFonts w:ascii="Arial" w:hAnsi="Arial" w:cs="Arial"/>
                <w:color w:val="000000" w:themeColor="text1"/>
                <w:sz w:val="22"/>
                <w:szCs w:val="22"/>
              </w:rPr>
              <w:br/>
              <w:t xml:space="preserve">z Perspektywy Finansowej </w:t>
            </w:r>
            <w:r w:rsidR="00FF5524">
              <w:rPr>
                <w:rFonts w:ascii="Arial" w:hAnsi="Arial" w:cs="Arial"/>
                <w:color w:val="000000" w:themeColor="text1"/>
                <w:sz w:val="22"/>
                <w:szCs w:val="22"/>
              </w:rPr>
              <w:br/>
              <w:t>20</w:t>
            </w:r>
            <w:r w:rsidRPr="0099520C">
              <w:rPr>
                <w:rFonts w:ascii="Arial" w:hAnsi="Arial" w:cs="Arial"/>
                <w:color w:val="000000" w:themeColor="text1"/>
                <w:sz w:val="22"/>
                <w:szCs w:val="22"/>
              </w:rPr>
              <w:t>14-2020 (inwestycje w toku);</w:t>
            </w:r>
          </w:p>
          <w:p w14:paraId="1ADB1CF8" w14:textId="21BF3A72"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Inne fundusze budżetu państwa (pod warunkiem ujęcia inwestycji</w:t>
            </w:r>
          </w:p>
          <w:p w14:paraId="62F3213F"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w stosownym wykazie)</w:t>
            </w:r>
          </w:p>
        </w:tc>
      </w:tr>
      <w:tr w:rsidR="006F4FD2" w:rsidRPr="0099520C" w14:paraId="2F2FEE91" w14:textId="77777777" w:rsidTr="00560DF6">
        <w:tc>
          <w:tcPr>
            <w:tcW w:w="0" w:type="auto"/>
          </w:tcPr>
          <w:p w14:paraId="11908FF6"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1. (kolejowy)</w:t>
            </w:r>
          </w:p>
        </w:tc>
        <w:tc>
          <w:tcPr>
            <w:tcW w:w="0" w:type="auto"/>
          </w:tcPr>
          <w:p w14:paraId="71EF7B86" w14:textId="43836C4D"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Poprawa infrastruktury dla ruchu towarowego ponadregionalnego oraz inwestycje związane </w:t>
            </w:r>
            <w:r w:rsidR="0099520C">
              <w:rPr>
                <w:rFonts w:ascii="Arial" w:hAnsi="Arial" w:cs="Arial"/>
                <w:color w:val="000000" w:themeColor="text1"/>
                <w:sz w:val="22"/>
                <w:szCs w:val="22"/>
              </w:rPr>
              <w:br/>
            </w:r>
            <w:r w:rsidRPr="0099520C">
              <w:rPr>
                <w:rFonts w:ascii="Arial" w:hAnsi="Arial" w:cs="Arial"/>
                <w:color w:val="000000" w:themeColor="text1"/>
                <w:sz w:val="22"/>
                <w:szCs w:val="22"/>
              </w:rPr>
              <w:t>z terminalami intermodalnymi</w:t>
            </w:r>
          </w:p>
        </w:tc>
        <w:tc>
          <w:tcPr>
            <w:tcW w:w="2363" w:type="dxa"/>
          </w:tcPr>
          <w:p w14:paraId="0B62B580" w14:textId="242ED369"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(Infrastruktura kolejowa </w:t>
            </w:r>
            <w:r w:rsidR="0099520C">
              <w:rPr>
                <w:rFonts w:ascii="Arial" w:hAnsi="Arial" w:cs="Arial"/>
                <w:color w:val="000000" w:themeColor="text1"/>
                <w:sz w:val="22"/>
                <w:szCs w:val="22"/>
              </w:rPr>
              <w:br/>
            </w:r>
            <w:r w:rsidRPr="0099520C">
              <w:rPr>
                <w:rFonts w:ascii="Arial" w:hAnsi="Arial" w:cs="Arial"/>
                <w:color w:val="000000" w:themeColor="text1"/>
                <w:sz w:val="22"/>
                <w:szCs w:val="22"/>
              </w:rPr>
              <w:t xml:space="preserve">o charakterze ponadregionalnym; Tabor kolejowy do przewozów </w:t>
            </w:r>
            <w:r w:rsidR="0099520C">
              <w:rPr>
                <w:rFonts w:ascii="Arial" w:hAnsi="Arial" w:cs="Arial"/>
                <w:color w:val="000000" w:themeColor="text1"/>
                <w:sz w:val="22"/>
                <w:szCs w:val="22"/>
              </w:rPr>
              <w:br/>
            </w:r>
            <w:r w:rsidRPr="0099520C">
              <w:rPr>
                <w:rFonts w:ascii="Arial" w:hAnsi="Arial" w:cs="Arial"/>
                <w:color w:val="000000" w:themeColor="text1"/>
                <w:sz w:val="22"/>
                <w:szCs w:val="22"/>
              </w:rPr>
              <w:t>o charakterze ponadregionalnym)</w:t>
            </w:r>
          </w:p>
        </w:tc>
        <w:tc>
          <w:tcPr>
            <w:tcW w:w="2268" w:type="dxa"/>
          </w:tcPr>
          <w:p w14:paraId="64D99FAD"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1701" w:type="dxa"/>
          </w:tcPr>
          <w:p w14:paraId="0BCFA830" w14:textId="60F1AA59"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(Pod warunkiem ujęcia inwestycji </w:t>
            </w:r>
            <w:r w:rsidR="0099520C">
              <w:rPr>
                <w:rFonts w:ascii="Arial" w:hAnsi="Arial" w:cs="Arial"/>
                <w:color w:val="000000" w:themeColor="text1"/>
                <w:sz w:val="22"/>
                <w:szCs w:val="22"/>
              </w:rPr>
              <w:br/>
            </w:r>
            <w:r w:rsidRPr="0099520C">
              <w:rPr>
                <w:rFonts w:ascii="Arial" w:hAnsi="Arial" w:cs="Arial"/>
                <w:color w:val="000000" w:themeColor="text1"/>
                <w:sz w:val="22"/>
                <w:szCs w:val="22"/>
              </w:rPr>
              <w:t>w ramach stosownego wykazu)</w:t>
            </w:r>
          </w:p>
        </w:tc>
        <w:tc>
          <w:tcPr>
            <w:tcW w:w="2679" w:type="dxa"/>
          </w:tcPr>
          <w:p w14:paraId="3873E1F9" w14:textId="39F93848"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 xml:space="preserve">Krajowy </w:t>
            </w:r>
            <w:r w:rsidR="00A95251" w:rsidRPr="0099520C">
              <w:rPr>
                <w:rFonts w:ascii="Arial" w:hAnsi="Arial" w:cs="Arial"/>
                <w:color w:val="000000" w:themeColor="text1"/>
                <w:sz w:val="22"/>
                <w:szCs w:val="22"/>
              </w:rPr>
              <w:t xml:space="preserve">Program </w:t>
            </w:r>
            <w:r w:rsidRPr="0099520C">
              <w:rPr>
                <w:rFonts w:ascii="Arial" w:hAnsi="Arial" w:cs="Arial"/>
                <w:color w:val="000000" w:themeColor="text1"/>
                <w:sz w:val="22"/>
                <w:szCs w:val="22"/>
              </w:rPr>
              <w:t xml:space="preserve">Kolejowy (Uwaga! KPK uwzględniał środki UE </w:t>
            </w:r>
            <w:r w:rsidR="0099520C">
              <w:rPr>
                <w:rFonts w:ascii="Arial" w:hAnsi="Arial" w:cs="Arial"/>
                <w:color w:val="000000" w:themeColor="text1"/>
                <w:sz w:val="22"/>
                <w:szCs w:val="22"/>
              </w:rPr>
              <w:br/>
            </w:r>
            <w:r w:rsidRPr="0099520C">
              <w:rPr>
                <w:rFonts w:ascii="Arial" w:hAnsi="Arial" w:cs="Arial"/>
                <w:color w:val="000000" w:themeColor="text1"/>
                <w:sz w:val="22"/>
                <w:szCs w:val="22"/>
              </w:rPr>
              <w:t xml:space="preserve">z Perspektywy 2014-2020); </w:t>
            </w:r>
            <w:r w:rsidRPr="0099520C">
              <w:rPr>
                <w:rFonts w:ascii="Arial" w:hAnsi="Arial" w:cs="Arial"/>
                <w:i/>
                <w:color w:val="000000" w:themeColor="text1"/>
                <w:sz w:val="22"/>
                <w:szCs w:val="22"/>
              </w:rPr>
              <w:t xml:space="preserve">Program Uzupełniania Lokalnej </w:t>
            </w:r>
            <w:r w:rsidR="0099520C">
              <w:rPr>
                <w:rFonts w:ascii="Arial" w:hAnsi="Arial" w:cs="Arial"/>
                <w:i/>
                <w:color w:val="000000" w:themeColor="text1"/>
                <w:sz w:val="22"/>
                <w:szCs w:val="22"/>
              </w:rPr>
              <w:br/>
            </w:r>
            <w:r w:rsidRPr="0099520C">
              <w:rPr>
                <w:rFonts w:ascii="Arial" w:hAnsi="Arial" w:cs="Arial"/>
                <w:i/>
                <w:color w:val="000000" w:themeColor="text1"/>
                <w:sz w:val="22"/>
                <w:szCs w:val="22"/>
              </w:rPr>
              <w:t>i Regionalnej Infrastruktury Kolejowej – Kolej+ do 2028 r.</w:t>
            </w:r>
            <w:r w:rsidRPr="0099520C">
              <w:rPr>
                <w:rFonts w:ascii="Arial" w:hAnsi="Arial" w:cs="Arial"/>
                <w:color w:val="000000" w:themeColor="text1"/>
                <w:sz w:val="22"/>
                <w:szCs w:val="22"/>
              </w:rPr>
              <w:t xml:space="preserve"> (pod warunkiem ujęcia inwestycji w ramach stosownego wykazu)</w:t>
            </w:r>
          </w:p>
        </w:tc>
        <w:tc>
          <w:tcPr>
            <w:tcW w:w="0" w:type="auto"/>
          </w:tcPr>
          <w:p w14:paraId="50B0F18F" w14:textId="061A232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FE pochodzące </w:t>
            </w:r>
            <w:r w:rsidR="0099520C">
              <w:rPr>
                <w:rFonts w:ascii="Arial" w:hAnsi="Arial" w:cs="Arial"/>
                <w:color w:val="000000" w:themeColor="text1"/>
                <w:sz w:val="22"/>
                <w:szCs w:val="22"/>
              </w:rPr>
              <w:br/>
            </w:r>
            <w:r w:rsidRPr="0099520C">
              <w:rPr>
                <w:rFonts w:ascii="Arial" w:hAnsi="Arial" w:cs="Arial"/>
                <w:color w:val="000000" w:themeColor="text1"/>
                <w:sz w:val="22"/>
                <w:szCs w:val="22"/>
              </w:rPr>
              <w:t xml:space="preserve">z Perspektywy Finansowej </w:t>
            </w:r>
            <w:r w:rsidR="00FF5524">
              <w:rPr>
                <w:rFonts w:ascii="Arial" w:hAnsi="Arial" w:cs="Arial"/>
                <w:color w:val="000000" w:themeColor="text1"/>
                <w:sz w:val="22"/>
                <w:szCs w:val="22"/>
              </w:rPr>
              <w:br/>
            </w:r>
            <w:r w:rsidRPr="0099520C">
              <w:rPr>
                <w:rFonts w:ascii="Arial" w:hAnsi="Arial" w:cs="Arial"/>
                <w:color w:val="000000" w:themeColor="text1"/>
                <w:sz w:val="22"/>
                <w:szCs w:val="22"/>
              </w:rPr>
              <w:t xml:space="preserve">2014-2020 (inwestycje </w:t>
            </w:r>
            <w:r w:rsidRPr="0099520C">
              <w:rPr>
                <w:rFonts w:ascii="Arial" w:hAnsi="Arial" w:cs="Arial"/>
                <w:color w:val="000000" w:themeColor="text1"/>
                <w:sz w:val="22"/>
                <w:szCs w:val="22"/>
              </w:rPr>
              <w:br/>
              <w:t>w toku)</w:t>
            </w:r>
          </w:p>
        </w:tc>
      </w:tr>
      <w:tr w:rsidR="006F4FD2" w:rsidRPr="0099520C" w14:paraId="23B8D1EB" w14:textId="77777777" w:rsidTr="00560DF6">
        <w:tc>
          <w:tcPr>
            <w:tcW w:w="0" w:type="auto"/>
          </w:tcPr>
          <w:p w14:paraId="5CDFEE91"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1. (kolejowy)</w:t>
            </w:r>
          </w:p>
        </w:tc>
        <w:tc>
          <w:tcPr>
            <w:tcW w:w="0" w:type="auto"/>
          </w:tcPr>
          <w:p w14:paraId="15D00BDE" w14:textId="05D42B08"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Przebudowa oraz budowa nowych obiektów dworcowych oraz przystanków (wraz </w:t>
            </w:r>
            <w:r w:rsidR="0099520C">
              <w:rPr>
                <w:rFonts w:ascii="Arial" w:hAnsi="Arial" w:cs="Arial"/>
                <w:color w:val="000000" w:themeColor="text1"/>
                <w:sz w:val="22"/>
                <w:szCs w:val="22"/>
              </w:rPr>
              <w:br/>
            </w:r>
            <w:r w:rsidRPr="0099520C">
              <w:rPr>
                <w:rFonts w:ascii="Arial" w:hAnsi="Arial" w:cs="Arial"/>
                <w:color w:val="000000" w:themeColor="text1"/>
                <w:sz w:val="22"/>
                <w:szCs w:val="22"/>
              </w:rPr>
              <w:t>z przygotowaniem infrastruktury typu P&amp;R, B&amp;R oraz K&amp;R).</w:t>
            </w:r>
          </w:p>
        </w:tc>
        <w:tc>
          <w:tcPr>
            <w:tcW w:w="2363" w:type="dxa"/>
          </w:tcPr>
          <w:p w14:paraId="6963F94B"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(projekty PKP)</w:t>
            </w:r>
          </w:p>
        </w:tc>
        <w:tc>
          <w:tcPr>
            <w:tcW w:w="2268" w:type="dxa"/>
          </w:tcPr>
          <w:p w14:paraId="3B5FB48C"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(projekty samorządów)</w:t>
            </w:r>
          </w:p>
        </w:tc>
        <w:tc>
          <w:tcPr>
            <w:tcW w:w="1701" w:type="dxa"/>
          </w:tcPr>
          <w:p w14:paraId="619E33D4"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2679" w:type="dxa"/>
          </w:tcPr>
          <w:p w14:paraId="0D37251C" w14:textId="1214A625"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Krajowy P</w:t>
            </w:r>
            <w:r w:rsidR="00A95251" w:rsidRPr="0099520C">
              <w:rPr>
                <w:rFonts w:ascii="Arial" w:hAnsi="Arial" w:cs="Arial"/>
                <w:color w:val="000000" w:themeColor="text1"/>
                <w:sz w:val="22"/>
                <w:szCs w:val="22"/>
              </w:rPr>
              <w:t>rogram</w:t>
            </w:r>
            <w:r w:rsidRPr="0099520C">
              <w:rPr>
                <w:rFonts w:ascii="Arial" w:hAnsi="Arial" w:cs="Arial"/>
                <w:color w:val="000000" w:themeColor="text1"/>
                <w:sz w:val="22"/>
                <w:szCs w:val="22"/>
              </w:rPr>
              <w:t xml:space="preserve"> Kolejowy (Uwaga! KPK uwzględniał środki UE </w:t>
            </w:r>
            <w:r w:rsidR="0099520C">
              <w:rPr>
                <w:rFonts w:ascii="Arial" w:hAnsi="Arial" w:cs="Arial"/>
                <w:color w:val="000000" w:themeColor="text1"/>
                <w:sz w:val="22"/>
                <w:szCs w:val="22"/>
              </w:rPr>
              <w:br/>
            </w:r>
            <w:r w:rsidRPr="0099520C">
              <w:rPr>
                <w:rFonts w:ascii="Arial" w:hAnsi="Arial" w:cs="Arial"/>
                <w:color w:val="000000" w:themeColor="text1"/>
                <w:sz w:val="22"/>
                <w:szCs w:val="22"/>
              </w:rPr>
              <w:t>z Perspektywy 2014-2020).</w:t>
            </w:r>
          </w:p>
        </w:tc>
        <w:tc>
          <w:tcPr>
            <w:tcW w:w="0" w:type="auto"/>
          </w:tcPr>
          <w:p w14:paraId="17975587" w14:textId="0C23A4CD"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FE pochodzące </w:t>
            </w:r>
            <w:r w:rsidRPr="0099520C">
              <w:rPr>
                <w:rFonts w:ascii="Arial" w:hAnsi="Arial" w:cs="Arial"/>
                <w:color w:val="000000" w:themeColor="text1"/>
                <w:sz w:val="22"/>
                <w:szCs w:val="22"/>
              </w:rPr>
              <w:br/>
              <w:t xml:space="preserve">z Perspektywy Finansowej </w:t>
            </w:r>
            <w:r w:rsidR="00FF5524">
              <w:rPr>
                <w:rFonts w:ascii="Arial" w:hAnsi="Arial" w:cs="Arial"/>
                <w:color w:val="000000" w:themeColor="text1"/>
                <w:sz w:val="22"/>
                <w:szCs w:val="22"/>
              </w:rPr>
              <w:br/>
            </w:r>
            <w:r w:rsidRPr="0099520C">
              <w:rPr>
                <w:rFonts w:ascii="Arial" w:hAnsi="Arial" w:cs="Arial"/>
                <w:color w:val="000000" w:themeColor="text1"/>
                <w:sz w:val="22"/>
                <w:szCs w:val="22"/>
              </w:rPr>
              <w:t xml:space="preserve">2014-2020 (inwestycje </w:t>
            </w:r>
            <w:r w:rsidRPr="0099520C">
              <w:rPr>
                <w:rFonts w:ascii="Arial" w:hAnsi="Arial" w:cs="Arial"/>
                <w:color w:val="000000" w:themeColor="text1"/>
                <w:sz w:val="22"/>
                <w:szCs w:val="22"/>
              </w:rPr>
              <w:br/>
              <w:t>w toku)</w:t>
            </w:r>
          </w:p>
        </w:tc>
      </w:tr>
      <w:tr w:rsidR="006F4FD2" w:rsidRPr="0099520C" w14:paraId="07DCAFE0" w14:textId="77777777" w:rsidTr="00560DF6">
        <w:tc>
          <w:tcPr>
            <w:tcW w:w="0" w:type="auto"/>
          </w:tcPr>
          <w:p w14:paraId="0459EEDB"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1. (lotniczy)</w:t>
            </w:r>
          </w:p>
        </w:tc>
        <w:tc>
          <w:tcPr>
            <w:tcW w:w="0" w:type="auto"/>
          </w:tcPr>
          <w:p w14:paraId="092CE9CE"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Grupa projektów polegających na:</w:t>
            </w:r>
          </w:p>
          <w:p w14:paraId="1B1237B0" w14:textId="6C272DC8" w:rsidR="00560DF6" w:rsidRPr="0099520C" w:rsidRDefault="00560DF6" w:rsidP="0099520C">
            <w:pPr>
              <w:pStyle w:val="Akapitzlist"/>
              <w:numPr>
                <w:ilvl w:val="0"/>
                <w:numId w:val="193"/>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budowie terminala CARGO z infrastrukturą towarzyszącą </w:t>
            </w:r>
            <w:r w:rsidR="0099520C">
              <w:rPr>
                <w:rFonts w:ascii="Arial" w:hAnsi="Arial" w:cs="Arial"/>
                <w:color w:val="000000" w:themeColor="text1"/>
                <w:sz w:val="22"/>
                <w:szCs w:val="22"/>
              </w:rPr>
              <w:br/>
            </w:r>
            <w:r w:rsidRPr="0099520C">
              <w:rPr>
                <w:rFonts w:ascii="Arial" w:hAnsi="Arial" w:cs="Arial"/>
                <w:color w:val="000000" w:themeColor="text1"/>
                <w:sz w:val="22"/>
                <w:szCs w:val="22"/>
              </w:rPr>
              <w:t>i wyposażeniem oraz na opracowaniu dokumentacji projektowej;</w:t>
            </w:r>
          </w:p>
          <w:p w14:paraId="24EF2917" w14:textId="69E188FF" w:rsidR="00560DF6" w:rsidRPr="0099520C" w:rsidRDefault="00560DF6" w:rsidP="0099520C">
            <w:pPr>
              <w:pStyle w:val="Akapitzlist"/>
              <w:numPr>
                <w:ilvl w:val="0"/>
                <w:numId w:val="193"/>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inwestycjach </w:t>
            </w:r>
            <w:r w:rsidR="0099520C">
              <w:rPr>
                <w:rFonts w:ascii="Arial" w:hAnsi="Arial" w:cs="Arial"/>
                <w:color w:val="000000" w:themeColor="text1"/>
                <w:sz w:val="22"/>
                <w:szCs w:val="22"/>
              </w:rPr>
              <w:br/>
            </w:r>
            <w:r w:rsidRPr="0099520C">
              <w:rPr>
                <w:rFonts w:ascii="Arial" w:hAnsi="Arial" w:cs="Arial"/>
                <w:color w:val="000000" w:themeColor="text1"/>
                <w:sz w:val="22"/>
                <w:szCs w:val="22"/>
              </w:rPr>
              <w:t>w ochronę obwodową;</w:t>
            </w:r>
          </w:p>
          <w:p w14:paraId="06081C25" w14:textId="04199EFD" w:rsidR="00560DF6" w:rsidRPr="0099520C" w:rsidRDefault="00560DF6" w:rsidP="0099520C">
            <w:pPr>
              <w:pStyle w:val="Akapitzlist"/>
              <w:numPr>
                <w:ilvl w:val="0"/>
                <w:numId w:val="193"/>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rozbudowie </w:t>
            </w:r>
            <w:r w:rsidR="0099520C">
              <w:rPr>
                <w:rFonts w:ascii="Arial" w:hAnsi="Arial" w:cs="Arial"/>
                <w:color w:val="000000" w:themeColor="text1"/>
                <w:sz w:val="22"/>
                <w:szCs w:val="22"/>
              </w:rPr>
              <w:br/>
            </w:r>
            <w:r w:rsidRPr="0099520C">
              <w:rPr>
                <w:rFonts w:ascii="Arial" w:hAnsi="Arial" w:cs="Arial"/>
                <w:color w:val="000000" w:themeColor="text1"/>
                <w:sz w:val="22"/>
                <w:szCs w:val="22"/>
              </w:rPr>
              <w:t xml:space="preserve">i przebudowie zbiorników na paliwo lotnicze </w:t>
            </w:r>
            <w:r w:rsidR="0099520C">
              <w:rPr>
                <w:rFonts w:ascii="Arial" w:hAnsi="Arial" w:cs="Arial"/>
                <w:color w:val="000000" w:themeColor="text1"/>
                <w:sz w:val="22"/>
                <w:szCs w:val="22"/>
              </w:rPr>
              <w:br/>
            </w:r>
            <w:r w:rsidRPr="0099520C">
              <w:rPr>
                <w:rFonts w:ascii="Arial" w:hAnsi="Arial" w:cs="Arial"/>
                <w:color w:val="000000" w:themeColor="text1"/>
                <w:sz w:val="22"/>
                <w:szCs w:val="22"/>
              </w:rPr>
              <w:t>i sporządzeniu niezbędnej dokumentacji projektowej;</w:t>
            </w:r>
          </w:p>
          <w:p w14:paraId="002C612E" w14:textId="77777777" w:rsidR="00560DF6" w:rsidRPr="0099520C" w:rsidRDefault="00560DF6" w:rsidP="0099520C">
            <w:pPr>
              <w:pStyle w:val="Akapitzlist"/>
              <w:numPr>
                <w:ilvl w:val="0"/>
                <w:numId w:val="193"/>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rozbudowie terminala pasażerskiego opracowaniu dokumentacji projektowej;</w:t>
            </w:r>
          </w:p>
          <w:p w14:paraId="4198DBDB" w14:textId="77777777" w:rsidR="00560DF6" w:rsidRPr="0099520C" w:rsidRDefault="00560DF6" w:rsidP="0099520C">
            <w:pPr>
              <w:pStyle w:val="Akapitzlist"/>
              <w:numPr>
                <w:ilvl w:val="0"/>
                <w:numId w:val="193"/>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budowie drogi kołowania, rozbudowie drogi kołowania</w:t>
            </w:r>
          </w:p>
          <w:p w14:paraId="2037389A" w14:textId="77777777" w:rsidR="00560DF6" w:rsidRPr="0099520C" w:rsidRDefault="00560DF6" w:rsidP="0099520C">
            <w:pPr>
              <w:pStyle w:val="Akapitzlist"/>
              <w:numPr>
                <w:ilvl w:val="0"/>
                <w:numId w:val="193"/>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oraz inwestycjach zw. z drogą szybkiego zjazdu;</w:t>
            </w:r>
          </w:p>
          <w:p w14:paraId="01833E39" w14:textId="77777777" w:rsidR="00560DF6" w:rsidRPr="0099520C" w:rsidRDefault="00560DF6" w:rsidP="0099520C">
            <w:pPr>
              <w:pStyle w:val="Akapitzlist"/>
              <w:numPr>
                <w:ilvl w:val="0"/>
                <w:numId w:val="193"/>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przebudowie drogi startowej.</w:t>
            </w:r>
          </w:p>
        </w:tc>
        <w:tc>
          <w:tcPr>
            <w:tcW w:w="2363" w:type="dxa"/>
          </w:tcPr>
          <w:p w14:paraId="22F6AEC1"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TAK </w:t>
            </w:r>
            <w:r w:rsidRPr="0099520C">
              <w:rPr>
                <w:rFonts w:ascii="Arial" w:hAnsi="Arial" w:cs="Arial"/>
                <w:color w:val="000000" w:themeColor="text1"/>
                <w:sz w:val="22"/>
                <w:szCs w:val="22"/>
              </w:rPr>
              <w:br/>
              <w:t>(M.in. pod warunkiem wpisywania się w następujące warunki:</w:t>
            </w:r>
          </w:p>
          <w:p w14:paraId="6C9AF5BB" w14:textId="77777777" w:rsidR="00560DF6" w:rsidRPr="0099520C" w:rsidRDefault="00560DF6" w:rsidP="0099520C">
            <w:pPr>
              <w:pStyle w:val="Akapitzlist"/>
              <w:numPr>
                <w:ilvl w:val="0"/>
                <w:numId w:val="195"/>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ujęcie w TEN-T,</w:t>
            </w:r>
          </w:p>
          <w:p w14:paraId="0FD2078D" w14:textId="77777777" w:rsidR="00560DF6" w:rsidRPr="0099520C" w:rsidRDefault="00560DF6" w:rsidP="0099520C">
            <w:pPr>
              <w:pStyle w:val="Akapitzlist"/>
              <w:numPr>
                <w:ilvl w:val="0"/>
                <w:numId w:val="195"/>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bezpieczeństwo w portach lotniczych,</w:t>
            </w:r>
          </w:p>
          <w:p w14:paraId="07786ACB" w14:textId="63271D83" w:rsidR="00560DF6" w:rsidRPr="0099520C" w:rsidRDefault="00560DF6" w:rsidP="0099520C">
            <w:pPr>
              <w:pStyle w:val="Akapitzlist"/>
              <w:numPr>
                <w:ilvl w:val="0"/>
                <w:numId w:val="195"/>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zarządzanie przestrzenią lotniczą - ochrona środowiska </w:t>
            </w:r>
            <w:r w:rsidR="0099520C">
              <w:rPr>
                <w:rFonts w:ascii="Arial" w:hAnsi="Arial" w:cs="Arial"/>
                <w:color w:val="000000" w:themeColor="text1"/>
                <w:sz w:val="22"/>
                <w:szCs w:val="22"/>
              </w:rPr>
              <w:br/>
            </w:r>
            <w:r w:rsidRPr="0099520C">
              <w:rPr>
                <w:rFonts w:ascii="Arial" w:hAnsi="Arial" w:cs="Arial"/>
                <w:color w:val="000000" w:themeColor="text1"/>
                <w:sz w:val="22"/>
                <w:szCs w:val="22"/>
              </w:rPr>
              <w:t xml:space="preserve">w portach lotniczych, Transport intermodalny </w:t>
            </w:r>
            <w:r w:rsidR="0099520C">
              <w:rPr>
                <w:rFonts w:ascii="Arial" w:hAnsi="Arial" w:cs="Arial"/>
                <w:color w:val="000000" w:themeColor="text1"/>
                <w:sz w:val="22"/>
                <w:szCs w:val="22"/>
              </w:rPr>
              <w:br/>
            </w:r>
            <w:r w:rsidRPr="0099520C">
              <w:rPr>
                <w:rFonts w:ascii="Arial" w:hAnsi="Arial" w:cs="Arial"/>
                <w:color w:val="000000" w:themeColor="text1"/>
                <w:sz w:val="22"/>
                <w:szCs w:val="22"/>
              </w:rPr>
              <w:t>w TEN-T</w:t>
            </w:r>
          </w:p>
        </w:tc>
        <w:tc>
          <w:tcPr>
            <w:tcW w:w="2268" w:type="dxa"/>
          </w:tcPr>
          <w:p w14:paraId="31A5948F" w14:textId="41A407E1"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r w:rsidRPr="0099520C">
              <w:rPr>
                <w:rFonts w:ascii="Arial" w:hAnsi="Arial" w:cs="Arial"/>
                <w:color w:val="000000" w:themeColor="text1"/>
                <w:sz w:val="22"/>
                <w:szCs w:val="22"/>
              </w:rPr>
              <w:br/>
              <w:t xml:space="preserve">(TAK - pod warunkiem wystąpienia możliwości finansowania podobnych inwestycji </w:t>
            </w:r>
            <w:r w:rsidRPr="0099520C">
              <w:rPr>
                <w:rFonts w:ascii="Arial" w:hAnsi="Arial" w:cs="Arial"/>
                <w:color w:val="000000" w:themeColor="text1"/>
                <w:sz w:val="22"/>
                <w:szCs w:val="22"/>
              </w:rPr>
              <w:br/>
              <w:t xml:space="preserve">w ramach programów regionalnych, czy też spełnienia przez zgłaszane inwestycje innych kryteriów pozwalających na finansowanie tego rodzaju przedsięwzięć </w:t>
            </w:r>
            <w:r w:rsidR="0099520C">
              <w:rPr>
                <w:rFonts w:ascii="Arial" w:hAnsi="Arial" w:cs="Arial"/>
                <w:color w:val="000000" w:themeColor="text1"/>
                <w:sz w:val="22"/>
                <w:szCs w:val="22"/>
              </w:rPr>
              <w:br/>
            </w:r>
            <w:r w:rsidRPr="0099520C">
              <w:rPr>
                <w:rFonts w:ascii="Arial" w:hAnsi="Arial" w:cs="Arial"/>
                <w:color w:val="000000" w:themeColor="text1"/>
                <w:sz w:val="22"/>
                <w:szCs w:val="22"/>
              </w:rPr>
              <w:t>z regionalnej puli FE)</w:t>
            </w:r>
          </w:p>
        </w:tc>
        <w:tc>
          <w:tcPr>
            <w:tcW w:w="1701" w:type="dxa"/>
          </w:tcPr>
          <w:p w14:paraId="38410F3C" w14:textId="2B4FC9E5" w:rsidR="00560DF6" w:rsidRPr="0099520C" w:rsidRDefault="004A49CD"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2679" w:type="dxa"/>
          </w:tcPr>
          <w:p w14:paraId="32F2501B"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0" w:type="auto"/>
          </w:tcPr>
          <w:p w14:paraId="14F7F773"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r>
      <w:tr w:rsidR="006F4FD2" w:rsidRPr="0099520C" w14:paraId="47991B88" w14:textId="77777777" w:rsidTr="00560DF6">
        <w:tc>
          <w:tcPr>
            <w:tcW w:w="0" w:type="auto"/>
          </w:tcPr>
          <w:p w14:paraId="3853E796"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b/>
                <w:color w:val="000000" w:themeColor="text1"/>
                <w:sz w:val="22"/>
                <w:szCs w:val="22"/>
              </w:rPr>
              <w:t>Cel podstawowy 1. (lotniczy)</w:t>
            </w:r>
          </w:p>
        </w:tc>
        <w:tc>
          <w:tcPr>
            <w:tcW w:w="0" w:type="auto"/>
          </w:tcPr>
          <w:p w14:paraId="05E83CB6" w14:textId="4E0B5FA8"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Inwestycje dotyczące infrastruktury lotniskowej </w:t>
            </w:r>
            <w:r w:rsidR="00A74305">
              <w:rPr>
                <w:rFonts w:ascii="Arial" w:hAnsi="Arial" w:cs="Arial"/>
                <w:color w:val="000000" w:themeColor="text1"/>
                <w:sz w:val="22"/>
                <w:szCs w:val="22"/>
              </w:rPr>
              <w:br/>
            </w:r>
            <w:r w:rsidRPr="0099520C">
              <w:rPr>
                <w:rFonts w:ascii="Arial" w:hAnsi="Arial" w:cs="Arial"/>
                <w:color w:val="000000" w:themeColor="text1"/>
                <w:sz w:val="22"/>
                <w:szCs w:val="22"/>
              </w:rPr>
              <w:t>i wspomagającej lotnisko:</w:t>
            </w:r>
          </w:p>
          <w:p w14:paraId="396DD614" w14:textId="19E3EFAF" w:rsidR="00560DF6" w:rsidRPr="0099520C" w:rsidRDefault="00560DF6" w:rsidP="0099520C">
            <w:pPr>
              <w:pStyle w:val="Akapitzlist"/>
              <w:numPr>
                <w:ilvl w:val="0"/>
                <w:numId w:val="194"/>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związane </w:t>
            </w:r>
            <w:r w:rsidR="00A74305">
              <w:rPr>
                <w:rFonts w:ascii="Arial" w:hAnsi="Arial" w:cs="Arial"/>
                <w:color w:val="000000" w:themeColor="text1"/>
                <w:sz w:val="22"/>
                <w:szCs w:val="22"/>
              </w:rPr>
              <w:br/>
            </w:r>
            <w:r w:rsidRPr="0099520C">
              <w:rPr>
                <w:rFonts w:ascii="Arial" w:hAnsi="Arial" w:cs="Arial"/>
                <w:color w:val="000000" w:themeColor="text1"/>
                <w:sz w:val="22"/>
                <w:szCs w:val="22"/>
              </w:rPr>
              <w:t xml:space="preserve">z parkingiem dla samochodów osobowych </w:t>
            </w:r>
            <w:r w:rsidR="00A74305">
              <w:rPr>
                <w:rFonts w:ascii="Arial" w:hAnsi="Arial" w:cs="Arial"/>
                <w:color w:val="000000" w:themeColor="text1"/>
                <w:sz w:val="22"/>
                <w:szCs w:val="22"/>
              </w:rPr>
              <w:br/>
            </w:r>
            <w:r w:rsidRPr="0099520C">
              <w:rPr>
                <w:rFonts w:ascii="Arial" w:hAnsi="Arial" w:cs="Arial"/>
                <w:color w:val="000000" w:themeColor="text1"/>
                <w:sz w:val="22"/>
                <w:szCs w:val="22"/>
              </w:rPr>
              <w:t>i towarzyszącą infrastrukturą z uwzględnieniem lokalizacji linii kolejowej oraz peronu przy terminalu pasażerskim;</w:t>
            </w:r>
          </w:p>
          <w:p w14:paraId="45BA8D70" w14:textId="77777777" w:rsidR="00560DF6" w:rsidRPr="0099520C" w:rsidRDefault="00560DF6" w:rsidP="0099520C">
            <w:pPr>
              <w:pStyle w:val="Akapitzlist"/>
              <w:numPr>
                <w:ilvl w:val="0"/>
                <w:numId w:val="194"/>
              </w:numPr>
              <w:spacing w:line="276" w:lineRule="auto"/>
              <w:ind w:left="227" w:hanging="227"/>
              <w:jc w:val="center"/>
              <w:rPr>
                <w:rFonts w:ascii="Arial" w:hAnsi="Arial" w:cs="Arial"/>
                <w:color w:val="000000" w:themeColor="text1"/>
                <w:sz w:val="22"/>
                <w:szCs w:val="22"/>
              </w:rPr>
            </w:pPr>
            <w:r w:rsidRPr="0099520C">
              <w:rPr>
                <w:rFonts w:ascii="Arial" w:hAnsi="Arial" w:cs="Arial"/>
                <w:color w:val="000000" w:themeColor="text1"/>
                <w:sz w:val="22"/>
                <w:szCs w:val="22"/>
              </w:rPr>
              <w:t>budowie kolektora wód deszczowych łączącego teren lotniska z rzeką Wisłok.</w:t>
            </w:r>
          </w:p>
        </w:tc>
        <w:tc>
          <w:tcPr>
            <w:tcW w:w="2363" w:type="dxa"/>
          </w:tcPr>
          <w:p w14:paraId="20D0E92A" w14:textId="62571B38"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(M.in. pod warunkiem wpisywania się </w:t>
            </w:r>
            <w:r w:rsidR="00A74305">
              <w:rPr>
                <w:rFonts w:ascii="Arial" w:hAnsi="Arial" w:cs="Arial"/>
                <w:color w:val="000000" w:themeColor="text1"/>
                <w:sz w:val="22"/>
                <w:szCs w:val="22"/>
              </w:rPr>
              <w:br/>
            </w:r>
            <w:r w:rsidRPr="0099520C">
              <w:rPr>
                <w:rFonts w:ascii="Arial" w:hAnsi="Arial" w:cs="Arial"/>
                <w:color w:val="000000" w:themeColor="text1"/>
                <w:sz w:val="22"/>
                <w:szCs w:val="22"/>
              </w:rPr>
              <w:t>w następujące warunki:</w:t>
            </w:r>
          </w:p>
          <w:p w14:paraId="098DC42E" w14:textId="77777777" w:rsidR="00560DF6" w:rsidRPr="0099520C" w:rsidRDefault="00560DF6" w:rsidP="0099520C">
            <w:pPr>
              <w:pStyle w:val="Akapitzlist"/>
              <w:numPr>
                <w:ilvl w:val="0"/>
                <w:numId w:val="196"/>
              </w:num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ujęcie w TEN-T,</w:t>
            </w:r>
          </w:p>
          <w:p w14:paraId="1EABDCF9" w14:textId="22A35401" w:rsidR="00560DF6" w:rsidRPr="0099520C" w:rsidRDefault="00560DF6" w:rsidP="0099520C">
            <w:pPr>
              <w:pStyle w:val="Akapitzlist"/>
              <w:numPr>
                <w:ilvl w:val="0"/>
                <w:numId w:val="196"/>
              </w:num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bezpieczeństwo </w:t>
            </w:r>
            <w:r w:rsidR="00FF5524">
              <w:rPr>
                <w:rFonts w:ascii="Arial" w:hAnsi="Arial" w:cs="Arial"/>
                <w:color w:val="000000" w:themeColor="text1"/>
                <w:sz w:val="22"/>
                <w:szCs w:val="22"/>
              </w:rPr>
              <w:br/>
            </w:r>
            <w:r w:rsidRPr="0099520C">
              <w:rPr>
                <w:rFonts w:ascii="Arial" w:hAnsi="Arial" w:cs="Arial"/>
                <w:color w:val="000000" w:themeColor="text1"/>
                <w:sz w:val="22"/>
                <w:szCs w:val="22"/>
              </w:rPr>
              <w:t>w portach lotniczych,</w:t>
            </w:r>
          </w:p>
          <w:p w14:paraId="42490224" w14:textId="68324EF2" w:rsidR="00560DF6" w:rsidRPr="0099520C" w:rsidRDefault="00560DF6" w:rsidP="0099520C">
            <w:pPr>
              <w:pStyle w:val="Akapitzlist"/>
              <w:numPr>
                <w:ilvl w:val="0"/>
                <w:numId w:val="196"/>
              </w:num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zarządzanie przestrzenią lotniczą - ochrona środowiska </w:t>
            </w:r>
            <w:r w:rsidR="00A74305">
              <w:rPr>
                <w:rFonts w:ascii="Arial" w:hAnsi="Arial" w:cs="Arial"/>
                <w:color w:val="000000" w:themeColor="text1"/>
                <w:sz w:val="22"/>
                <w:szCs w:val="22"/>
              </w:rPr>
              <w:br/>
            </w:r>
            <w:r w:rsidRPr="0099520C">
              <w:rPr>
                <w:rFonts w:ascii="Arial" w:hAnsi="Arial" w:cs="Arial"/>
                <w:color w:val="000000" w:themeColor="text1"/>
                <w:sz w:val="22"/>
                <w:szCs w:val="22"/>
              </w:rPr>
              <w:t xml:space="preserve">w portach lotniczych, Transport intermodalny </w:t>
            </w:r>
            <w:r w:rsidR="00D05595">
              <w:rPr>
                <w:rFonts w:ascii="Arial" w:hAnsi="Arial" w:cs="Arial"/>
                <w:color w:val="000000" w:themeColor="text1"/>
                <w:sz w:val="22"/>
                <w:szCs w:val="22"/>
              </w:rPr>
              <w:br/>
            </w:r>
            <w:r w:rsidRPr="0099520C">
              <w:rPr>
                <w:rFonts w:ascii="Arial" w:hAnsi="Arial" w:cs="Arial"/>
                <w:color w:val="000000" w:themeColor="text1"/>
                <w:sz w:val="22"/>
                <w:szCs w:val="22"/>
              </w:rPr>
              <w:t>w TEN-T</w:t>
            </w:r>
          </w:p>
        </w:tc>
        <w:tc>
          <w:tcPr>
            <w:tcW w:w="2268" w:type="dxa"/>
          </w:tcPr>
          <w:p w14:paraId="05E3F613"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r w:rsidRPr="0099520C">
              <w:rPr>
                <w:rFonts w:ascii="Arial" w:hAnsi="Arial" w:cs="Arial"/>
                <w:color w:val="000000" w:themeColor="text1"/>
                <w:sz w:val="22"/>
                <w:szCs w:val="22"/>
              </w:rPr>
              <w:br/>
              <w:t>(TAK - pod warunkiem wystąpienia możliwości finansowania podobnych inwestycji w ramach programów regionalnych, czy też spełnienia przez zgłaszane inwestycje innych kryteriów pozwalających na finansowanie tego rodzaju przedsięwzięć z regionalnej puli FE)</w:t>
            </w:r>
          </w:p>
        </w:tc>
        <w:tc>
          <w:tcPr>
            <w:tcW w:w="1701" w:type="dxa"/>
          </w:tcPr>
          <w:p w14:paraId="1563E5F6" w14:textId="23317E41"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(M.in. pod warunkiem spełnienia oczekiwań programowych i ujęcia inwestycji </w:t>
            </w:r>
            <w:r w:rsidR="00D05595">
              <w:rPr>
                <w:rFonts w:ascii="Arial" w:hAnsi="Arial" w:cs="Arial"/>
                <w:color w:val="000000" w:themeColor="text1"/>
                <w:sz w:val="22"/>
                <w:szCs w:val="22"/>
              </w:rPr>
              <w:br/>
            </w:r>
            <w:r w:rsidRPr="0099520C">
              <w:rPr>
                <w:rFonts w:ascii="Arial" w:hAnsi="Arial" w:cs="Arial"/>
                <w:color w:val="000000" w:themeColor="text1"/>
                <w:sz w:val="22"/>
                <w:szCs w:val="22"/>
              </w:rPr>
              <w:t>w ramach stosownego wykazu)</w:t>
            </w:r>
          </w:p>
        </w:tc>
        <w:tc>
          <w:tcPr>
            <w:tcW w:w="2679" w:type="dxa"/>
          </w:tcPr>
          <w:p w14:paraId="3479C48B"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0" w:type="auto"/>
          </w:tcPr>
          <w:p w14:paraId="3E75C87C" w14:textId="12108CDE"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M.in. pozostałe krajowe środki publiczne</w:t>
            </w:r>
            <w:r w:rsidR="0016456A" w:rsidRPr="0099520C">
              <w:rPr>
                <w:rFonts w:ascii="Arial" w:hAnsi="Arial" w:cs="Arial"/>
                <w:color w:val="000000" w:themeColor="text1"/>
                <w:sz w:val="22"/>
                <w:szCs w:val="22"/>
              </w:rPr>
              <w:t xml:space="preserve"> </w:t>
            </w:r>
            <w:r w:rsidRPr="0099520C">
              <w:rPr>
                <w:rFonts w:ascii="Arial" w:hAnsi="Arial" w:cs="Arial"/>
                <w:color w:val="000000" w:themeColor="text1"/>
                <w:sz w:val="22"/>
                <w:szCs w:val="22"/>
              </w:rPr>
              <w:t>(przy spełnieniu wymogu zamieszczenia na liście planowych inwestycji oraz przypisania pochodzenia środków)</w:t>
            </w:r>
          </w:p>
        </w:tc>
      </w:tr>
      <w:tr w:rsidR="006F4FD2" w:rsidRPr="0099520C" w14:paraId="790C58A6" w14:textId="77777777" w:rsidTr="00560DF6">
        <w:tc>
          <w:tcPr>
            <w:tcW w:w="0" w:type="auto"/>
          </w:tcPr>
          <w:p w14:paraId="57C20C1E"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1. (alternatywny)</w:t>
            </w:r>
          </w:p>
        </w:tc>
        <w:tc>
          <w:tcPr>
            <w:tcW w:w="0" w:type="auto"/>
          </w:tcPr>
          <w:p w14:paraId="4A57C153" w14:textId="5EA9D78A"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Budowa i rozbudowa ponadregionalnych tras rowerowych oraz budowa i rozbudowa tras podkarpackich odgałęzień tras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o przebiegu ponadregionalnym oraz tras rowerowych połączonych </w:t>
            </w:r>
            <w:r w:rsidR="00D05595">
              <w:rPr>
                <w:rFonts w:ascii="Arial" w:hAnsi="Arial" w:cs="Arial"/>
                <w:color w:val="000000" w:themeColor="text1"/>
                <w:sz w:val="22"/>
                <w:szCs w:val="22"/>
              </w:rPr>
              <w:br/>
            </w:r>
            <w:r w:rsidRPr="0099520C">
              <w:rPr>
                <w:rFonts w:ascii="Arial" w:hAnsi="Arial" w:cs="Arial"/>
                <w:color w:val="000000" w:themeColor="text1"/>
                <w:sz w:val="22"/>
                <w:szCs w:val="22"/>
              </w:rPr>
              <w:t>z infrastrukturą do uprawiania turystyki wodnej</w:t>
            </w:r>
          </w:p>
        </w:tc>
        <w:tc>
          <w:tcPr>
            <w:tcW w:w="2363" w:type="dxa"/>
          </w:tcPr>
          <w:p w14:paraId="23A0729B" w14:textId="00778EF5"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Na zasadach takich, jak inwestycje na drogach krajowych administrowanych przez GDDKiA oraz realizacja dróg wojewódzkich z obszaru Polski Wschodniej w </w:t>
            </w:r>
            <w:r w:rsidR="008177E4" w:rsidRPr="0099520C">
              <w:rPr>
                <w:rFonts w:ascii="Arial" w:hAnsi="Arial" w:cs="Arial"/>
                <w:color w:val="000000" w:themeColor="text1"/>
                <w:sz w:val="22"/>
                <w:szCs w:val="22"/>
              </w:rPr>
              <w:t>FEPW</w:t>
            </w:r>
            <w:r w:rsidRPr="0099520C">
              <w:rPr>
                <w:rFonts w:ascii="Arial" w:hAnsi="Arial" w:cs="Arial"/>
                <w:color w:val="000000" w:themeColor="text1"/>
                <w:sz w:val="22"/>
                <w:szCs w:val="22"/>
              </w:rPr>
              <w:t>*</w:t>
            </w:r>
          </w:p>
        </w:tc>
        <w:tc>
          <w:tcPr>
            <w:tcW w:w="2268" w:type="dxa"/>
          </w:tcPr>
          <w:p w14:paraId="5D597BE6" w14:textId="73DEA8C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przy drogach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o kategorii niższej niż drogi krajowe </w:t>
            </w:r>
            <w:r w:rsidR="00FF5524">
              <w:rPr>
                <w:rFonts w:ascii="Arial" w:hAnsi="Arial" w:cs="Arial"/>
                <w:color w:val="000000" w:themeColor="text1"/>
                <w:sz w:val="22"/>
                <w:szCs w:val="22"/>
              </w:rPr>
              <w:br/>
            </w:r>
            <w:r w:rsidRPr="0099520C">
              <w:rPr>
                <w:rFonts w:ascii="Arial" w:hAnsi="Arial" w:cs="Arial"/>
                <w:color w:val="000000" w:themeColor="text1"/>
                <w:sz w:val="22"/>
                <w:szCs w:val="22"/>
              </w:rPr>
              <w:t xml:space="preserve">i dróg wojewódzkich realizowanych na obszarze Polski Wschodniej </w:t>
            </w:r>
            <w:r w:rsidR="00FF5524">
              <w:rPr>
                <w:rFonts w:ascii="Arial" w:hAnsi="Arial" w:cs="Arial"/>
                <w:color w:val="000000" w:themeColor="text1"/>
                <w:sz w:val="22"/>
                <w:szCs w:val="22"/>
              </w:rPr>
              <w:br/>
            </w:r>
            <w:r w:rsidRPr="0099520C">
              <w:rPr>
                <w:rFonts w:ascii="Arial" w:hAnsi="Arial" w:cs="Arial"/>
                <w:color w:val="000000" w:themeColor="text1"/>
                <w:sz w:val="22"/>
                <w:szCs w:val="22"/>
              </w:rPr>
              <w:t xml:space="preserve">w </w:t>
            </w:r>
            <w:r w:rsidR="008177E4" w:rsidRPr="0099520C">
              <w:rPr>
                <w:rFonts w:ascii="Arial" w:hAnsi="Arial" w:cs="Arial"/>
                <w:color w:val="000000" w:themeColor="text1"/>
                <w:sz w:val="22"/>
                <w:szCs w:val="22"/>
              </w:rPr>
              <w:t>FEPW</w:t>
            </w:r>
            <w:r w:rsidRPr="0099520C">
              <w:rPr>
                <w:rFonts w:ascii="Arial" w:hAnsi="Arial" w:cs="Arial"/>
                <w:color w:val="000000" w:themeColor="text1"/>
                <w:sz w:val="22"/>
                <w:szCs w:val="22"/>
              </w:rPr>
              <w:t>*</w:t>
            </w:r>
          </w:p>
        </w:tc>
        <w:tc>
          <w:tcPr>
            <w:tcW w:w="1701" w:type="dxa"/>
          </w:tcPr>
          <w:p w14:paraId="4CF30D5B" w14:textId="276A89AF"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(Pod warunkiem ujęcia inwestycji </w:t>
            </w:r>
            <w:r w:rsidR="00D05595">
              <w:rPr>
                <w:rFonts w:ascii="Arial" w:hAnsi="Arial" w:cs="Arial"/>
                <w:color w:val="000000" w:themeColor="text1"/>
                <w:sz w:val="22"/>
                <w:szCs w:val="22"/>
              </w:rPr>
              <w:br/>
            </w:r>
            <w:r w:rsidRPr="0099520C">
              <w:rPr>
                <w:rFonts w:ascii="Arial" w:hAnsi="Arial" w:cs="Arial"/>
                <w:color w:val="000000" w:themeColor="text1"/>
                <w:sz w:val="22"/>
                <w:szCs w:val="22"/>
              </w:rPr>
              <w:t>w ramach stosownego wykazu)</w:t>
            </w:r>
          </w:p>
        </w:tc>
        <w:tc>
          <w:tcPr>
            <w:tcW w:w="2679" w:type="dxa"/>
          </w:tcPr>
          <w:p w14:paraId="23543DFE" w14:textId="69BB75F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0" w:type="auto"/>
          </w:tcPr>
          <w:p w14:paraId="71DAFC42" w14:textId="57A97DF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r>
      <w:tr w:rsidR="006F4FD2" w:rsidRPr="0099520C" w14:paraId="0701021F" w14:textId="77777777" w:rsidTr="00560DF6">
        <w:tc>
          <w:tcPr>
            <w:tcW w:w="0" w:type="auto"/>
          </w:tcPr>
          <w:p w14:paraId="69B1CF10"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2. (drogowy) Transportowa spójność wewnętrzna</w:t>
            </w:r>
          </w:p>
        </w:tc>
        <w:tc>
          <w:tcPr>
            <w:tcW w:w="0" w:type="auto"/>
          </w:tcPr>
          <w:p w14:paraId="65619544" w14:textId="1FE9A5E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Inwestycje dotyczące dróg wojewódzkich </w:t>
            </w:r>
            <w:r w:rsidR="00D05595">
              <w:rPr>
                <w:rFonts w:ascii="Arial" w:hAnsi="Arial" w:cs="Arial"/>
                <w:color w:val="000000" w:themeColor="text1"/>
                <w:sz w:val="22"/>
                <w:szCs w:val="22"/>
              </w:rPr>
              <w:br/>
              <w:t xml:space="preserve">i powiązanej z nimi </w:t>
            </w:r>
            <w:r w:rsidRPr="0099520C">
              <w:rPr>
                <w:rFonts w:ascii="Arial" w:hAnsi="Arial" w:cs="Arial"/>
                <w:color w:val="000000" w:themeColor="text1"/>
                <w:sz w:val="22"/>
                <w:szCs w:val="22"/>
              </w:rPr>
              <w:t>infrastruktury</w:t>
            </w:r>
          </w:p>
        </w:tc>
        <w:tc>
          <w:tcPr>
            <w:tcW w:w="2363" w:type="dxa"/>
          </w:tcPr>
          <w:p w14:paraId="6BA84697" w14:textId="30B5C5A0"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(Wyłącznie realizacja dróg wojewódzkich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z obszaru Polski Wschodniej w </w:t>
            </w:r>
            <w:r w:rsidR="008177E4" w:rsidRPr="0099520C">
              <w:rPr>
                <w:rFonts w:ascii="Arial" w:hAnsi="Arial" w:cs="Arial"/>
                <w:color w:val="000000" w:themeColor="text1"/>
                <w:sz w:val="22"/>
                <w:szCs w:val="22"/>
              </w:rPr>
              <w:t>FEPW</w:t>
            </w:r>
            <w:r w:rsidRPr="0099520C">
              <w:rPr>
                <w:rFonts w:ascii="Arial" w:hAnsi="Arial" w:cs="Arial"/>
                <w:color w:val="000000" w:themeColor="text1"/>
                <w:sz w:val="22"/>
                <w:szCs w:val="22"/>
              </w:rPr>
              <w:t>)</w:t>
            </w:r>
          </w:p>
        </w:tc>
        <w:tc>
          <w:tcPr>
            <w:tcW w:w="2268" w:type="dxa"/>
          </w:tcPr>
          <w:p w14:paraId="31A8F67C" w14:textId="62D0E949"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(Drogi o kategorii niższej niż drogi krajowe</w:t>
            </w:r>
            <w:r w:rsidR="00530DC8" w:rsidRPr="0099520C">
              <w:rPr>
                <w:rFonts w:ascii="Arial" w:hAnsi="Arial" w:cs="Arial"/>
                <w:color w:val="000000" w:themeColor="text1"/>
                <w:sz w:val="22"/>
                <w:szCs w:val="22"/>
              </w:rPr>
              <w:t>, w tym wojewódzkie</w:t>
            </w:r>
            <w:r w:rsidRPr="0099520C">
              <w:rPr>
                <w:rFonts w:ascii="Arial" w:hAnsi="Arial" w:cs="Arial"/>
                <w:color w:val="000000" w:themeColor="text1"/>
                <w:sz w:val="22"/>
                <w:szCs w:val="22"/>
              </w:rPr>
              <w:t>)</w:t>
            </w:r>
          </w:p>
        </w:tc>
        <w:tc>
          <w:tcPr>
            <w:tcW w:w="1701" w:type="dxa"/>
          </w:tcPr>
          <w:p w14:paraId="3A04AE9E"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r w:rsidRPr="0099520C">
              <w:rPr>
                <w:rFonts w:ascii="Arial" w:hAnsi="Arial" w:cs="Arial"/>
                <w:color w:val="000000" w:themeColor="text1"/>
                <w:sz w:val="22"/>
                <w:szCs w:val="22"/>
              </w:rPr>
              <w:br/>
              <w:t>(Środki przeznaczone na inwestycje dot. dróg krajowych)</w:t>
            </w:r>
          </w:p>
        </w:tc>
        <w:tc>
          <w:tcPr>
            <w:tcW w:w="2679" w:type="dxa"/>
          </w:tcPr>
          <w:p w14:paraId="60ABA662" w14:textId="4B3EE59E"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r>
            <w:r w:rsidRPr="0099520C">
              <w:rPr>
                <w:rFonts w:ascii="Arial" w:hAnsi="Arial" w:cs="Arial"/>
                <w:i/>
                <w:color w:val="000000" w:themeColor="text1"/>
                <w:sz w:val="22"/>
                <w:szCs w:val="22"/>
              </w:rPr>
              <w:t>P</w:t>
            </w:r>
            <w:r w:rsidR="00D05595">
              <w:rPr>
                <w:rFonts w:ascii="Arial" w:hAnsi="Arial" w:cs="Arial"/>
                <w:i/>
                <w:color w:val="000000" w:themeColor="text1"/>
                <w:sz w:val="22"/>
                <w:szCs w:val="22"/>
              </w:rPr>
              <w:t xml:space="preserve">rogram Mosty dla regionów tzw. </w:t>
            </w:r>
            <w:r w:rsidRPr="0099520C">
              <w:rPr>
                <w:rFonts w:ascii="Arial" w:hAnsi="Arial" w:cs="Arial"/>
                <w:i/>
                <w:color w:val="000000" w:themeColor="text1"/>
                <w:sz w:val="22"/>
                <w:szCs w:val="22"/>
              </w:rPr>
              <w:t xml:space="preserve">Mosty + </w:t>
            </w:r>
            <w:r w:rsidRPr="0099520C">
              <w:rPr>
                <w:rFonts w:ascii="Arial" w:hAnsi="Arial" w:cs="Arial"/>
                <w:color w:val="000000" w:themeColor="text1"/>
                <w:sz w:val="22"/>
                <w:szCs w:val="22"/>
              </w:rPr>
              <w:t>(inwestycje mostowe wskazane w wykazie); Program budowy 100 obwodnic na lata 2020 - 2030 (program wykorzystujący środki krajowe i UE)</w:t>
            </w:r>
          </w:p>
        </w:tc>
        <w:tc>
          <w:tcPr>
            <w:tcW w:w="0" w:type="auto"/>
          </w:tcPr>
          <w:p w14:paraId="341AE647" w14:textId="568D048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M.in. pozostałe krajowe środki publiczne</w:t>
            </w:r>
            <w:r w:rsidR="00BD0A63" w:rsidRPr="0099520C">
              <w:rPr>
                <w:rFonts w:ascii="Arial" w:hAnsi="Arial" w:cs="Arial"/>
                <w:color w:val="000000" w:themeColor="text1"/>
                <w:sz w:val="22"/>
                <w:szCs w:val="22"/>
              </w:rPr>
              <w:t xml:space="preserve"> </w:t>
            </w:r>
            <w:r w:rsidRPr="0099520C">
              <w:rPr>
                <w:rFonts w:ascii="Arial" w:hAnsi="Arial" w:cs="Arial"/>
                <w:color w:val="000000" w:themeColor="text1"/>
                <w:sz w:val="22"/>
                <w:szCs w:val="22"/>
              </w:rPr>
              <w:t>(przy spełnieniu wymogu zamieszczenia na liście planowych inwestycji oraz przypisania pochodzenia środków)</w:t>
            </w:r>
          </w:p>
        </w:tc>
      </w:tr>
      <w:tr w:rsidR="006F4FD2" w:rsidRPr="0099520C" w14:paraId="39062EE0" w14:textId="77777777" w:rsidTr="00560DF6">
        <w:tc>
          <w:tcPr>
            <w:tcW w:w="0" w:type="auto"/>
          </w:tcPr>
          <w:p w14:paraId="4CBB07F3"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2. (drogowy) Transportowa spójność wewnętrzna</w:t>
            </w:r>
          </w:p>
        </w:tc>
        <w:tc>
          <w:tcPr>
            <w:tcW w:w="0" w:type="auto"/>
          </w:tcPr>
          <w:p w14:paraId="3E2CC0F5" w14:textId="572124A2"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Budowa mostów </w:t>
            </w:r>
            <w:r w:rsidR="00D05595">
              <w:rPr>
                <w:rFonts w:ascii="Arial" w:hAnsi="Arial" w:cs="Arial"/>
                <w:color w:val="000000" w:themeColor="text1"/>
                <w:sz w:val="22"/>
                <w:szCs w:val="22"/>
              </w:rPr>
              <w:br/>
            </w:r>
            <w:r w:rsidRPr="0099520C">
              <w:rPr>
                <w:rFonts w:ascii="Arial" w:hAnsi="Arial" w:cs="Arial"/>
                <w:color w:val="000000" w:themeColor="text1"/>
                <w:sz w:val="22"/>
                <w:szCs w:val="22"/>
              </w:rPr>
              <w:t>i inwestycje związane z mostami</w:t>
            </w:r>
          </w:p>
        </w:tc>
        <w:tc>
          <w:tcPr>
            <w:tcW w:w="2363" w:type="dxa"/>
          </w:tcPr>
          <w:p w14:paraId="55F33C03" w14:textId="3DEC430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(Wyłącznie realizacja dróg wojewódzkich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z obszaru Polski Wschodniej w </w:t>
            </w:r>
            <w:r w:rsidR="008177E4" w:rsidRPr="0099520C">
              <w:rPr>
                <w:rFonts w:ascii="Arial" w:hAnsi="Arial" w:cs="Arial"/>
                <w:color w:val="000000" w:themeColor="text1"/>
                <w:sz w:val="22"/>
                <w:szCs w:val="22"/>
              </w:rPr>
              <w:t>FEPW</w:t>
            </w:r>
            <w:r w:rsidRPr="0099520C">
              <w:rPr>
                <w:rFonts w:ascii="Arial" w:hAnsi="Arial" w:cs="Arial"/>
                <w:color w:val="000000" w:themeColor="text1"/>
                <w:sz w:val="22"/>
                <w:szCs w:val="22"/>
              </w:rPr>
              <w:t>)</w:t>
            </w:r>
          </w:p>
        </w:tc>
        <w:tc>
          <w:tcPr>
            <w:tcW w:w="2268" w:type="dxa"/>
          </w:tcPr>
          <w:p w14:paraId="6F522417" w14:textId="03928EFB"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(Drogi o kategorii niższej niż drogi krajowe</w:t>
            </w:r>
            <w:r w:rsidR="00530DC8" w:rsidRPr="0099520C">
              <w:rPr>
                <w:rFonts w:ascii="Arial" w:hAnsi="Arial" w:cs="Arial"/>
                <w:color w:val="000000" w:themeColor="text1"/>
                <w:sz w:val="22"/>
                <w:szCs w:val="22"/>
              </w:rPr>
              <w:t xml:space="preserve"> w tym wojewódzkie)</w:t>
            </w:r>
          </w:p>
        </w:tc>
        <w:tc>
          <w:tcPr>
            <w:tcW w:w="1701" w:type="dxa"/>
          </w:tcPr>
          <w:p w14:paraId="3D3F80DD" w14:textId="3346309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(pod warunkiem ujęcia inwestycji </w:t>
            </w:r>
            <w:r w:rsidR="00FF5524">
              <w:rPr>
                <w:rFonts w:ascii="Arial" w:hAnsi="Arial" w:cs="Arial"/>
                <w:color w:val="000000" w:themeColor="text1"/>
                <w:sz w:val="22"/>
                <w:szCs w:val="22"/>
              </w:rPr>
              <w:br/>
            </w:r>
            <w:r w:rsidRPr="0099520C">
              <w:rPr>
                <w:rFonts w:ascii="Arial" w:hAnsi="Arial" w:cs="Arial"/>
                <w:color w:val="000000" w:themeColor="text1"/>
                <w:sz w:val="22"/>
                <w:szCs w:val="22"/>
              </w:rPr>
              <w:t>w ramach stosownego wykazu – zadania dotyczące dróg krajowych)</w:t>
            </w:r>
          </w:p>
        </w:tc>
        <w:tc>
          <w:tcPr>
            <w:tcW w:w="2679" w:type="dxa"/>
          </w:tcPr>
          <w:p w14:paraId="483F7786" w14:textId="2883F785"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r>
            <w:r w:rsidRPr="0099520C">
              <w:rPr>
                <w:rFonts w:ascii="Arial" w:hAnsi="Arial" w:cs="Arial"/>
                <w:i/>
                <w:color w:val="000000" w:themeColor="text1"/>
                <w:sz w:val="22"/>
                <w:szCs w:val="22"/>
              </w:rPr>
              <w:t>Program Mosty dla regionów tzw. Mosty +</w:t>
            </w:r>
            <w:r w:rsidRPr="0099520C">
              <w:rPr>
                <w:rFonts w:ascii="Arial" w:hAnsi="Arial" w:cs="Arial"/>
                <w:color w:val="000000" w:themeColor="text1"/>
                <w:sz w:val="22"/>
                <w:szCs w:val="22"/>
              </w:rPr>
              <w:t xml:space="preserve"> (inwestycje mostowe wskazane w wykazie).</w:t>
            </w:r>
          </w:p>
        </w:tc>
        <w:tc>
          <w:tcPr>
            <w:tcW w:w="0" w:type="auto"/>
          </w:tcPr>
          <w:p w14:paraId="45D93655"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r>
      <w:tr w:rsidR="006F4FD2" w:rsidRPr="0099520C" w14:paraId="371727EA" w14:textId="77777777" w:rsidTr="00560DF6">
        <w:tc>
          <w:tcPr>
            <w:tcW w:w="0" w:type="auto"/>
          </w:tcPr>
          <w:p w14:paraId="3D41129A"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2. (drogowy) Transportowa spójność wewnętrzna</w:t>
            </w:r>
          </w:p>
        </w:tc>
        <w:tc>
          <w:tcPr>
            <w:tcW w:w="0" w:type="auto"/>
          </w:tcPr>
          <w:p w14:paraId="047385E0"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Budowa obwodnic</w:t>
            </w:r>
          </w:p>
        </w:tc>
        <w:tc>
          <w:tcPr>
            <w:tcW w:w="2363" w:type="dxa"/>
          </w:tcPr>
          <w:p w14:paraId="5EE39360" w14:textId="009F2BB9"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(Wyłącznie realizacja dróg wojewódzkich </w:t>
            </w:r>
            <w:r w:rsidR="00FF5524">
              <w:rPr>
                <w:rFonts w:ascii="Arial" w:hAnsi="Arial" w:cs="Arial"/>
                <w:color w:val="000000" w:themeColor="text1"/>
                <w:sz w:val="22"/>
                <w:szCs w:val="22"/>
              </w:rPr>
              <w:br/>
            </w:r>
            <w:r w:rsidRPr="0099520C">
              <w:rPr>
                <w:rFonts w:ascii="Arial" w:hAnsi="Arial" w:cs="Arial"/>
                <w:color w:val="000000" w:themeColor="text1"/>
                <w:sz w:val="22"/>
                <w:szCs w:val="22"/>
              </w:rPr>
              <w:t xml:space="preserve">z obszaru Polski Wschodniej w </w:t>
            </w:r>
            <w:r w:rsidR="008177E4" w:rsidRPr="0099520C">
              <w:rPr>
                <w:rFonts w:ascii="Arial" w:hAnsi="Arial" w:cs="Arial"/>
                <w:color w:val="000000" w:themeColor="text1"/>
                <w:sz w:val="22"/>
                <w:szCs w:val="22"/>
              </w:rPr>
              <w:t>FEPW</w:t>
            </w:r>
            <w:r w:rsidRPr="0099520C">
              <w:rPr>
                <w:rFonts w:ascii="Arial" w:hAnsi="Arial" w:cs="Arial"/>
                <w:color w:val="000000" w:themeColor="text1"/>
                <w:sz w:val="22"/>
                <w:szCs w:val="22"/>
              </w:rPr>
              <w:t>)</w:t>
            </w:r>
          </w:p>
        </w:tc>
        <w:tc>
          <w:tcPr>
            <w:tcW w:w="2268" w:type="dxa"/>
          </w:tcPr>
          <w:p w14:paraId="5B99C222"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(Drogi o kategorii niższej niż drogi krajowe)</w:t>
            </w:r>
          </w:p>
        </w:tc>
        <w:tc>
          <w:tcPr>
            <w:tcW w:w="1701" w:type="dxa"/>
          </w:tcPr>
          <w:p w14:paraId="34B980A6" w14:textId="5B3449B1"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(pod warunkiem ujęcia inwestycji </w:t>
            </w:r>
            <w:r w:rsidR="00D05595">
              <w:rPr>
                <w:rFonts w:ascii="Arial" w:hAnsi="Arial" w:cs="Arial"/>
                <w:color w:val="000000" w:themeColor="text1"/>
                <w:sz w:val="22"/>
                <w:szCs w:val="22"/>
              </w:rPr>
              <w:br/>
            </w:r>
            <w:r w:rsidRPr="0099520C">
              <w:rPr>
                <w:rFonts w:ascii="Arial" w:hAnsi="Arial" w:cs="Arial"/>
                <w:color w:val="000000" w:themeColor="text1"/>
                <w:sz w:val="22"/>
                <w:szCs w:val="22"/>
              </w:rPr>
              <w:t>w ramach stosownego wykazu - zadania dotyczące dróg krajowych)</w:t>
            </w:r>
          </w:p>
        </w:tc>
        <w:tc>
          <w:tcPr>
            <w:tcW w:w="2679" w:type="dxa"/>
          </w:tcPr>
          <w:p w14:paraId="4B89222B"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Rządowy Fundusz Rozwoju Dróg (zadania obwodnicowe wskazane w wykazie); </w:t>
            </w:r>
            <w:r w:rsidRPr="0099520C">
              <w:rPr>
                <w:rFonts w:ascii="Arial" w:hAnsi="Arial" w:cs="Arial"/>
                <w:i/>
                <w:color w:val="000000" w:themeColor="text1"/>
                <w:sz w:val="22"/>
                <w:szCs w:val="22"/>
              </w:rPr>
              <w:t>Program budowy 100 obwodnic na lata 2020 - 2030</w:t>
            </w:r>
            <w:r w:rsidRPr="0099520C">
              <w:rPr>
                <w:rFonts w:ascii="Arial" w:hAnsi="Arial" w:cs="Arial"/>
                <w:color w:val="000000" w:themeColor="text1"/>
                <w:sz w:val="22"/>
                <w:szCs w:val="22"/>
              </w:rPr>
              <w:t xml:space="preserve"> (program wykorzystujący środki krajowe i UE) - inwestycje mostowe wskazane w stosownym wykazie); Rządowy Fundusz Inwestycji Lokalnych (także działający w ramach RFIL Fundusz Przeciwdziałania COVID-19 dla jednostek samorządu terytorialnego)</w:t>
            </w:r>
          </w:p>
        </w:tc>
        <w:tc>
          <w:tcPr>
            <w:tcW w:w="0" w:type="auto"/>
          </w:tcPr>
          <w:p w14:paraId="66F0987F" w14:textId="6928F1CB"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r>
      <w:tr w:rsidR="006F4FD2" w:rsidRPr="0099520C" w14:paraId="16325154" w14:textId="77777777" w:rsidTr="00560DF6">
        <w:tc>
          <w:tcPr>
            <w:tcW w:w="0" w:type="auto"/>
          </w:tcPr>
          <w:p w14:paraId="0E630571"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2. (drogowy) Transportowa spójność wewnętrzna</w:t>
            </w:r>
          </w:p>
        </w:tc>
        <w:tc>
          <w:tcPr>
            <w:tcW w:w="0" w:type="auto"/>
          </w:tcPr>
          <w:p w14:paraId="07D473D4"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Budowa węzła Ostrów łączącego A4 z DW986</w:t>
            </w:r>
          </w:p>
        </w:tc>
        <w:tc>
          <w:tcPr>
            <w:tcW w:w="2363" w:type="dxa"/>
          </w:tcPr>
          <w:p w14:paraId="7C6C5332"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2268" w:type="dxa"/>
          </w:tcPr>
          <w:p w14:paraId="62C0946E"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1701" w:type="dxa"/>
          </w:tcPr>
          <w:p w14:paraId="110B3620"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2679" w:type="dxa"/>
          </w:tcPr>
          <w:p w14:paraId="76282E42"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Rządowy Fundusz Inwestycji Lokalnych</w:t>
            </w:r>
          </w:p>
        </w:tc>
        <w:tc>
          <w:tcPr>
            <w:tcW w:w="0" w:type="auto"/>
          </w:tcPr>
          <w:p w14:paraId="7E83827F"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r>
      <w:tr w:rsidR="006F4FD2" w:rsidRPr="0099520C" w14:paraId="388219A1" w14:textId="77777777" w:rsidTr="00560DF6">
        <w:tc>
          <w:tcPr>
            <w:tcW w:w="0" w:type="auto"/>
          </w:tcPr>
          <w:p w14:paraId="2366BB7D"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2. (kolejowy)</w:t>
            </w:r>
          </w:p>
        </w:tc>
        <w:tc>
          <w:tcPr>
            <w:tcW w:w="0" w:type="auto"/>
          </w:tcPr>
          <w:p w14:paraId="37337830"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Budowa, przebudowa, modernizacja, rozbudowa oraz rewitalizacja linii kolejowych w tym budowa i inne inwestycje dotyczące łączników pomiędzy liniami oraz mijankami - dotyczy infrastruktury kolejowej o znaczeniu regionalnym.</w:t>
            </w:r>
          </w:p>
        </w:tc>
        <w:tc>
          <w:tcPr>
            <w:tcW w:w="2363" w:type="dxa"/>
          </w:tcPr>
          <w:p w14:paraId="4C9691BE" w14:textId="594EA48A"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r w:rsidRPr="0099520C">
              <w:rPr>
                <w:rFonts w:ascii="Arial" w:hAnsi="Arial" w:cs="Arial"/>
                <w:color w:val="000000" w:themeColor="text1"/>
                <w:sz w:val="22"/>
                <w:szCs w:val="22"/>
              </w:rPr>
              <w:br/>
              <w:t>(TAK, ale przy założeniu, że infrastruktura oprócz regionalnego ma charakter również ponadregionalny)</w:t>
            </w:r>
          </w:p>
        </w:tc>
        <w:tc>
          <w:tcPr>
            <w:tcW w:w="2268" w:type="dxa"/>
          </w:tcPr>
          <w:p w14:paraId="47620ABA"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Infrastruktura kolejowa zarządzana przez samorząd terytorialny lub podległe mu jednostki Budowa /rozbudowa bazy utrzymaniowo – naprawczej taboru kolejowego Tabor kolejowy do przewozów o charakterze regionalnym</w:t>
            </w:r>
          </w:p>
        </w:tc>
        <w:tc>
          <w:tcPr>
            <w:tcW w:w="1701" w:type="dxa"/>
          </w:tcPr>
          <w:p w14:paraId="17426035" w14:textId="1163B10C"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(pod warunkiem ujęcia inwestycji </w:t>
            </w:r>
            <w:r w:rsidR="00D05595">
              <w:rPr>
                <w:rFonts w:ascii="Arial" w:hAnsi="Arial" w:cs="Arial"/>
                <w:color w:val="000000" w:themeColor="text1"/>
                <w:sz w:val="22"/>
                <w:szCs w:val="22"/>
              </w:rPr>
              <w:br/>
            </w:r>
            <w:r w:rsidRPr="0099520C">
              <w:rPr>
                <w:rFonts w:ascii="Arial" w:hAnsi="Arial" w:cs="Arial"/>
                <w:color w:val="000000" w:themeColor="text1"/>
                <w:sz w:val="22"/>
                <w:szCs w:val="22"/>
              </w:rPr>
              <w:t>w ramach stosownego wykazu)</w:t>
            </w:r>
          </w:p>
        </w:tc>
        <w:tc>
          <w:tcPr>
            <w:tcW w:w="2679" w:type="dxa"/>
          </w:tcPr>
          <w:p w14:paraId="6871948A"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r>
            <w:r w:rsidRPr="0099520C">
              <w:rPr>
                <w:rFonts w:ascii="Arial" w:hAnsi="Arial" w:cs="Arial"/>
                <w:i/>
                <w:color w:val="000000" w:themeColor="text1"/>
                <w:sz w:val="22"/>
                <w:szCs w:val="22"/>
              </w:rPr>
              <w:t>Program Uzupełniania Lokalnej i Regionalnej Infrastruktury Kolejowej – Kolej+ do 2028 r.</w:t>
            </w:r>
            <w:r w:rsidRPr="0099520C">
              <w:rPr>
                <w:rFonts w:ascii="Arial" w:hAnsi="Arial" w:cs="Arial"/>
                <w:color w:val="000000" w:themeColor="text1"/>
                <w:sz w:val="22"/>
                <w:szCs w:val="22"/>
              </w:rPr>
              <w:t xml:space="preserve"> (pod warunkiem ujęcia inwestycji w ramach stosownego wykazu)</w:t>
            </w:r>
          </w:p>
        </w:tc>
        <w:tc>
          <w:tcPr>
            <w:tcW w:w="0" w:type="auto"/>
          </w:tcPr>
          <w:p w14:paraId="685C5051" w14:textId="3C593D73"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M.in. pozostałe krajowe środki publiczne (przy spełnieniu wymogu zamieszczenia na liście planowych inwestycji oraz przypisania pochodzenia środków); możliwe środki EWT (przy spełnieniu wymogów zamieszczenia na liście planowych inwestycji oraz wpisywanie się </w:t>
            </w:r>
            <w:r w:rsidR="00D05595">
              <w:rPr>
                <w:rFonts w:ascii="Arial" w:hAnsi="Arial" w:cs="Arial"/>
                <w:color w:val="000000" w:themeColor="text1"/>
                <w:sz w:val="22"/>
                <w:szCs w:val="22"/>
              </w:rPr>
              <w:br/>
            </w:r>
            <w:r w:rsidRPr="0099520C">
              <w:rPr>
                <w:rFonts w:ascii="Arial" w:hAnsi="Arial" w:cs="Arial"/>
                <w:color w:val="000000" w:themeColor="text1"/>
                <w:sz w:val="22"/>
                <w:szCs w:val="22"/>
              </w:rPr>
              <w:t>w katalog warunków programowych)</w:t>
            </w:r>
          </w:p>
        </w:tc>
      </w:tr>
      <w:tr w:rsidR="006F4FD2" w:rsidRPr="0099520C" w14:paraId="50571EA5" w14:textId="77777777" w:rsidTr="00560DF6">
        <w:tc>
          <w:tcPr>
            <w:tcW w:w="0" w:type="auto"/>
          </w:tcPr>
          <w:p w14:paraId="721E0609"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2. (kolejowy)</w:t>
            </w:r>
          </w:p>
        </w:tc>
        <w:tc>
          <w:tcPr>
            <w:tcW w:w="0" w:type="auto"/>
          </w:tcPr>
          <w:p w14:paraId="04DA6B3A" w14:textId="4444347A"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Przebudowa oraz budowa nowych obiektów dworcowych oraz przystanków (wraz </w:t>
            </w:r>
            <w:r w:rsidR="00D05595">
              <w:rPr>
                <w:rFonts w:ascii="Arial" w:hAnsi="Arial" w:cs="Arial"/>
                <w:color w:val="000000" w:themeColor="text1"/>
                <w:sz w:val="22"/>
                <w:szCs w:val="22"/>
              </w:rPr>
              <w:br/>
            </w:r>
            <w:r w:rsidRPr="0099520C">
              <w:rPr>
                <w:rFonts w:ascii="Arial" w:hAnsi="Arial" w:cs="Arial"/>
                <w:color w:val="000000" w:themeColor="text1"/>
                <w:sz w:val="22"/>
                <w:szCs w:val="22"/>
              </w:rPr>
              <w:t>z przygotowaniem infrastruktury typu P&amp;R, B&amp;R oraz K&amp;R).</w:t>
            </w:r>
          </w:p>
        </w:tc>
        <w:tc>
          <w:tcPr>
            <w:tcW w:w="2363" w:type="dxa"/>
          </w:tcPr>
          <w:p w14:paraId="4A504F89"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(projekty PKP)</w:t>
            </w:r>
          </w:p>
        </w:tc>
        <w:tc>
          <w:tcPr>
            <w:tcW w:w="2268" w:type="dxa"/>
          </w:tcPr>
          <w:p w14:paraId="06080ED8"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(Projekty samorządów)</w:t>
            </w:r>
          </w:p>
        </w:tc>
        <w:tc>
          <w:tcPr>
            <w:tcW w:w="1701" w:type="dxa"/>
          </w:tcPr>
          <w:p w14:paraId="7E2E204C"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2679" w:type="dxa"/>
          </w:tcPr>
          <w:p w14:paraId="4A9A0DC7"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r>
            <w:r w:rsidRPr="0099520C">
              <w:rPr>
                <w:rFonts w:ascii="Arial" w:hAnsi="Arial" w:cs="Arial"/>
                <w:i/>
                <w:color w:val="000000" w:themeColor="text1"/>
                <w:sz w:val="22"/>
                <w:szCs w:val="22"/>
              </w:rPr>
              <w:t>Program Uzupełniania Lokalnej i Regionalnej Infrastruktury Kolejowej – Kolej+ do 2028 r.</w:t>
            </w:r>
            <w:r w:rsidRPr="0099520C">
              <w:rPr>
                <w:rFonts w:ascii="Arial" w:hAnsi="Arial" w:cs="Arial"/>
                <w:color w:val="000000" w:themeColor="text1"/>
                <w:sz w:val="22"/>
                <w:szCs w:val="22"/>
              </w:rPr>
              <w:t xml:space="preserve"> (pod warunkiem ujęcia inwestycji w ramach stosownego wykazu) oraz Program budowy 200 przystanków kolejowych</w:t>
            </w:r>
          </w:p>
        </w:tc>
        <w:tc>
          <w:tcPr>
            <w:tcW w:w="0" w:type="auto"/>
          </w:tcPr>
          <w:p w14:paraId="130F6309" w14:textId="6A0F59F2"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M.in. pozostałe krajowe środki publiczne (przy spełnieniu wymogu zamieszczenia na liście planowych inwestycji oraz przypisania pochodzenia środków);możliwe środki EWT (przy spełnieniu wymogów zamieszczenia na liście planowych inwestycji oraz wpisywanie się </w:t>
            </w:r>
            <w:r w:rsidR="00D05595">
              <w:rPr>
                <w:rFonts w:ascii="Arial" w:hAnsi="Arial" w:cs="Arial"/>
                <w:color w:val="000000" w:themeColor="text1"/>
                <w:sz w:val="22"/>
                <w:szCs w:val="22"/>
              </w:rPr>
              <w:br/>
            </w:r>
            <w:r w:rsidRPr="0099520C">
              <w:rPr>
                <w:rFonts w:ascii="Arial" w:hAnsi="Arial" w:cs="Arial"/>
                <w:color w:val="000000" w:themeColor="text1"/>
                <w:sz w:val="22"/>
                <w:szCs w:val="22"/>
              </w:rPr>
              <w:t>w katalog warunków programowych)</w:t>
            </w:r>
          </w:p>
        </w:tc>
      </w:tr>
      <w:tr w:rsidR="006F4FD2" w:rsidRPr="0099520C" w14:paraId="789A890A" w14:textId="77777777" w:rsidTr="00560DF6">
        <w:tc>
          <w:tcPr>
            <w:tcW w:w="0" w:type="auto"/>
          </w:tcPr>
          <w:p w14:paraId="393F79A2"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2. (lotniczy)</w:t>
            </w:r>
          </w:p>
        </w:tc>
        <w:tc>
          <w:tcPr>
            <w:tcW w:w="0" w:type="auto"/>
          </w:tcPr>
          <w:p w14:paraId="5329FF96" w14:textId="4944C0D8"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Zadania związane z realizacją „sieci awioturystycznej” </w:t>
            </w:r>
            <w:r w:rsidR="00D05595">
              <w:rPr>
                <w:rFonts w:ascii="Arial" w:hAnsi="Arial" w:cs="Arial"/>
                <w:color w:val="000000" w:themeColor="text1"/>
                <w:sz w:val="22"/>
                <w:szCs w:val="22"/>
              </w:rPr>
              <w:br/>
            </w:r>
            <w:r w:rsidRPr="0099520C">
              <w:rPr>
                <w:rFonts w:ascii="Arial" w:hAnsi="Arial" w:cs="Arial"/>
                <w:color w:val="000000" w:themeColor="text1"/>
                <w:sz w:val="22"/>
                <w:szCs w:val="22"/>
              </w:rPr>
              <w:t>w regionie</w:t>
            </w:r>
          </w:p>
        </w:tc>
        <w:tc>
          <w:tcPr>
            <w:tcW w:w="2363" w:type="dxa"/>
          </w:tcPr>
          <w:p w14:paraId="0D3EFF21"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2268" w:type="dxa"/>
          </w:tcPr>
          <w:p w14:paraId="44CE3C1A" w14:textId="685AE64A"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W przypadku inwestycji dotyczących lotnisk poza TEN-T oraz wpisywania się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w problematykę bezpieczeństwa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i ochrony środowiska </w:t>
            </w:r>
            <w:r w:rsidR="00D05595">
              <w:rPr>
                <w:rFonts w:ascii="Arial" w:hAnsi="Arial" w:cs="Arial"/>
                <w:color w:val="000000" w:themeColor="text1"/>
                <w:sz w:val="22"/>
                <w:szCs w:val="22"/>
              </w:rPr>
              <w:br/>
            </w:r>
            <w:r w:rsidRPr="0099520C">
              <w:rPr>
                <w:rFonts w:ascii="Arial" w:hAnsi="Arial" w:cs="Arial"/>
                <w:color w:val="000000" w:themeColor="text1"/>
                <w:sz w:val="22"/>
                <w:szCs w:val="22"/>
              </w:rPr>
              <w:t>w portach lotniczych</w:t>
            </w:r>
          </w:p>
        </w:tc>
        <w:tc>
          <w:tcPr>
            <w:tcW w:w="1701" w:type="dxa"/>
          </w:tcPr>
          <w:p w14:paraId="36E4843E"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2679" w:type="dxa"/>
          </w:tcPr>
          <w:p w14:paraId="77B20D58"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0" w:type="auto"/>
          </w:tcPr>
          <w:p w14:paraId="04B6EC79" w14:textId="1C52428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r>
      <w:tr w:rsidR="006F4FD2" w:rsidRPr="0099520C" w14:paraId="0011DA30" w14:textId="77777777" w:rsidTr="00560DF6">
        <w:tc>
          <w:tcPr>
            <w:tcW w:w="0" w:type="auto"/>
          </w:tcPr>
          <w:p w14:paraId="5B882F7B"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2. (alternatywny)</w:t>
            </w:r>
          </w:p>
        </w:tc>
        <w:tc>
          <w:tcPr>
            <w:tcW w:w="0" w:type="auto"/>
          </w:tcPr>
          <w:p w14:paraId="12925C6D" w14:textId="0184591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Inwestycje </w:t>
            </w:r>
            <w:r w:rsidR="00FF5524">
              <w:rPr>
                <w:rFonts w:ascii="Arial" w:hAnsi="Arial" w:cs="Arial"/>
                <w:color w:val="000000" w:themeColor="text1"/>
                <w:sz w:val="22"/>
                <w:szCs w:val="22"/>
              </w:rPr>
              <w:br/>
            </w:r>
            <w:r w:rsidRPr="0099520C">
              <w:rPr>
                <w:rFonts w:ascii="Arial" w:hAnsi="Arial" w:cs="Arial"/>
                <w:color w:val="000000" w:themeColor="text1"/>
                <w:sz w:val="22"/>
                <w:szCs w:val="22"/>
              </w:rPr>
              <w:t>w infrastrukturę związaną z turystyką wodną</w:t>
            </w:r>
          </w:p>
        </w:tc>
        <w:tc>
          <w:tcPr>
            <w:tcW w:w="2363" w:type="dxa"/>
          </w:tcPr>
          <w:p w14:paraId="13F073CD" w14:textId="727BE6C9" w:rsidR="004A49CD" w:rsidRPr="0099520C" w:rsidRDefault="00D05595" w:rsidP="00D05595">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NIE</w:t>
            </w:r>
          </w:p>
        </w:tc>
        <w:tc>
          <w:tcPr>
            <w:tcW w:w="2268" w:type="dxa"/>
          </w:tcPr>
          <w:p w14:paraId="0A974DC7" w14:textId="5E4194D1" w:rsidR="00560DF6" w:rsidRPr="0099520C" w:rsidRDefault="00D05595" w:rsidP="00D05595">
            <w:pPr>
              <w:spacing w:line="276" w:lineRule="auto"/>
              <w:jc w:val="center"/>
              <w:rPr>
                <w:rFonts w:ascii="Arial" w:hAnsi="Arial" w:cs="Arial"/>
                <w:color w:val="000000" w:themeColor="text1"/>
                <w:sz w:val="22"/>
                <w:szCs w:val="22"/>
              </w:rPr>
            </w:pPr>
            <w:r>
              <w:rPr>
                <w:rFonts w:ascii="Arial" w:hAnsi="Arial" w:cs="Arial"/>
                <w:color w:val="000000" w:themeColor="text1"/>
                <w:sz w:val="22"/>
                <w:szCs w:val="22"/>
              </w:rPr>
              <w:t xml:space="preserve">TAK </w:t>
            </w:r>
            <w:r>
              <w:rPr>
                <w:rFonts w:ascii="Arial" w:hAnsi="Arial" w:cs="Arial"/>
                <w:color w:val="000000" w:themeColor="text1"/>
                <w:sz w:val="22"/>
                <w:szCs w:val="22"/>
              </w:rPr>
              <w:br/>
            </w:r>
            <w:r w:rsidR="00560DF6" w:rsidRPr="0099520C">
              <w:rPr>
                <w:rFonts w:ascii="Arial" w:hAnsi="Arial" w:cs="Arial"/>
                <w:color w:val="000000" w:themeColor="text1"/>
                <w:sz w:val="22"/>
                <w:szCs w:val="22"/>
              </w:rPr>
              <w:t xml:space="preserve">Inwestycje, w tym punktowe </w:t>
            </w:r>
            <w:r>
              <w:rPr>
                <w:rFonts w:ascii="Arial" w:hAnsi="Arial" w:cs="Arial"/>
                <w:color w:val="000000" w:themeColor="text1"/>
                <w:sz w:val="22"/>
                <w:szCs w:val="22"/>
              </w:rPr>
              <w:br/>
            </w:r>
            <w:r w:rsidR="00560DF6" w:rsidRPr="0099520C">
              <w:rPr>
                <w:rFonts w:ascii="Arial" w:hAnsi="Arial" w:cs="Arial"/>
                <w:color w:val="000000" w:themeColor="text1"/>
                <w:sz w:val="22"/>
                <w:szCs w:val="22"/>
              </w:rPr>
              <w:t xml:space="preserve">w porty/przystanie </w:t>
            </w:r>
            <w:r>
              <w:rPr>
                <w:rFonts w:ascii="Arial" w:hAnsi="Arial" w:cs="Arial"/>
                <w:color w:val="000000" w:themeColor="text1"/>
                <w:sz w:val="22"/>
                <w:szCs w:val="22"/>
              </w:rPr>
              <w:br/>
            </w:r>
            <w:r w:rsidR="00560DF6" w:rsidRPr="0099520C">
              <w:rPr>
                <w:rFonts w:ascii="Arial" w:hAnsi="Arial" w:cs="Arial"/>
                <w:color w:val="000000" w:themeColor="text1"/>
                <w:sz w:val="22"/>
                <w:szCs w:val="22"/>
              </w:rPr>
              <w:t xml:space="preserve">o charakterze gospodarczym </w:t>
            </w:r>
            <w:r>
              <w:rPr>
                <w:rFonts w:ascii="Arial" w:hAnsi="Arial" w:cs="Arial"/>
                <w:color w:val="000000" w:themeColor="text1"/>
                <w:sz w:val="22"/>
                <w:szCs w:val="22"/>
              </w:rPr>
              <w:br/>
            </w:r>
            <w:r w:rsidR="00560DF6" w:rsidRPr="0099520C">
              <w:rPr>
                <w:rFonts w:ascii="Arial" w:hAnsi="Arial" w:cs="Arial"/>
                <w:color w:val="000000" w:themeColor="text1"/>
                <w:sz w:val="22"/>
                <w:szCs w:val="22"/>
              </w:rPr>
              <w:t>i turystycznym</w:t>
            </w:r>
          </w:p>
        </w:tc>
        <w:tc>
          <w:tcPr>
            <w:tcW w:w="1701" w:type="dxa"/>
          </w:tcPr>
          <w:p w14:paraId="698F77A6" w14:textId="4ACE96C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(pod warunkiem ujęcia inwestycji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w ramach stosownego wykazu </w:t>
            </w:r>
            <w:r w:rsidR="00D05595">
              <w:rPr>
                <w:rFonts w:ascii="Arial" w:hAnsi="Arial" w:cs="Arial"/>
                <w:color w:val="000000" w:themeColor="text1"/>
                <w:sz w:val="22"/>
                <w:szCs w:val="22"/>
              </w:rPr>
              <w:br/>
            </w:r>
            <w:r w:rsidRPr="0099520C">
              <w:rPr>
                <w:rFonts w:ascii="Arial" w:hAnsi="Arial" w:cs="Arial"/>
                <w:color w:val="000000" w:themeColor="text1"/>
                <w:sz w:val="22"/>
                <w:szCs w:val="22"/>
              </w:rPr>
              <w:t>i spełnienia wymogów programowych)</w:t>
            </w:r>
          </w:p>
        </w:tc>
        <w:tc>
          <w:tcPr>
            <w:tcW w:w="2679" w:type="dxa"/>
          </w:tcPr>
          <w:p w14:paraId="3FEE0986" w14:textId="0E9B696A"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0" w:type="auto"/>
          </w:tcPr>
          <w:p w14:paraId="29F03AF0" w14:textId="530C776F"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M.in. pozostałe krajowe środki publiczne (przy spełnieniu wymogu zamieszczenia na liście planowych inwestycji oraz przypisania pochodzenia środków)</w:t>
            </w:r>
          </w:p>
        </w:tc>
      </w:tr>
      <w:tr w:rsidR="006F4FD2" w:rsidRPr="0099520C" w14:paraId="152918A8" w14:textId="77777777" w:rsidTr="00560DF6">
        <w:tc>
          <w:tcPr>
            <w:tcW w:w="0" w:type="auto"/>
          </w:tcPr>
          <w:p w14:paraId="47EC247A"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2. (alternatywny)</w:t>
            </w:r>
          </w:p>
        </w:tc>
        <w:tc>
          <w:tcPr>
            <w:tcW w:w="0" w:type="auto"/>
          </w:tcPr>
          <w:p w14:paraId="49402946" w14:textId="7946222C"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Budowa ścieżek </w:t>
            </w:r>
            <w:r w:rsidR="00D05595">
              <w:rPr>
                <w:rFonts w:ascii="Arial" w:hAnsi="Arial" w:cs="Arial"/>
                <w:color w:val="000000" w:themeColor="text1"/>
                <w:sz w:val="22"/>
                <w:szCs w:val="22"/>
              </w:rPr>
              <w:br/>
            </w:r>
            <w:r w:rsidRPr="0099520C">
              <w:rPr>
                <w:rFonts w:ascii="Arial" w:hAnsi="Arial" w:cs="Arial"/>
                <w:color w:val="000000" w:themeColor="text1"/>
                <w:sz w:val="22"/>
                <w:szCs w:val="22"/>
              </w:rPr>
              <w:t>i szlaków rowerowych</w:t>
            </w:r>
          </w:p>
        </w:tc>
        <w:tc>
          <w:tcPr>
            <w:tcW w:w="2363" w:type="dxa"/>
          </w:tcPr>
          <w:p w14:paraId="3D7C3873" w14:textId="0DA5EDEF"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(przy infrastrukturze MOF, obowiązuje demarkacja wskazana w Linii demarkacyjnej Programy krajowe vs regionalne) oraz środki w ramach </w:t>
            </w:r>
            <w:r w:rsidR="008177E4" w:rsidRPr="0099520C">
              <w:rPr>
                <w:rFonts w:ascii="Arial" w:hAnsi="Arial" w:cs="Arial"/>
                <w:color w:val="000000" w:themeColor="text1"/>
                <w:sz w:val="22"/>
                <w:szCs w:val="22"/>
              </w:rPr>
              <w:t>FEPW</w:t>
            </w:r>
            <w:r w:rsidRPr="0099520C">
              <w:rPr>
                <w:rFonts w:ascii="Arial" w:hAnsi="Arial" w:cs="Arial"/>
                <w:color w:val="000000" w:themeColor="text1"/>
                <w:sz w:val="22"/>
                <w:szCs w:val="22"/>
              </w:rPr>
              <w:t>*</w:t>
            </w:r>
          </w:p>
        </w:tc>
        <w:tc>
          <w:tcPr>
            <w:tcW w:w="2268" w:type="dxa"/>
          </w:tcPr>
          <w:p w14:paraId="618E5B55"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(przy infrastrukturze MOF, obowiązuje demarkacja wskazana w Linii demarkacyjnej: Programy krajowe vs regionalne).</w:t>
            </w:r>
          </w:p>
        </w:tc>
        <w:tc>
          <w:tcPr>
            <w:tcW w:w="1701" w:type="dxa"/>
          </w:tcPr>
          <w:p w14:paraId="2D52B7A1"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(pod warunkiem ujęcia inwestycji w ramach stosownego wykazu i spełnienia wymogów programowych)</w:t>
            </w:r>
          </w:p>
        </w:tc>
        <w:tc>
          <w:tcPr>
            <w:tcW w:w="2679" w:type="dxa"/>
          </w:tcPr>
          <w:p w14:paraId="595B569B"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0" w:type="auto"/>
          </w:tcPr>
          <w:p w14:paraId="20165E37" w14:textId="7B27C180"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M.in. pozostałe krajowe środki publiczne (przy spełnieniu wymogu zamieszczenia na liście planowych inwestycji oraz przypisania pochodzenia środków)</w:t>
            </w:r>
          </w:p>
        </w:tc>
      </w:tr>
      <w:tr w:rsidR="006F4FD2" w:rsidRPr="0099520C" w14:paraId="1DB56D8E" w14:textId="77777777" w:rsidTr="00560DF6">
        <w:tc>
          <w:tcPr>
            <w:tcW w:w="0" w:type="auto"/>
          </w:tcPr>
          <w:p w14:paraId="64A3B31B"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2. (alternatywny)</w:t>
            </w:r>
          </w:p>
        </w:tc>
        <w:tc>
          <w:tcPr>
            <w:tcW w:w="0" w:type="auto"/>
          </w:tcPr>
          <w:p w14:paraId="771AF6FC" w14:textId="2EF74644"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Inwestycje </w:t>
            </w:r>
            <w:r w:rsidR="00D05595">
              <w:rPr>
                <w:rFonts w:ascii="Arial" w:hAnsi="Arial" w:cs="Arial"/>
                <w:color w:val="000000" w:themeColor="text1"/>
                <w:sz w:val="22"/>
                <w:szCs w:val="22"/>
              </w:rPr>
              <w:br/>
            </w:r>
            <w:r w:rsidRPr="0099520C">
              <w:rPr>
                <w:rFonts w:ascii="Arial" w:hAnsi="Arial" w:cs="Arial"/>
                <w:color w:val="000000" w:themeColor="text1"/>
                <w:sz w:val="22"/>
                <w:szCs w:val="22"/>
              </w:rPr>
              <w:t>w infrastrukturę szlaków pieszo-rowerowych</w:t>
            </w:r>
          </w:p>
        </w:tc>
        <w:tc>
          <w:tcPr>
            <w:tcW w:w="2363" w:type="dxa"/>
          </w:tcPr>
          <w:p w14:paraId="60821C21" w14:textId="79961A73"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(przy infrastrukturze MOF, obowiązuje demarkacja wskazana w </w:t>
            </w:r>
            <w:r w:rsidRPr="0099520C">
              <w:rPr>
                <w:rFonts w:ascii="Arial" w:hAnsi="Arial" w:cs="Arial"/>
                <w:i/>
                <w:color w:val="000000" w:themeColor="text1"/>
                <w:sz w:val="22"/>
                <w:szCs w:val="22"/>
              </w:rPr>
              <w:t>Linii demarkacyjnej</w:t>
            </w:r>
            <w:r w:rsidRPr="0099520C">
              <w:rPr>
                <w:rFonts w:ascii="Arial" w:hAnsi="Arial" w:cs="Arial"/>
                <w:color w:val="000000" w:themeColor="text1"/>
                <w:sz w:val="22"/>
                <w:szCs w:val="22"/>
              </w:rPr>
              <w:t xml:space="preserve"> Programy krajowe vs regionalne) oraz środki w ramach </w:t>
            </w:r>
            <w:r w:rsidR="008177E4" w:rsidRPr="0099520C">
              <w:rPr>
                <w:rFonts w:ascii="Arial" w:hAnsi="Arial" w:cs="Arial"/>
                <w:color w:val="000000" w:themeColor="text1"/>
                <w:sz w:val="22"/>
                <w:szCs w:val="22"/>
              </w:rPr>
              <w:t>FEPW</w:t>
            </w:r>
            <w:r w:rsidRPr="0099520C">
              <w:rPr>
                <w:rFonts w:ascii="Arial" w:hAnsi="Arial" w:cs="Arial"/>
                <w:color w:val="000000" w:themeColor="text1"/>
                <w:sz w:val="22"/>
                <w:szCs w:val="22"/>
              </w:rPr>
              <w:t>*</w:t>
            </w:r>
          </w:p>
        </w:tc>
        <w:tc>
          <w:tcPr>
            <w:tcW w:w="2268" w:type="dxa"/>
          </w:tcPr>
          <w:p w14:paraId="7A7DFE1E"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(przy infrastrukturze MOF, obowiązuje demarkacja wskazana w </w:t>
            </w:r>
            <w:r w:rsidRPr="0099520C">
              <w:rPr>
                <w:rFonts w:ascii="Arial" w:hAnsi="Arial" w:cs="Arial"/>
                <w:i/>
                <w:color w:val="000000" w:themeColor="text1"/>
                <w:sz w:val="22"/>
                <w:szCs w:val="22"/>
              </w:rPr>
              <w:t>Linii demarkacyjnej</w:t>
            </w:r>
            <w:r w:rsidRPr="0099520C">
              <w:rPr>
                <w:rFonts w:ascii="Arial" w:hAnsi="Arial" w:cs="Arial"/>
                <w:color w:val="000000" w:themeColor="text1"/>
                <w:sz w:val="22"/>
                <w:szCs w:val="22"/>
              </w:rPr>
              <w:t>: Programy krajowe vs regionalne).</w:t>
            </w:r>
          </w:p>
        </w:tc>
        <w:tc>
          <w:tcPr>
            <w:tcW w:w="1701" w:type="dxa"/>
          </w:tcPr>
          <w:p w14:paraId="4E8AC6D3" w14:textId="6D726595"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(pod warunkiem ujęcia inwestycji </w:t>
            </w:r>
            <w:r w:rsidR="00D05595">
              <w:rPr>
                <w:rFonts w:ascii="Arial" w:hAnsi="Arial" w:cs="Arial"/>
                <w:color w:val="000000" w:themeColor="text1"/>
                <w:sz w:val="22"/>
                <w:szCs w:val="22"/>
              </w:rPr>
              <w:br/>
            </w:r>
            <w:r w:rsidRPr="0099520C">
              <w:rPr>
                <w:rFonts w:ascii="Arial" w:hAnsi="Arial" w:cs="Arial"/>
                <w:color w:val="000000" w:themeColor="text1"/>
                <w:sz w:val="22"/>
                <w:szCs w:val="22"/>
              </w:rPr>
              <w:t>w ramach stosownego wykazu i spełnienia wymogów programowych)</w:t>
            </w:r>
          </w:p>
        </w:tc>
        <w:tc>
          <w:tcPr>
            <w:tcW w:w="2679" w:type="dxa"/>
          </w:tcPr>
          <w:p w14:paraId="3CFA654B" w14:textId="3F373BF8"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0" w:type="auto"/>
          </w:tcPr>
          <w:p w14:paraId="6D0CC383" w14:textId="4504654C"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M.in. pozostałe środki publiczne (przy spełnieniu wymogu zamieszczenia na liście planowych inwestycji oraz przypisania pochodzenia środków)</w:t>
            </w:r>
          </w:p>
        </w:tc>
      </w:tr>
      <w:tr w:rsidR="006F4FD2" w:rsidRPr="0099520C" w14:paraId="534B0B57" w14:textId="77777777" w:rsidTr="00560DF6">
        <w:tc>
          <w:tcPr>
            <w:tcW w:w="0" w:type="auto"/>
          </w:tcPr>
          <w:p w14:paraId="5438A8E4"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2. (alternatywny)</w:t>
            </w:r>
          </w:p>
        </w:tc>
        <w:tc>
          <w:tcPr>
            <w:tcW w:w="0" w:type="auto"/>
          </w:tcPr>
          <w:p w14:paraId="1CB41789"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Inwestycje dotyczące bezzałogowych statków powietrznych (mobilność bezzałogowa)</w:t>
            </w:r>
          </w:p>
        </w:tc>
        <w:tc>
          <w:tcPr>
            <w:tcW w:w="2363" w:type="dxa"/>
          </w:tcPr>
          <w:p w14:paraId="43F79B0A" w14:textId="7C8A0696"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Projekty systemowe (Dotyczy działań polegających m.in. na wspieraniu realizacji inwestycji transportowych obejmujących również kanały technologiczne </w:t>
            </w:r>
            <w:r w:rsidR="00D05595">
              <w:rPr>
                <w:rFonts w:ascii="Arial" w:hAnsi="Arial" w:cs="Arial"/>
                <w:color w:val="000000" w:themeColor="text1"/>
                <w:sz w:val="22"/>
                <w:szCs w:val="22"/>
              </w:rPr>
              <w:br/>
            </w:r>
            <w:r w:rsidRPr="0099520C">
              <w:rPr>
                <w:rFonts w:ascii="Arial" w:hAnsi="Arial" w:cs="Arial"/>
                <w:color w:val="000000" w:themeColor="text1"/>
                <w:sz w:val="22"/>
                <w:szCs w:val="22"/>
              </w:rPr>
              <w:t>i infrastrukturę teletechniczną</w:t>
            </w:r>
            <w:r w:rsidR="00E73293" w:rsidRPr="0099520C">
              <w:rPr>
                <w:rFonts w:ascii="Arial" w:hAnsi="Arial" w:cs="Arial"/>
                <w:color w:val="000000" w:themeColor="text1"/>
                <w:sz w:val="22"/>
                <w:szCs w:val="22"/>
              </w:rPr>
              <w:t xml:space="preserve">, </w:t>
            </w:r>
            <w:r w:rsidRPr="0099520C">
              <w:rPr>
                <w:rFonts w:ascii="Arial" w:hAnsi="Arial" w:cs="Arial"/>
                <w:color w:val="000000" w:themeColor="text1"/>
                <w:sz w:val="22"/>
                <w:szCs w:val="22"/>
              </w:rPr>
              <w:t>rozwój społeczeństwa informacyjnego wraz z e-usługami oraz transmisją danych).</w:t>
            </w:r>
          </w:p>
        </w:tc>
        <w:tc>
          <w:tcPr>
            <w:tcW w:w="2268" w:type="dxa"/>
          </w:tcPr>
          <w:p w14:paraId="0D03B849" w14:textId="0236F5C1"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 xml:space="preserve">Działania </w:t>
            </w:r>
            <w:r w:rsidR="00D05595">
              <w:rPr>
                <w:rFonts w:ascii="Arial" w:hAnsi="Arial" w:cs="Arial"/>
                <w:color w:val="000000" w:themeColor="text1"/>
                <w:sz w:val="22"/>
                <w:szCs w:val="22"/>
              </w:rPr>
              <w:br/>
            </w:r>
            <w:r w:rsidRPr="0099520C">
              <w:rPr>
                <w:rFonts w:ascii="Arial" w:hAnsi="Arial" w:cs="Arial"/>
                <w:color w:val="000000" w:themeColor="text1"/>
                <w:sz w:val="22"/>
                <w:szCs w:val="22"/>
              </w:rPr>
              <w:t>o charakterze regionalnym lub lokalnym (</w:t>
            </w:r>
            <w:r w:rsidR="00E73293" w:rsidRPr="0099520C">
              <w:rPr>
                <w:rFonts w:ascii="Arial" w:hAnsi="Arial" w:cs="Arial"/>
                <w:color w:val="000000" w:themeColor="text1"/>
                <w:sz w:val="22"/>
                <w:szCs w:val="22"/>
              </w:rPr>
              <w:t>d</w:t>
            </w:r>
            <w:r w:rsidRPr="0099520C">
              <w:rPr>
                <w:rFonts w:ascii="Arial" w:hAnsi="Arial" w:cs="Arial"/>
                <w:color w:val="000000" w:themeColor="text1"/>
                <w:sz w:val="22"/>
                <w:szCs w:val="22"/>
              </w:rPr>
              <w:t xml:space="preserve">otyczy działań polegających m.in. na wspieraniu realizacji inwestycji transportowych obejmujących również kanały technologiczne </w:t>
            </w:r>
            <w:r w:rsidR="00D05595">
              <w:rPr>
                <w:rFonts w:ascii="Arial" w:hAnsi="Arial" w:cs="Arial"/>
                <w:color w:val="000000" w:themeColor="text1"/>
                <w:sz w:val="22"/>
                <w:szCs w:val="22"/>
              </w:rPr>
              <w:br/>
            </w:r>
            <w:r w:rsidRPr="0099520C">
              <w:rPr>
                <w:rFonts w:ascii="Arial" w:hAnsi="Arial" w:cs="Arial"/>
                <w:color w:val="000000" w:themeColor="text1"/>
                <w:sz w:val="22"/>
                <w:szCs w:val="22"/>
              </w:rPr>
              <w:t>i infrastrukturę teletechniczną</w:t>
            </w:r>
            <w:r w:rsidR="00E73293" w:rsidRPr="0099520C">
              <w:rPr>
                <w:rFonts w:ascii="Arial" w:hAnsi="Arial" w:cs="Arial"/>
                <w:color w:val="000000" w:themeColor="text1"/>
                <w:sz w:val="22"/>
                <w:szCs w:val="22"/>
              </w:rPr>
              <w:t xml:space="preserve">, </w:t>
            </w:r>
            <w:r w:rsidRPr="0099520C">
              <w:rPr>
                <w:rFonts w:ascii="Arial" w:hAnsi="Arial" w:cs="Arial"/>
                <w:color w:val="000000" w:themeColor="text1"/>
                <w:sz w:val="22"/>
                <w:szCs w:val="22"/>
              </w:rPr>
              <w:t>rozwój społeczeństwa informacyjnego wraz z e-usługami oraz transmisją danych).</w:t>
            </w:r>
          </w:p>
        </w:tc>
        <w:tc>
          <w:tcPr>
            <w:tcW w:w="1701" w:type="dxa"/>
          </w:tcPr>
          <w:p w14:paraId="62C18057"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(pod warunkiem ujęcia inwestycji w ramach stosownego wykazu i spełnienia wymogów programowych)</w:t>
            </w:r>
          </w:p>
        </w:tc>
        <w:tc>
          <w:tcPr>
            <w:tcW w:w="2679" w:type="dxa"/>
          </w:tcPr>
          <w:p w14:paraId="34656FCF" w14:textId="54AEE408"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w:t>
            </w:r>
          </w:p>
        </w:tc>
        <w:tc>
          <w:tcPr>
            <w:tcW w:w="0" w:type="auto"/>
          </w:tcPr>
          <w:p w14:paraId="327F28C0" w14:textId="546EF56D"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TAK</w:t>
            </w:r>
            <w:r w:rsidRPr="0099520C">
              <w:rPr>
                <w:rFonts w:ascii="Arial" w:hAnsi="Arial" w:cs="Arial"/>
                <w:color w:val="000000" w:themeColor="text1"/>
                <w:sz w:val="22"/>
                <w:szCs w:val="22"/>
              </w:rPr>
              <w:br/>
              <w:t>M.in. pozostałe krajowe środki publiczne (przy spełnieniu wymogu zamieszczenia na liście planowych inwestycji oraz przypisania pochodzenia środków)</w:t>
            </w:r>
          </w:p>
        </w:tc>
      </w:tr>
      <w:tr w:rsidR="006F4FD2" w:rsidRPr="0099520C" w14:paraId="5D3F2C47" w14:textId="77777777" w:rsidTr="00560DF6">
        <w:tc>
          <w:tcPr>
            <w:tcW w:w="0" w:type="auto"/>
          </w:tcPr>
          <w:p w14:paraId="00FEEE4A"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3. (drogowy)</w:t>
            </w:r>
          </w:p>
        </w:tc>
        <w:tc>
          <w:tcPr>
            <w:tcW w:w="0" w:type="auto"/>
          </w:tcPr>
          <w:p w14:paraId="4F082CA7" w14:textId="390B39B8"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Inwestycje drogowe na rzecz ROF oraz </w:t>
            </w:r>
            <w:r w:rsidR="00E73293" w:rsidRPr="0099520C">
              <w:rPr>
                <w:rFonts w:ascii="Arial" w:hAnsi="Arial" w:cs="Arial"/>
                <w:color w:val="000000" w:themeColor="text1"/>
                <w:sz w:val="22"/>
                <w:szCs w:val="22"/>
              </w:rPr>
              <w:br/>
            </w:r>
            <w:r w:rsidRPr="0099520C">
              <w:rPr>
                <w:rFonts w:ascii="Arial" w:hAnsi="Arial" w:cs="Arial"/>
                <w:color w:val="000000" w:themeColor="text1"/>
                <w:sz w:val="22"/>
                <w:szCs w:val="22"/>
              </w:rPr>
              <w:t>MOF- ów</w:t>
            </w:r>
          </w:p>
        </w:tc>
        <w:tc>
          <w:tcPr>
            <w:tcW w:w="2363" w:type="dxa"/>
          </w:tcPr>
          <w:p w14:paraId="07A5DD1D" w14:textId="6A83EBD2"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Uwaga! Finansowanie inwestycji drogowych o analogicznym charakterze jak wskazane powyżej zgodnie z zasadami przyjętymi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i określonymi przy </w:t>
            </w:r>
            <w:r w:rsidR="00BD3193" w:rsidRPr="0099520C">
              <w:rPr>
                <w:rFonts w:ascii="Arial" w:hAnsi="Arial" w:cs="Arial"/>
                <w:color w:val="000000" w:themeColor="text1"/>
                <w:sz w:val="22"/>
                <w:szCs w:val="22"/>
              </w:rPr>
              <w:t>c</w:t>
            </w:r>
            <w:r w:rsidRPr="0099520C">
              <w:rPr>
                <w:rFonts w:ascii="Arial" w:hAnsi="Arial" w:cs="Arial"/>
                <w:color w:val="000000" w:themeColor="text1"/>
                <w:sz w:val="22"/>
                <w:szCs w:val="22"/>
              </w:rPr>
              <w:t xml:space="preserve">elach 1. i 2. ponadto działania wskazane jako możliwe </w:t>
            </w:r>
            <w:bookmarkStart w:id="404" w:name="_Hlk101364910"/>
            <w:r w:rsidRPr="0099520C">
              <w:rPr>
                <w:rFonts w:ascii="Arial" w:hAnsi="Arial" w:cs="Arial"/>
                <w:color w:val="000000" w:themeColor="text1"/>
                <w:sz w:val="22"/>
                <w:szCs w:val="22"/>
              </w:rPr>
              <w:t xml:space="preserve">do dofinansowania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w ramach </w:t>
            </w:r>
            <w:r w:rsidR="007E78B4" w:rsidRPr="0099520C">
              <w:rPr>
                <w:rFonts w:ascii="Arial" w:hAnsi="Arial" w:cs="Arial"/>
                <w:color w:val="000000" w:themeColor="text1"/>
                <w:sz w:val="22"/>
                <w:szCs w:val="22"/>
              </w:rPr>
              <w:t>obszarów funkcjonalnych</w:t>
            </w:r>
            <w:r w:rsidRPr="0099520C">
              <w:rPr>
                <w:rFonts w:ascii="Arial" w:hAnsi="Arial" w:cs="Arial"/>
                <w:color w:val="000000" w:themeColor="text1"/>
                <w:sz w:val="22"/>
                <w:szCs w:val="22"/>
              </w:rPr>
              <w:t xml:space="preserve">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z </w:t>
            </w:r>
            <w:r w:rsidR="007E78B4" w:rsidRPr="0099520C">
              <w:rPr>
                <w:rFonts w:ascii="Arial" w:hAnsi="Arial" w:cs="Arial"/>
                <w:color w:val="000000" w:themeColor="text1"/>
                <w:sz w:val="22"/>
                <w:szCs w:val="22"/>
              </w:rPr>
              <w:t>F</w:t>
            </w:r>
            <w:r w:rsidR="00BD3193" w:rsidRPr="0099520C">
              <w:rPr>
                <w:rFonts w:ascii="Arial" w:hAnsi="Arial" w:cs="Arial"/>
                <w:color w:val="000000" w:themeColor="text1"/>
                <w:sz w:val="22"/>
                <w:szCs w:val="22"/>
              </w:rPr>
              <w:t xml:space="preserve">unduszy </w:t>
            </w:r>
            <w:r w:rsidR="007E78B4" w:rsidRPr="0099520C">
              <w:rPr>
                <w:rFonts w:ascii="Arial" w:hAnsi="Arial" w:cs="Arial"/>
                <w:color w:val="000000" w:themeColor="text1"/>
                <w:sz w:val="22"/>
                <w:szCs w:val="22"/>
              </w:rPr>
              <w:t>E</w:t>
            </w:r>
            <w:r w:rsidR="00BD3193" w:rsidRPr="0099520C">
              <w:rPr>
                <w:rFonts w:ascii="Arial" w:hAnsi="Arial" w:cs="Arial"/>
                <w:color w:val="000000" w:themeColor="text1"/>
                <w:sz w:val="22"/>
                <w:szCs w:val="22"/>
              </w:rPr>
              <w:t>uropejskich</w:t>
            </w:r>
            <w:r w:rsidRPr="0099520C">
              <w:rPr>
                <w:rFonts w:ascii="Arial" w:hAnsi="Arial" w:cs="Arial"/>
                <w:color w:val="000000" w:themeColor="text1"/>
                <w:sz w:val="22"/>
                <w:szCs w:val="22"/>
              </w:rPr>
              <w:t xml:space="preserve"> wskazanych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w </w:t>
            </w:r>
            <w:r w:rsidR="00BD3193" w:rsidRPr="0099520C">
              <w:rPr>
                <w:rFonts w:ascii="Arial" w:hAnsi="Arial" w:cs="Arial"/>
                <w:color w:val="000000" w:themeColor="text1"/>
                <w:sz w:val="22"/>
                <w:szCs w:val="22"/>
              </w:rPr>
              <w:t>Umowie Partnerstwa</w:t>
            </w:r>
            <w:r w:rsidRPr="0099520C">
              <w:rPr>
                <w:rFonts w:ascii="Arial" w:hAnsi="Arial" w:cs="Arial"/>
                <w:color w:val="000000" w:themeColor="text1"/>
                <w:sz w:val="22"/>
                <w:szCs w:val="22"/>
              </w:rPr>
              <w:t xml:space="preserve"> </w:t>
            </w:r>
            <w:bookmarkEnd w:id="404"/>
            <w:r w:rsidRPr="0099520C">
              <w:rPr>
                <w:rFonts w:ascii="Arial" w:hAnsi="Arial" w:cs="Arial"/>
                <w:color w:val="000000" w:themeColor="text1"/>
                <w:sz w:val="22"/>
                <w:szCs w:val="22"/>
              </w:rPr>
              <w:t>(zgodnie z Linią demarkacyjną).</w:t>
            </w:r>
          </w:p>
        </w:tc>
        <w:tc>
          <w:tcPr>
            <w:tcW w:w="2268" w:type="dxa"/>
          </w:tcPr>
          <w:p w14:paraId="01204355" w14:textId="7F8E0A3A" w:rsidR="00560DF6" w:rsidRPr="0099520C" w:rsidRDefault="00560DF6" w:rsidP="0099520C">
            <w:pPr>
              <w:spacing w:line="276" w:lineRule="auto"/>
              <w:ind w:right="-102"/>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Uwaga! Finansowanie inwestycji drogowych o analogicznym charakterze jak wskazane powyżej zgodnie z zasadami przyjętymi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i określonymi przy </w:t>
            </w:r>
            <w:r w:rsidR="00BD3193" w:rsidRPr="0099520C">
              <w:rPr>
                <w:rFonts w:ascii="Arial" w:hAnsi="Arial" w:cs="Arial"/>
                <w:color w:val="000000" w:themeColor="text1"/>
                <w:sz w:val="22"/>
                <w:szCs w:val="22"/>
              </w:rPr>
              <w:t>c</w:t>
            </w:r>
            <w:r w:rsidRPr="0099520C">
              <w:rPr>
                <w:rFonts w:ascii="Arial" w:hAnsi="Arial" w:cs="Arial"/>
                <w:color w:val="000000" w:themeColor="text1"/>
                <w:sz w:val="22"/>
                <w:szCs w:val="22"/>
              </w:rPr>
              <w:t xml:space="preserve">elach 1. i 2. ponadto działania wskazane jako możliwe do dofinansowania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w ramach </w:t>
            </w:r>
            <w:r w:rsidR="007E78B4" w:rsidRPr="0099520C">
              <w:rPr>
                <w:rFonts w:ascii="Arial" w:hAnsi="Arial" w:cs="Arial"/>
                <w:color w:val="000000" w:themeColor="text1"/>
                <w:sz w:val="22"/>
                <w:szCs w:val="22"/>
              </w:rPr>
              <w:t>obszarów funkcjonalnych</w:t>
            </w:r>
            <w:r w:rsidRPr="0099520C">
              <w:rPr>
                <w:rFonts w:ascii="Arial" w:hAnsi="Arial" w:cs="Arial"/>
                <w:color w:val="000000" w:themeColor="text1"/>
                <w:sz w:val="22"/>
                <w:szCs w:val="22"/>
              </w:rPr>
              <w:t xml:space="preserve"> </w:t>
            </w:r>
            <w:r w:rsidR="00D05595">
              <w:rPr>
                <w:rFonts w:ascii="Arial" w:hAnsi="Arial" w:cs="Arial"/>
                <w:color w:val="000000" w:themeColor="text1"/>
                <w:sz w:val="22"/>
                <w:szCs w:val="22"/>
              </w:rPr>
              <w:br/>
            </w:r>
            <w:r w:rsidR="00BD3193" w:rsidRPr="0099520C">
              <w:rPr>
                <w:rFonts w:ascii="Arial" w:hAnsi="Arial" w:cs="Arial"/>
                <w:color w:val="000000" w:themeColor="text1"/>
                <w:sz w:val="22"/>
                <w:szCs w:val="22"/>
              </w:rPr>
              <w:t xml:space="preserve">z </w:t>
            </w:r>
            <w:r w:rsidR="007E78B4" w:rsidRPr="0099520C">
              <w:rPr>
                <w:rFonts w:ascii="Arial" w:hAnsi="Arial" w:cs="Arial"/>
                <w:color w:val="000000" w:themeColor="text1"/>
                <w:sz w:val="22"/>
                <w:szCs w:val="22"/>
              </w:rPr>
              <w:t>F</w:t>
            </w:r>
            <w:r w:rsidR="00BD3193" w:rsidRPr="0099520C">
              <w:rPr>
                <w:rFonts w:ascii="Arial" w:hAnsi="Arial" w:cs="Arial"/>
                <w:color w:val="000000" w:themeColor="text1"/>
                <w:sz w:val="22"/>
                <w:szCs w:val="22"/>
              </w:rPr>
              <w:t xml:space="preserve">unduszy </w:t>
            </w:r>
            <w:r w:rsidR="007E78B4" w:rsidRPr="0099520C">
              <w:rPr>
                <w:rFonts w:ascii="Arial" w:hAnsi="Arial" w:cs="Arial"/>
                <w:color w:val="000000" w:themeColor="text1"/>
                <w:sz w:val="22"/>
                <w:szCs w:val="22"/>
              </w:rPr>
              <w:t>E</w:t>
            </w:r>
            <w:r w:rsidR="00BD3193" w:rsidRPr="0099520C">
              <w:rPr>
                <w:rFonts w:ascii="Arial" w:hAnsi="Arial" w:cs="Arial"/>
                <w:color w:val="000000" w:themeColor="text1"/>
                <w:sz w:val="22"/>
                <w:szCs w:val="22"/>
              </w:rPr>
              <w:t xml:space="preserve">uropejskich wskazanych </w:t>
            </w:r>
            <w:r w:rsidR="00D05595">
              <w:rPr>
                <w:rFonts w:ascii="Arial" w:hAnsi="Arial" w:cs="Arial"/>
                <w:color w:val="000000" w:themeColor="text1"/>
                <w:sz w:val="22"/>
                <w:szCs w:val="22"/>
              </w:rPr>
              <w:br/>
            </w:r>
            <w:r w:rsidR="00BD3193" w:rsidRPr="0099520C">
              <w:rPr>
                <w:rFonts w:ascii="Arial" w:hAnsi="Arial" w:cs="Arial"/>
                <w:color w:val="000000" w:themeColor="text1"/>
                <w:sz w:val="22"/>
                <w:szCs w:val="22"/>
              </w:rPr>
              <w:t xml:space="preserve">w Umowie Partnerstwa </w:t>
            </w:r>
            <w:r w:rsidRPr="0099520C">
              <w:rPr>
                <w:rFonts w:ascii="Arial" w:hAnsi="Arial" w:cs="Arial"/>
                <w:color w:val="000000" w:themeColor="text1"/>
                <w:sz w:val="22"/>
                <w:szCs w:val="22"/>
              </w:rPr>
              <w:t>(zgodnie z Linią demarkacyjną).</w:t>
            </w:r>
          </w:p>
        </w:tc>
        <w:tc>
          <w:tcPr>
            <w:tcW w:w="1701" w:type="dxa"/>
          </w:tcPr>
          <w:p w14:paraId="4DC3C448" w14:textId="67B5570D"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Uwaga! Finansowanie inwestycji drogowych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o analogicznym charakterze jak wskazane powyżej zgodnie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z zasadami przyjętymi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i określonymi przy </w:t>
            </w:r>
            <w:r w:rsidR="00BD3193" w:rsidRPr="0099520C">
              <w:rPr>
                <w:rFonts w:ascii="Arial" w:hAnsi="Arial" w:cs="Arial"/>
                <w:color w:val="000000" w:themeColor="text1"/>
                <w:sz w:val="22"/>
                <w:szCs w:val="22"/>
              </w:rPr>
              <w:t>c</w:t>
            </w:r>
            <w:r w:rsidRPr="0099520C">
              <w:rPr>
                <w:rFonts w:ascii="Arial" w:hAnsi="Arial" w:cs="Arial"/>
                <w:color w:val="000000" w:themeColor="text1"/>
                <w:sz w:val="22"/>
                <w:szCs w:val="22"/>
              </w:rPr>
              <w:t xml:space="preserve">elach 1. </w:t>
            </w:r>
            <w:r w:rsidR="00D05595">
              <w:rPr>
                <w:rFonts w:ascii="Arial" w:hAnsi="Arial" w:cs="Arial"/>
                <w:color w:val="000000" w:themeColor="text1"/>
                <w:sz w:val="22"/>
                <w:szCs w:val="22"/>
              </w:rPr>
              <w:br/>
            </w:r>
            <w:r w:rsidRPr="0099520C">
              <w:rPr>
                <w:rFonts w:ascii="Arial" w:hAnsi="Arial" w:cs="Arial"/>
                <w:color w:val="000000" w:themeColor="text1"/>
                <w:sz w:val="22"/>
                <w:szCs w:val="22"/>
              </w:rPr>
              <w:t>i 2.</w:t>
            </w:r>
          </w:p>
        </w:tc>
        <w:tc>
          <w:tcPr>
            <w:tcW w:w="2679" w:type="dxa"/>
          </w:tcPr>
          <w:p w14:paraId="6A4DE508" w14:textId="3B9A01A3" w:rsidR="00560DF6" w:rsidRPr="0099520C" w:rsidRDefault="00D05595" w:rsidP="0099520C">
            <w:pPr>
              <w:spacing w:line="276" w:lineRule="auto"/>
              <w:ind w:left="-113" w:right="-122" w:firstLine="113"/>
              <w:jc w:val="center"/>
              <w:rPr>
                <w:rFonts w:ascii="Arial" w:hAnsi="Arial" w:cs="Arial"/>
                <w:color w:val="000000" w:themeColor="text1"/>
                <w:sz w:val="22"/>
                <w:szCs w:val="22"/>
              </w:rPr>
            </w:pPr>
            <w:r>
              <w:rPr>
                <w:rFonts w:ascii="Arial" w:hAnsi="Arial" w:cs="Arial"/>
                <w:color w:val="000000" w:themeColor="text1"/>
                <w:sz w:val="22"/>
                <w:szCs w:val="22"/>
              </w:rPr>
              <w:t>TAK</w:t>
            </w:r>
            <w:r>
              <w:rPr>
                <w:rFonts w:ascii="Arial" w:hAnsi="Arial" w:cs="Arial"/>
                <w:color w:val="000000" w:themeColor="text1"/>
                <w:sz w:val="22"/>
                <w:szCs w:val="22"/>
              </w:rPr>
              <w:br/>
              <w:t xml:space="preserve">W ramach </w:t>
            </w:r>
            <w:r w:rsidR="00560DF6" w:rsidRPr="0099520C">
              <w:rPr>
                <w:rFonts w:ascii="Arial" w:hAnsi="Arial" w:cs="Arial"/>
                <w:color w:val="000000" w:themeColor="text1"/>
                <w:sz w:val="22"/>
                <w:szCs w:val="22"/>
              </w:rPr>
              <w:t xml:space="preserve">tego celu wskazano zadanie polegające na likwidacji szkód powodziowych na wskazanych drogach wojewódzkich oraz obiektach mostowych </w:t>
            </w:r>
            <w:r>
              <w:rPr>
                <w:rFonts w:ascii="Arial" w:hAnsi="Arial" w:cs="Arial"/>
                <w:color w:val="000000" w:themeColor="text1"/>
                <w:sz w:val="22"/>
                <w:szCs w:val="22"/>
              </w:rPr>
              <w:br/>
            </w:r>
            <w:r w:rsidR="00560DF6" w:rsidRPr="0099520C">
              <w:rPr>
                <w:rFonts w:ascii="Arial" w:hAnsi="Arial" w:cs="Arial"/>
                <w:color w:val="000000" w:themeColor="text1"/>
                <w:sz w:val="22"/>
                <w:szCs w:val="22"/>
              </w:rPr>
              <w:t xml:space="preserve">i kładkach ze środków Funduszu Przeciwdziałania COVID-19 dla jednostek samorządu terytorialnego Finansowanie inwestycji drogowych o analogicznym charakterze jak wskazane w </w:t>
            </w:r>
            <w:r w:rsidR="00BD3193" w:rsidRPr="0099520C">
              <w:rPr>
                <w:rFonts w:ascii="Arial" w:hAnsi="Arial" w:cs="Arial"/>
                <w:color w:val="000000" w:themeColor="text1"/>
                <w:sz w:val="22"/>
                <w:szCs w:val="22"/>
              </w:rPr>
              <w:t>c</w:t>
            </w:r>
            <w:r w:rsidR="00560DF6" w:rsidRPr="0099520C">
              <w:rPr>
                <w:rFonts w:ascii="Arial" w:hAnsi="Arial" w:cs="Arial"/>
                <w:color w:val="000000" w:themeColor="text1"/>
                <w:sz w:val="22"/>
                <w:szCs w:val="22"/>
              </w:rPr>
              <w:t xml:space="preserve">elach powyżej zgodnie z zasadami przyjętymi </w:t>
            </w:r>
            <w:r w:rsidR="00FF5524">
              <w:rPr>
                <w:rFonts w:ascii="Arial" w:hAnsi="Arial" w:cs="Arial"/>
                <w:color w:val="000000" w:themeColor="text1"/>
                <w:sz w:val="22"/>
                <w:szCs w:val="22"/>
              </w:rPr>
              <w:br/>
            </w:r>
            <w:r w:rsidR="00560DF6" w:rsidRPr="0099520C">
              <w:rPr>
                <w:rFonts w:ascii="Arial" w:hAnsi="Arial" w:cs="Arial"/>
                <w:color w:val="000000" w:themeColor="text1"/>
                <w:sz w:val="22"/>
                <w:szCs w:val="22"/>
              </w:rPr>
              <w:t xml:space="preserve">i określonymi przy </w:t>
            </w:r>
            <w:r w:rsidR="00BD3193" w:rsidRPr="0099520C">
              <w:rPr>
                <w:rFonts w:ascii="Arial" w:hAnsi="Arial" w:cs="Arial"/>
                <w:color w:val="000000" w:themeColor="text1"/>
                <w:sz w:val="22"/>
                <w:szCs w:val="22"/>
              </w:rPr>
              <w:t>c</w:t>
            </w:r>
            <w:r w:rsidR="00560DF6" w:rsidRPr="0099520C">
              <w:rPr>
                <w:rFonts w:ascii="Arial" w:hAnsi="Arial" w:cs="Arial"/>
                <w:color w:val="000000" w:themeColor="text1"/>
                <w:sz w:val="22"/>
                <w:szCs w:val="22"/>
              </w:rPr>
              <w:t>elach 1. i 2.</w:t>
            </w:r>
          </w:p>
        </w:tc>
        <w:tc>
          <w:tcPr>
            <w:tcW w:w="0" w:type="auto"/>
          </w:tcPr>
          <w:p w14:paraId="49585845" w14:textId="5C6897AF"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Uwaga! Finansowanie inwestycji drogowych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o analogicznym charakterze jak wskazane powyżej zgodnie z zasadami przyjętymi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i określonymi przy </w:t>
            </w:r>
            <w:r w:rsidR="00BD3193" w:rsidRPr="0099520C">
              <w:rPr>
                <w:rFonts w:ascii="Arial" w:hAnsi="Arial" w:cs="Arial"/>
                <w:color w:val="000000" w:themeColor="text1"/>
                <w:sz w:val="22"/>
                <w:szCs w:val="22"/>
              </w:rPr>
              <w:t>c</w:t>
            </w:r>
            <w:r w:rsidRPr="0099520C">
              <w:rPr>
                <w:rFonts w:ascii="Arial" w:hAnsi="Arial" w:cs="Arial"/>
                <w:color w:val="000000" w:themeColor="text1"/>
                <w:sz w:val="22"/>
                <w:szCs w:val="22"/>
              </w:rPr>
              <w:t>elach 1. i 2.</w:t>
            </w:r>
          </w:p>
        </w:tc>
      </w:tr>
      <w:tr w:rsidR="006F4FD2" w:rsidRPr="0099520C" w14:paraId="7643BA3C" w14:textId="77777777" w:rsidTr="00560DF6">
        <w:tc>
          <w:tcPr>
            <w:tcW w:w="0" w:type="auto"/>
          </w:tcPr>
          <w:p w14:paraId="5B927822"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3. (kolejowy)</w:t>
            </w:r>
          </w:p>
        </w:tc>
        <w:tc>
          <w:tcPr>
            <w:tcW w:w="0" w:type="auto"/>
          </w:tcPr>
          <w:p w14:paraId="1D17901D" w14:textId="3B192923"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Inwestycje kolejowe na rzecz ROF oraz </w:t>
            </w:r>
            <w:r w:rsidR="00E73293" w:rsidRPr="0099520C">
              <w:rPr>
                <w:rFonts w:ascii="Arial" w:hAnsi="Arial" w:cs="Arial"/>
                <w:color w:val="000000" w:themeColor="text1"/>
                <w:sz w:val="22"/>
                <w:szCs w:val="22"/>
              </w:rPr>
              <w:br/>
            </w:r>
            <w:r w:rsidRPr="0099520C">
              <w:rPr>
                <w:rFonts w:ascii="Arial" w:hAnsi="Arial" w:cs="Arial"/>
                <w:color w:val="000000" w:themeColor="text1"/>
                <w:sz w:val="22"/>
                <w:szCs w:val="22"/>
              </w:rPr>
              <w:t>MOF- ów</w:t>
            </w:r>
          </w:p>
        </w:tc>
        <w:tc>
          <w:tcPr>
            <w:tcW w:w="2363" w:type="dxa"/>
          </w:tcPr>
          <w:p w14:paraId="2C006142" w14:textId="55DB545F"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Uwaga! Finansowanie inwestycji kolejowych o analogicznym charakterze jak wskazane powyżej zgodnie z zasadami przyjętymi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i określonymi przy </w:t>
            </w:r>
            <w:r w:rsidR="00BD3193" w:rsidRPr="0099520C">
              <w:rPr>
                <w:rFonts w:ascii="Arial" w:hAnsi="Arial" w:cs="Arial"/>
                <w:color w:val="000000" w:themeColor="text1"/>
                <w:sz w:val="22"/>
                <w:szCs w:val="22"/>
              </w:rPr>
              <w:t>c</w:t>
            </w:r>
            <w:r w:rsidRPr="0099520C">
              <w:rPr>
                <w:rFonts w:ascii="Arial" w:hAnsi="Arial" w:cs="Arial"/>
                <w:color w:val="000000" w:themeColor="text1"/>
                <w:sz w:val="22"/>
                <w:szCs w:val="22"/>
              </w:rPr>
              <w:t xml:space="preserve">elach 1. i 2. ponadto działania wskazane jako możliwe do dofinansowania w ramach </w:t>
            </w:r>
            <w:r w:rsidR="007E78B4" w:rsidRPr="0099520C">
              <w:rPr>
                <w:rFonts w:ascii="Arial" w:hAnsi="Arial" w:cs="Arial"/>
                <w:color w:val="000000" w:themeColor="text1"/>
                <w:sz w:val="22"/>
                <w:szCs w:val="22"/>
              </w:rPr>
              <w:t>obszarów funkcjonalnych</w:t>
            </w:r>
            <w:r w:rsidRPr="0099520C">
              <w:rPr>
                <w:rFonts w:ascii="Arial" w:hAnsi="Arial" w:cs="Arial"/>
                <w:color w:val="000000" w:themeColor="text1"/>
                <w:sz w:val="22"/>
                <w:szCs w:val="22"/>
              </w:rPr>
              <w:t xml:space="preserve"> </w:t>
            </w:r>
            <w:r w:rsidR="00D05595">
              <w:rPr>
                <w:rFonts w:ascii="Arial" w:hAnsi="Arial" w:cs="Arial"/>
                <w:color w:val="000000" w:themeColor="text1"/>
                <w:sz w:val="22"/>
                <w:szCs w:val="22"/>
              </w:rPr>
              <w:br/>
            </w:r>
            <w:r w:rsidR="00BD3193" w:rsidRPr="0099520C">
              <w:rPr>
                <w:rFonts w:ascii="Arial" w:hAnsi="Arial" w:cs="Arial"/>
                <w:color w:val="000000" w:themeColor="text1"/>
                <w:sz w:val="22"/>
                <w:szCs w:val="22"/>
              </w:rPr>
              <w:t xml:space="preserve">z </w:t>
            </w:r>
            <w:r w:rsidR="007E78B4" w:rsidRPr="0099520C">
              <w:rPr>
                <w:rFonts w:ascii="Arial" w:hAnsi="Arial" w:cs="Arial"/>
                <w:color w:val="000000" w:themeColor="text1"/>
                <w:sz w:val="22"/>
                <w:szCs w:val="22"/>
              </w:rPr>
              <w:t>F</w:t>
            </w:r>
            <w:r w:rsidR="00BD3193" w:rsidRPr="0099520C">
              <w:rPr>
                <w:rFonts w:ascii="Arial" w:hAnsi="Arial" w:cs="Arial"/>
                <w:color w:val="000000" w:themeColor="text1"/>
                <w:sz w:val="22"/>
                <w:szCs w:val="22"/>
              </w:rPr>
              <w:t xml:space="preserve">unduszy </w:t>
            </w:r>
            <w:r w:rsidR="007E78B4" w:rsidRPr="0099520C">
              <w:rPr>
                <w:rFonts w:ascii="Arial" w:hAnsi="Arial" w:cs="Arial"/>
                <w:color w:val="000000" w:themeColor="text1"/>
                <w:sz w:val="22"/>
                <w:szCs w:val="22"/>
              </w:rPr>
              <w:t>E</w:t>
            </w:r>
            <w:r w:rsidR="00BD3193" w:rsidRPr="0099520C">
              <w:rPr>
                <w:rFonts w:ascii="Arial" w:hAnsi="Arial" w:cs="Arial"/>
                <w:color w:val="000000" w:themeColor="text1"/>
                <w:sz w:val="22"/>
                <w:szCs w:val="22"/>
              </w:rPr>
              <w:t xml:space="preserve">uropejskich wskazanych w Umowie Partnerstwa </w:t>
            </w:r>
            <w:r w:rsidRPr="0099520C">
              <w:rPr>
                <w:rFonts w:ascii="Arial" w:hAnsi="Arial" w:cs="Arial"/>
                <w:color w:val="000000" w:themeColor="text1"/>
                <w:sz w:val="22"/>
                <w:szCs w:val="22"/>
              </w:rPr>
              <w:t>(zgodnie z Linią demarkacyjną).</w:t>
            </w:r>
          </w:p>
        </w:tc>
        <w:tc>
          <w:tcPr>
            <w:tcW w:w="2268" w:type="dxa"/>
          </w:tcPr>
          <w:p w14:paraId="259FE7B6" w14:textId="29F2997C" w:rsidR="00560DF6" w:rsidRPr="0099520C" w:rsidRDefault="00560DF6" w:rsidP="0099520C">
            <w:pPr>
              <w:spacing w:line="276" w:lineRule="auto"/>
              <w:ind w:left="-115" w:right="-102"/>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Uwaga! Finansowanie inwestycji o analogicznym charakterze jak wskazane powyżej zgodnie z zasadami przyjętymi i określonymi przy </w:t>
            </w:r>
            <w:r w:rsidR="00BD3193" w:rsidRPr="0099520C">
              <w:rPr>
                <w:rFonts w:ascii="Arial" w:hAnsi="Arial" w:cs="Arial"/>
                <w:color w:val="000000" w:themeColor="text1"/>
                <w:sz w:val="22"/>
                <w:szCs w:val="22"/>
              </w:rPr>
              <w:t>c</w:t>
            </w:r>
            <w:r w:rsidRPr="0099520C">
              <w:rPr>
                <w:rFonts w:ascii="Arial" w:hAnsi="Arial" w:cs="Arial"/>
                <w:color w:val="000000" w:themeColor="text1"/>
                <w:sz w:val="22"/>
                <w:szCs w:val="22"/>
              </w:rPr>
              <w:t xml:space="preserve">elach 1. i 2. ponadto działania wskazane jako możliwe do dofinansowania w ramach </w:t>
            </w:r>
            <w:r w:rsidR="007E78B4" w:rsidRPr="0099520C">
              <w:rPr>
                <w:rFonts w:ascii="Arial" w:hAnsi="Arial" w:cs="Arial"/>
                <w:color w:val="000000" w:themeColor="text1"/>
                <w:sz w:val="22"/>
                <w:szCs w:val="22"/>
              </w:rPr>
              <w:t>obszarów funkcjonalnych</w:t>
            </w:r>
            <w:r w:rsidRPr="0099520C">
              <w:rPr>
                <w:rFonts w:ascii="Arial" w:hAnsi="Arial" w:cs="Arial"/>
                <w:color w:val="000000" w:themeColor="text1"/>
                <w:sz w:val="22"/>
                <w:szCs w:val="22"/>
              </w:rPr>
              <w:t xml:space="preserve"> </w:t>
            </w:r>
            <w:r w:rsidR="00BD3193" w:rsidRPr="0099520C">
              <w:rPr>
                <w:rFonts w:ascii="Arial" w:hAnsi="Arial" w:cs="Arial"/>
                <w:color w:val="000000" w:themeColor="text1"/>
                <w:sz w:val="22"/>
                <w:szCs w:val="22"/>
              </w:rPr>
              <w:t xml:space="preserve">z </w:t>
            </w:r>
            <w:r w:rsidR="007E78B4" w:rsidRPr="0099520C">
              <w:rPr>
                <w:rFonts w:ascii="Arial" w:hAnsi="Arial" w:cs="Arial"/>
                <w:color w:val="000000" w:themeColor="text1"/>
                <w:sz w:val="22"/>
                <w:szCs w:val="22"/>
              </w:rPr>
              <w:t>F</w:t>
            </w:r>
            <w:r w:rsidR="00BD3193" w:rsidRPr="0099520C">
              <w:rPr>
                <w:rFonts w:ascii="Arial" w:hAnsi="Arial" w:cs="Arial"/>
                <w:color w:val="000000" w:themeColor="text1"/>
                <w:sz w:val="22"/>
                <w:szCs w:val="22"/>
              </w:rPr>
              <w:t xml:space="preserve">unduszy </w:t>
            </w:r>
            <w:r w:rsidR="007E78B4" w:rsidRPr="0099520C">
              <w:rPr>
                <w:rFonts w:ascii="Arial" w:hAnsi="Arial" w:cs="Arial"/>
                <w:color w:val="000000" w:themeColor="text1"/>
                <w:sz w:val="22"/>
                <w:szCs w:val="22"/>
              </w:rPr>
              <w:t>E</w:t>
            </w:r>
            <w:r w:rsidR="00BD3193" w:rsidRPr="0099520C">
              <w:rPr>
                <w:rFonts w:ascii="Arial" w:hAnsi="Arial" w:cs="Arial"/>
                <w:color w:val="000000" w:themeColor="text1"/>
                <w:sz w:val="22"/>
                <w:szCs w:val="22"/>
              </w:rPr>
              <w:t xml:space="preserve">uropejskich wskazanych w Umowie Partnerstwa </w:t>
            </w:r>
            <w:r w:rsidRPr="0099520C">
              <w:rPr>
                <w:rFonts w:ascii="Arial" w:hAnsi="Arial" w:cs="Arial"/>
                <w:color w:val="000000" w:themeColor="text1"/>
                <w:sz w:val="22"/>
                <w:szCs w:val="22"/>
              </w:rPr>
              <w:t>(zgodnie z Linią demarkacyjną).</w:t>
            </w:r>
          </w:p>
        </w:tc>
        <w:tc>
          <w:tcPr>
            <w:tcW w:w="1701" w:type="dxa"/>
          </w:tcPr>
          <w:p w14:paraId="0288F694" w14:textId="5B11848B"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Uwaga! Finansowanie inwestycji </w:t>
            </w:r>
            <w:r w:rsidR="00FF5524">
              <w:rPr>
                <w:rFonts w:ascii="Arial" w:hAnsi="Arial" w:cs="Arial"/>
                <w:color w:val="000000" w:themeColor="text1"/>
                <w:sz w:val="22"/>
                <w:szCs w:val="22"/>
              </w:rPr>
              <w:br/>
            </w:r>
            <w:r w:rsidRPr="0099520C">
              <w:rPr>
                <w:rFonts w:ascii="Arial" w:hAnsi="Arial" w:cs="Arial"/>
                <w:color w:val="000000" w:themeColor="text1"/>
                <w:sz w:val="22"/>
                <w:szCs w:val="22"/>
              </w:rPr>
              <w:t xml:space="preserve">o analogicznym charakterze jak wskazane powyżej zgodnie </w:t>
            </w:r>
            <w:r w:rsidR="00FF5524">
              <w:rPr>
                <w:rFonts w:ascii="Arial" w:hAnsi="Arial" w:cs="Arial"/>
                <w:color w:val="000000" w:themeColor="text1"/>
                <w:sz w:val="22"/>
                <w:szCs w:val="22"/>
              </w:rPr>
              <w:br/>
            </w:r>
            <w:r w:rsidRPr="0099520C">
              <w:rPr>
                <w:rFonts w:ascii="Arial" w:hAnsi="Arial" w:cs="Arial"/>
                <w:color w:val="000000" w:themeColor="text1"/>
                <w:sz w:val="22"/>
                <w:szCs w:val="22"/>
              </w:rPr>
              <w:t xml:space="preserve">z zasadami przyjętymi </w:t>
            </w:r>
            <w:r w:rsidR="00FF5524">
              <w:rPr>
                <w:rFonts w:ascii="Arial" w:hAnsi="Arial" w:cs="Arial"/>
                <w:color w:val="000000" w:themeColor="text1"/>
                <w:sz w:val="22"/>
                <w:szCs w:val="22"/>
              </w:rPr>
              <w:br/>
            </w:r>
            <w:r w:rsidRPr="0099520C">
              <w:rPr>
                <w:rFonts w:ascii="Arial" w:hAnsi="Arial" w:cs="Arial"/>
                <w:color w:val="000000" w:themeColor="text1"/>
                <w:sz w:val="22"/>
                <w:szCs w:val="22"/>
              </w:rPr>
              <w:t xml:space="preserve">i określonymi przy </w:t>
            </w:r>
            <w:r w:rsidR="00BD3193" w:rsidRPr="0099520C">
              <w:rPr>
                <w:rFonts w:ascii="Arial" w:hAnsi="Arial" w:cs="Arial"/>
                <w:color w:val="000000" w:themeColor="text1"/>
                <w:sz w:val="22"/>
                <w:szCs w:val="22"/>
              </w:rPr>
              <w:t>c</w:t>
            </w:r>
            <w:r w:rsidRPr="0099520C">
              <w:rPr>
                <w:rFonts w:ascii="Arial" w:hAnsi="Arial" w:cs="Arial"/>
                <w:color w:val="000000" w:themeColor="text1"/>
                <w:sz w:val="22"/>
                <w:szCs w:val="22"/>
              </w:rPr>
              <w:t xml:space="preserve">elach </w:t>
            </w:r>
            <w:r w:rsidR="007E78B4" w:rsidRPr="0099520C">
              <w:rPr>
                <w:rFonts w:ascii="Arial" w:hAnsi="Arial" w:cs="Arial"/>
                <w:color w:val="000000" w:themeColor="text1"/>
                <w:sz w:val="22"/>
                <w:szCs w:val="22"/>
              </w:rPr>
              <w:br/>
            </w:r>
            <w:r w:rsidRPr="0099520C">
              <w:rPr>
                <w:rFonts w:ascii="Arial" w:hAnsi="Arial" w:cs="Arial"/>
                <w:color w:val="000000" w:themeColor="text1"/>
                <w:sz w:val="22"/>
                <w:szCs w:val="22"/>
              </w:rPr>
              <w:t>1. i 2.</w:t>
            </w:r>
          </w:p>
        </w:tc>
        <w:tc>
          <w:tcPr>
            <w:tcW w:w="2679" w:type="dxa"/>
          </w:tcPr>
          <w:p w14:paraId="5B684DDA" w14:textId="140E5591"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Uwaga! Finansowanie inwestycji o analogicznym charakterze jak wskazane powyżej zgodnie z zasadami przyjętymi i określonymi przy </w:t>
            </w:r>
            <w:r w:rsidR="00BD3193" w:rsidRPr="0099520C">
              <w:rPr>
                <w:rFonts w:ascii="Arial" w:hAnsi="Arial" w:cs="Arial"/>
                <w:color w:val="000000" w:themeColor="text1"/>
                <w:sz w:val="22"/>
                <w:szCs w:val="22"/>
              </w:rPr>
              <w:t>c</w:t>
            </w:r>
            <w:r w:rsidRPr="0099520C">
              <w:rPr>
                <w:rFonts w:ascii="Arial" w:hAnsi="Arial" w:cs="Arial"/>
                <w:color w:val="000000" w:themeColor="text1"/>
                <w:sz w:val="22"/>
                <w:szCs w:val="22"/>
              </w:rPr>
              <w:t xml:space="preserve">elach </w:t>
            </w:r>
            <w:r w:rsidR="007E78B4" w:rsidRPr="0099520C">
              <w:rPr>
                <w:rFonts w:ascii="Arial" w:hAnsi="Arial" w:cs="Arial"/>
                <w:color w:val="000000" w:themeColor="text1"/>
                <w:sz w:val="22"/>
                <w:szCs w:val="22"/>
              </w:rPr>
              <w:br/>
            </w:r>
            <w:r w:rsidRPr="0099520C">
              <w:rPr>
                <w:rFonts w:ascii="Arial" w:hAnsi="Arial" w:cs="Arial"/>
                <w:color w:val="000000" w:themeColor="text1"/>
                <w:sz w:val="22"/>
                <w:szCs w:val="22"/>
              </w:rPr>
              <w:t>1. i 2.</w:t>
            </w:r>
          </w:p>
        </w:tc>
        <w:tc>
          <w:tcPr>
            <w:tcW w:w="0" w:type="auto"/>
          </w:tcPr>
          <w:p w14:paraId="4B7F85FB" w14:textId="2E4EF918" w:rsidR="00560DF6" w:rsidRPr="0099520C" w:rsidRDefault="00560DF6" w:rsidP="0099520C">
            <w:pPr>
              <w:spacing w:line="276" w:lineRule="auto"/>
              <w:ind w:left="-96" w:right="-26"/>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Uwaga! Finansowanie inwestycji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o analogicznym charakterze jak wskazane powyżej zgodnie z zasadami przyjętymi i określonymi przy </w:t>
            </w:r>
            <w:r w:rsidR="00BD3193" w:rsidRPr="0099520C">
              <w:rPr>
                <w:rFonts w:ascii="Arial" w:hAnsi="Arial" w:cs="Arial"/>
                <w:color w:val="000000" w:themeColor="text1"/>
                <w:sz w:val="22"/>
                <w:szCs w:val="22"/>
              </w:rPr>
              <w:t>c</w:t>
            </w:r>
            <w:r w:rsidRPr="0099520C">
              <w:rPr>
                <w:rFonts w:ascii="Arial" w:hAnsi="Arial" w:cs="Arial"/>
                <w:color w:val="000000" w:themeColor="text1"/>
                <w:sz w:val="22"/>
                <w:szCs w:val="22"/>
              </w:rPr>
              <w:t>elach 1. i 2</w:t>
            </w:r>
            <w:r w:rsidR="007E78B4" w:rsidRPr="0099520C">
              <w:rPr>
                <w:rFonts w:ascii="Arial" w:hAnsi="Arial" w:cs="Arial"/>
                <w:color w:val="000000" w:themeColor="text1"/>
                <w:sz w:val="22"/>
                <w:szCs w:val="22"/>
              </w:rPr>
              <w:t>.</w:t>
            </w:r>
            <w:r w:rsidRPr="0099520C">
              <w:rPr>
                <w:rFonts w:ascii="Arial" w:hAnsi="Arial" w:cs="Arial"/>
                <w:color w:val="000000" w:themeColor="text1"/>
                <w:sz w:val="22"/>
                <w:szCs w:val="22"/>
              </w:rPr>
              <w:t xml:space="preserve"> Wskazane zadania dotyczące PKA oraz Stacji Rzeszów Główny są w trakcie ukończenia lub zaawansowanej realizacji (KPK/Fundusze perspektywy 2014-2020)</w:t>
            </w:r>
          </w:p>
        </w:tc>
      </w:tr>
      <w:tr w:rsidR="006F4FD2" w:rsidRPr="0099520C" w14:paraId="36EAF5B5" w14:textId="77777777" w:rsidTr="00560DF6">
        <w:tc>
          <w:tcPr>
            <w:tcW w:w="0" w:type="auto"/>
          </w:tcPr>
          <w:p w14:paraId="1F4C77A6"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3. (lotniczy)</w:t>
            </w:r>
          </w:p>
        </w:tc>
        <w:tc>
          <w:tcPr>
            <w:tcW w:w="0" w:type="auto"/>
          </w:tcPr>
          <w:p w14:paraId="5396EBDA" w14:textId="7EB21DC8"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Brak działań</w:t>
            </w:r>
          </w:p>
        </w:tc>
        <w:tc>
          <w:tcPr>
            <w:tcW w:w="2363" w:type="dxa"/>
          </w:tcPr>
          <w:p w14:paraId="5FE2EE26"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 dotyczy</w:t>
            </w:r>
          </w:p>
        </w:tc>
        <w:tc>
          <w:tcPr>
            <w:tcW w:w="2268" w:type="dxa"/>
          </w:tcPr>
          <w:p w14:paraId="1FD70D7C"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 dotyczy</w:t>
            </w:r>
          </w:p>
        </w:tc>
        <w:tc>
          <w:tcPr>
            <w:tcW w:w="1701" w:type="dxa"/>
          </w:tcPr>
          <w:p w14:paraId="182D142F"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 dotyczy</w:t>
            </w:r>
          </w:p>
        </w:tc>
        <w:tc>
          <w:tcPr>
            <w:tcW w:w="2679" w:type="dxa"/>
          </w:tcPr>
          <w:p w14:paraId="146C0327"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 dotyczy</w:t>
            </w:r>
          </w:p>
        </w:tc>
        <w:tc>
          <w:tcPr>
            <w:tcW w:w="0" w:type="auto"/>
          </w:tcPr>
          <w:p w14:paraId="0EC1ABDD"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nie dotyczy</w:t>
            </w:r>
          </w:p>
        </w:tc>
      </w:tr>
      <w:tr w:rsidR="006F4FD2" w:rsidRPr="0099520C" w14:paraId="025E8264" w14:textId="77777777" w:rsidTr="00560DF6">
        <w:tc>
          <w:tcPr>
            <w:tcW w:w="0" w:type="auto"/>
          </w:tcPr>
          <w:p w14:paraId="6EE0F1F9" w14:textId="77777777" w:rsidR="00560DF6" w:rsidRPr="0099520C" w:rsidRDefault="00560DF6" w:rsidP="0099520C">
            <w:pPr>
              <w:spacing w:line="276" w:lineRule="auto"/>
              <w:jc w:val="center"/>
              <w:rPr>
                <w:rFonts w:ascii="Arial" w:hAnsi="Arial" w:cs="Arial"/>
                <w:b/>
                <w:color w:val="000000" w:themeColor="text1"/>
                <w:sz w:val="22"/>
                <w:szCs w:val="22"/>
              </w:rPr>
            </w:pPr>
            <w:r w:rsidRPr="0099520C">
              <w:rPr>
                <w:rFonts w:ascii="Arial" w:hAnsi="Arial" w:cs="Arial"/>
                <w:b/>
                <w:color w:val="000000" w:themeColor="text1"/>
                <w:sz w:val="22"/>
                <w:szCs w:val="22"/>
              </w:rPr>
              <w:t>Cel podstawowy 3. (alternatywny)</w:t>
            </w:r>
          </w:p>
        </w:tc>
        <w:tc>
          <w:tcPr>
            <w:tcW w:w="0" w:type="auto"/>
          </w:tcPr>
          <w:p w14:paraId="46AFD9C3" w14:textId="4F4BE8F3"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 xml:space="preserve">Inwestycje dotyczące transportu alternatywnego na rzecz ROF oraz </w:t>
            </w:r>
            <w:r w:rsidR="00E73293" w:rsidRPr="0099520C">
              <w:rPr>
                <w:rFonts w:ascii="Arial" w:hAnsi="Arial" w:cs="Arial"/>
                <w:color w:val="000000" w:themeColor="text1"/>
                <w:sz w:val="22"/>
                <w:szCs w:val="22"/>
              </w:rPr>
              <w:br/>
            </w:r>
            <w:r w:rsidRPr="0099520C">
              <w:rPr>
                <w:rFonts w:ascii="Arial" w:hAnsi="Arial" w:cs="Arial"/>
                <w:color w:val="000000" w:themeColor="text1"/>
                <w:sz w:val="22"/>
                <w:szCs w:val="22"/>
              </w:rPr>
              <w:t>MOF- ów</w:t>
            </w:r>
          </w:p>
        </w:tc>
        <w:tc>
          <w:tcPr>
            <w:tcW w:w="2363" w:type="dxa"/>
          </w:tcPr>
          <w:p w14:paraId="6341F4DD" w14:textId="3F01DA35"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Uwaga!</w:t>
            </w:r>
            <w:r w:rsidRPr="0099520C">
              <w:rPr>
                <w:rFonts w:ascii="Arial" w:hAnsi="Arial" w:cs="Arial"/>
                <w:color w:val="000000" w:themeColor="text1"/>
                <w:sz w:val="22"/>
                <w:szCs w:val="22"/>
              </w:rPr>
              <w:br/>
              <w:t xml:space="preserve">UP przewiduje, że dofinansowanie otrzymać mogą projekty infrastrukturalne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i taborowe na rzecz zrównoważonej mobilności miejskiej (transport miejski) – tu projekty dużej skali i wartości, realizowane na obszarach ZIT miast wojewódzkich, uzgodnione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w kontrakcie programowym. Ponadto w ramach interwencji ponadregionalnej: projekty kompleksowe, realizowane </w:t>
            </w:r>
            <w:r w:rsidR="00D05595">
              <w:rPr>
                <w:rFonts w:ascii="Arial" w:hAnsi="Arial" w:cs="Arial"/>
                <w:color w:val="000000" w:themeColor="text1"/>
                <w:sz w:val="22"/>
                <w:szCs w:val="22"/>
              </w:rPr>
              <w:br/>
            </w:r>
            <w:r w:rsidRPr="0099520C">
              <w:rPr>
                <w:rFonts w:ascii="Arial" w:hAnsi="Arial" w:cs="Arial"/>
                <w:color w:val="000000" w:themeColor="text1"/>
                <w:sz w:val="22"/>
                <w:szCs w:val="22"/>
              </w:rPr>
              <w:t>w miastach średnich tracących funkcje społeczno-gospodarcze i ich obszarach funkcjonalnych oraz subregionalnych ośrodkach wzrostu, powyżej 50 tys. mieszkańców</w:t>
            </w:r>
          </w:p>
        </w:tc>
        <w:tc>
          <w:tcPr>
            <w:tcW w:w="2268" w:type="dxa"/>
          </w:tcPr>
          <w:p w14:paraId="745BB91E" w14:textId="456B434E"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Uwaga!</w:t>
            </w:r>
            <w:r w:rsidRPr="0099520C">
              <w:rPr>
                <w:rFonts w:ascii="Arial" w:hAnsi="Arial" w:cs="Arial"/>
                <w:color w:val="000000" w:themeColor="text1"/>
                <w:sz w:val="22"/>
                <w:szCs w:val="22"/>
              </w:rPr>
              <w:br/>
              <w:t xml:space="preserve">UP przewiduje, że dofinansowanie otrzymać mogą projekty infrastrukturalne </w:t>
            </w:r>
            <w:r w:rsidR="00D05595">
              <w:rPr>
                <w:rFonts w:ascii="Arial" w:hAnsi="Arial" w:cs="Arial"/>
                <w:color w:val="000000" w:themeColor="text1"/>
                <w:sz w:val="22"/>
                <w:szCs w:val="22"/>
              </w:rPr>
              <w:br/>
            </w:r>
            <w:r w:rsidRPr="0099520C">
              <w:rPr>
                <w:rFonts w:ascii="Arial" w:hAnsi="Arial" w:cs="Arial"/>
                <w:color w:val="000000" w:themeColor="text1"/>
                <w:sz w:val="22"/>
                <w:szCs w:val="22"/>
              </w:rPr>
              <w:t xml:space="preserve">i taborowe na rzecz zrównoważonej mobilności miejskiej (transport miejski) – tu pozostałe działania nie dotowane </w:t>
            </w:r>
            <w:r w:rsidR="00D05595">
              <w:rPr>
                <w:rFonts w:ascii="Arial" w:hAnsi="Arial" w:cs="Arial"/>
                <w:color w:val="000000" w:themeColor="text1"/>
                <w:sz w:val="22"/>
                <w:szCs w:val="22"/>
              </w:rPr>
              <w:br/>
            </w:r>
            <w:r w:rsidRPr="0099520C">
              <w:rPr>
                <w:rFonts w:ascii="Arial" w:hAnsi="Arial" w:cs="Arial"/>
                <w:color w:val="000000" w:themeColor="text1"/>
                <w:sz w:val="22"/>
                <w:szCs w:val="22"/>
              </w:rPr>
              <w:t>z programów centralnych.</w:t>
            </w:r>
          </w:p>
        </w:tc>
        <w:tc>
          <w:tcPr>
            <w:tcW w:w="1701" w:type="dxa"/>
          </w:tcPr>
          <w:p w14:paraId="7DD9B73F"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Brak wskazanych inwestycji</w:t>
            </w:r>
          </w:p>
        </w:tc>
        <w:tc>
          <w:tcPr>
            <w:tcW w:w="2679" w:type="dxa"/>
          </w:tcPr>
          <w:p w14:paraId="2457D5C3"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Brak wskazanych inwestycji</w:t>
            </w:r>
          </w:p>
        </w:tc>
        <w:tc>
          <w:tcPr>
            <w:tcW w:w="0" w:type="auto"/>
          </w:tcPr>
          <w:p w14:paraId="58B066A4" w14:textId="77777777" w:rsidR="00560DF6" w:rsidRPr="0099520C" w:rsidRDefault="00560DF6" w:rsidP="0099520C">
            <w:pPr>
              <w:spacing w:line="276" w:lineRule="auto"/>
              <w:jc w:val="center"/>
              <w:rPr>
                <w:rFonts w:ascii="Arial" w:hAnsi="Arial" w:cs="Arial"/>
                <w:color w:val="000000" w:themeColor="text1"/>
                <w:sz w:val="22"/>
                <w:szCs w:val="22"/>
              </w:rPr>
            </w:pPr>
            <w:r w:rsidRPr="0099520C">
              <w:rPr>
                <w:rFonts w:ascii="Arial" w:hAnsi="Arial" w:cs="Arial"/>
                <w:color w:val="000000" w:themeColor="text1"/>
                <w:sz w:val="22"/>
                <w:szCs w:val="22"/>
              </w:rPr>
              <w:t>Brak wskazanych inwestycji</w:t>
            </w:r>
          </w:p>
        </w:tc>
      </w:tr>
    </w:tbl>
    <w:p w14:paraId="76D17C1F" w14:textId="28C88800" w:rsidR="00E02DF8" w:rsidRPr="009B78DA" w:rsidRDefault="00E02DF8" w:rsidP="00D05595">
      <w:pPr>
        <w:spacing w:before="120" w:after="120" w:line="276" w:lineRule="auto"/>
        <w:rPr>
          <w:rFonts w:ascii="Arial" w:hAnsi="Arial" w:cs="Arial"/>
          <w:color w:val="000000" w:themeColor="text1"/>
          <w:sz w:val="22"/>
          <w:szCs w:val="22"/>
        </w:rPr>
      </w:pPr>
      <w:r w:rsidRPr="009B78DA">
        <w:rPr>
          <w:rFonts w:ascii="Arial" w:hAnsi="Arial" w:cs="Arial"/>
          <w:b/>
          <w:color w:val="000000" w:themeColor="text1"/>
          <w:sz w:val="22"/>
          <w:szCs w:val="22"/>
        </w:rPr>
        <w:t>*</w:t>
      </w:r>
      <w:r w:rsidRPr="009B78DA">
        <w:rPr>
          <w:rFonts w:ascii="Arial" w:hAnsi="Arial" w:cs="Arial"/>
          <w:color w:val="000000" w:themeColor="text1"/>
          <w:sz w:val="22"/>
          <w:szCs w:val="22"/>
        </w:rPr>
        <w:t xml:space="preserve"> Drogi i pasy rowerowe również będą mogły stanowić element wspieranej w ramach Celu Polityki 3 infrastruktury transportowej, uzupełniać braki </w:t>
      </w:r>
      <w:r w:rsidR="008A751A" w:rsidRPr="009B78DA">
        <w:rPr>
          <w:rFonts w:ascii="Arial" w:hAnsi="Arial" w:cs="Arial"/>
          <w:color w:val="000000" w:themeColor="text1"/>
          <w:sz w:val="22"/>
          <w:szCs w:val="22"/>
        </w:rPr>
        <w:br/>
      </w:r>
      <w:r w:rsidRPr="009B78DA">
        <w:rPr>
          <w:rFonts w:ascii="Arial" w:hAnsi="Arial" w:cs="Arial"/>
          <w:color w:val="000000" w:themeColor="text1"/>
          <w:sz w:val="22"/>
          <w:szCs w:val="22"/>
        </w:rPr>
        <w:t>w infrastrukturze dla niezmotoryzowanych wzdłuż dróg lub stanowić element integrujący różne rodzaje/formy transportu. Przy czym wsparcie w ramach CP3 dotyczyć będzie wyłącznie projektów wynikających z planów transportowych o horyzoncie czasowym do roku 2030, odpowiadających za kierunek rozwoju transportu na szczeblu krajowym/regionalnym.</w:t>
      </w:r>
    </w:p>
    <w:p w14:paraId="0A7FA6A0" w14:textId="77777777" w:rsidR="00D05595" w:rsidRDefault="00E02DF8" w:rsidP="00D0559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Należy dodać, że sposób rozdysponowywania Funduszy Europejskich przeznaczonych na inwestycje transportowe określa Umowa Partnerstwa oraz stanowiąca jej uszczegółowienie </w:t>
      </w:r>
      <w:r w:rsidRPr="009B78DA">
        <w:rPr>
          <w:rFonts w:ascii="Arial" w:hAnsi="Arial" w:cs="Arial"/>
          <w:i/>
          <w:color w:val="000000" w:themeColor="text1"/>
          <w:sz w:val="22"/>
          <w:szCs w:val="22"/>
        </w:rPr>
        <w:t>Linia demarkacyjna</w:t>
      </w:r>
      <w:r w:rsidRPr="009B78DA">
        <w:rPr>
          <w:rFonts w:ascii="Arial" w:hAnsi="Arial" w:cs="Arial"/>
          <w:color w:val="000000" w:themeColor="text1"/>
          <w:sz w:val="22"/>
          <w:szCs w:val="22"/>
        </w:rPr>
        <w:t xml:space="preserve">. Linia ustanawia podział interwencji i zasad wdrażania krajowych i regionalnych </w:t>
      </w:r>
      <w:r w:rsidR="002C49F0" w:rsidRPr="009B78DA">
        <w:rPr>
          <w:rFonts w:ascii="Arial" w:hAnsi="Arial" w:cs="Arial"/>
          <w:color w:val="000000" w:themeColor="text1"/>
          <w:sz w:val="22"/>
          <w:szCs w:val="22"/>
        </w:rPr>
        <w:t>funduszy europejskich</w:t>
      </w:r>
      <w:r w:rsidRPr="009B78DA">
        <w:rPr>
          <w:rFonts w:ascii="Arial" w:hAnsi="Arial" w:cs="Arial"/>
          <w:color w:val="000000" w:themeColor="text1"/>
          <w:sz w:val="22"/>
          <w:szCs w:val="22"/>
        </w:rPr>
        <w:t xml:space="preserve"> </w:t>
      </w:r>
      <w:r w:rsidR="002C49F0" w:rsidRPr="009B78DA">
        <w:rPr>
          <w:rFonts w:ascii="Arial" w:hAnsi="Arial" w:cs="Arial"/>
          <w:color w:val="000000" w:themeColor="text1"/>
          <w:sz w:val="22"/>
          <w:szCs w:val="22"/>
        </w:rPr>
        <w:br/>
      </w:r>
      <w:r w:rsidRPr="009B78DA">
        <w:rPr>
          <w:rFonts w:ascii="Arial" w:hAnsi="Arial" w:cs="Arial"/>
          <w:color w:val="000000" w:themeColor="text1"/>
          <w:sz w:val="22"/>
          <w:szCs w:val="22"/>
        </w:rPr>
        <w:t>w perspektywi</w:t>
      </w:r>
      <w:r w:rsidR="00D05595">
        <w:rPr>
          <w:rFonts w:ascii="Arial" w:hAnsi="Arial" w:cs="Arial"/>
          <w:color w:val="000000" w:themeColor="text1"/>
          <w:sz w:val="22"/>
          <w:szCs w:val="22"/>
        </w:rPr>
        <w:t>e finansowej na lata 2021-2027.</w:t>
      </w:r>
    </w:p>
    <w:p w14:paraId="667C6B8D" w14:textId="2EF80C18" w:rsidR="00D05595" w:rsidRDefault="00E02DF8" w:rsidP="00D0559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Wsparciu przez UE inwestycji z dziedziny transportu poświęcony jest przede wszystkim Cel Polityki 3 (CP3) pn. </w:t>
      </w:r>
      <w:r w:rsidRPr="009B78DA">
        <w:rPr>
          <w:rFonts w:ascii="Arial" w:hAnsi="Arial" w:cs="Arial"/>
          <w:i/>
          <w:color w:val="000000" w:themeColor="text1"/>
          <w:sz w:val="22"/>
          <w:szCs w:val="22"/>
        </w:rPr>
        <w:t>Lepiej połączona Europa</w:t>
      </w:r>
      <w:r w:rsidR="006B152F" w:rsidRPr="009B78DA">
        <w:rPr>
          <w:rFonts w:ascii="Arial" w:hAnsi="Arial" w:cs="Arial"/>
          <w:i/>
          <w:color w:val="000000" w:themeColor="text1"/>
          <w:sz w:val="22"/>
          <w:szCs w:val="22"/>
        </w:rPr>
        <w:t xml:space="preserve">, </w:t>
      </w:r>
      <w:r w:rsidRPr="009B78DA">
        <w:rPr>
          <w:rFonts w:ascii="Arial" w:hAnsi="Arial" w:cs="Arial"/>
          <w:color w:val="000000" w:themeColor="text1"/>
          <w:sz w:val="22"/>
          <w:szCs w:val="22"/>
        </w:rPr>
        <w:t xml:space="preserve">jednak pewną grupę przedsięwzięć w sferze transportu przewiduje się jako elementy osiągania Celu Polityki 2 (CP2): </w:t>
      </w:r>
      <w:r w:rsidRPr="009B78DA">
        <w:rPr>
          <w:rFonts w:ascii="Arial" w:hAnsi="Arial" w:cs="Arial"/>
          <w:i/>
          <w:color w:val="000000" w:themeColor="text1"/>
          <w:sz w:val="22"/>
          <w:szCs w:val="22"/>
        </w:rPr>
        <w:t>Bardziej przyjazna dla środowiska, niskoemisyjna Europa dzięki promowaniu czystej i sprawiedliwej transformacji energetyki, zielonych i niebieskich inwestycji, gospodarki o obiegu zamkniętym, przystosowania się do zmiany klimatu oraz zapobiegania ryzyku i zarządzania ryzykiem.</w:t>
      </w:r>
    </w:p>
    <w:p w14:paraId="3AA50E22" w14:textId="77777777" w:rsidR="00D05595" w:rsidRDefault="00E02DF8" w:rsidP="00D05595">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Powiązanie działań transportowych także z CP2, jest podyktowane coraz szerszą uwagą poświęcaną oddziaływaniu planowanych inwestycji transportowych n</w:t>
      </w:r>
      <w:r w:rsidR="00D05595">
        <w:rPr>
          <w:rFonts w:ascii="Arial" w:hAnsi="Arial" w:cs="Arial"/>
          <w:color w:val="000000" w:themeColor="text1"/>
          <w:sz w:val="22"/>
          <w:szCs w:val="22"/>
        </w:rPr>
        <w:t>a stan środowiska naturalnego.</w:t>
      </w:r>
    </w:p>
    <w:p w14:paraId="4D777469" w14:textId="7CF4C869" w:rsidR="003F3DF9" w:rsidRPr="009B78DA" w:rsidRDefault="00E02DF8" w:rsidP="00D05595">
      <w:pPr>
        <w:spacing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Ponadto, warto nadmienić, że w zapisach dotyczących możliwości dofinansowania projektów służących osiąganiu Celu Polityki 4 (CP4): </w:t>
      </w:r>
      <w:r w:rsidRPr="009B78DA">
        <w:rPr>
          <w:rFonts w:ascii="Arial" w:hAnsi="Arial" w:cs="Arial"/>
          <w:i/>
          <w:color w:val="000000" w:themeColor="text1"/>
          <w:sz w:val="22"/>
          <w:szCs w:val="22"/>
        </w:rPr>
        <w:t xml:space="preserve">Europa </w:t>
      </w:r>
      <w:r w:rsidR="00D05595">
        <w:rPr>
          <w:rFonts w:ascii="Arial" w:hAnsi="Arial" w:cs="Arial"/>
          <w:i/>
          <w:color w:val="000000" w:themeColor="text1"/>
          <w:sz w:val="22"/>
          <w:szCs w:val="22"/>
        </w:rPr>
        <w:br/>
      </w:r>
      <w:r w:rsidRPr="009B78DA">
        <w:rPr>
          <w:rFonts w:ascii="Arial" w:hAnsi="Arial" w:cs="Arial"/>
          <w:i/>
          <w:color w:val="000000" w:themeColor="text1"/>
          <w:sz w:val="22"/>
          <w:szCs w:val="22"/>
        </w:rPr>
        <w:t>o silniejszym wymiarze społecznym przez wdrażanie europejskiego filaru praw socjalnych</w:t>
      </w:r>
      <w:r w:rsidRPr="009B78DA">
        <w:rPr>
          <w:rFonts w:ascii="Arial" w:hAnsi="Arial" w:cs="Arial"/>
          <w:color w:val="000000" w:themeColor="text1"/>
          <w:sz w:val="22"/>
          <w:szCs w:val="22"/>
        </w:rPr>
        <w:t xml:space="preserve"> zostały także ujęte elementy związane ze sferą transportu (kontekst wykluczenia). Mając na względzie ścisłe powiązanie działań wskazanych w CP4 z zadaniami ujętymi w ramach CP2 i CP3, w PSRT WP skupiono się dodatkowo na działaniach ujętych m.in. w ramach wytyczonego </w:t>
      </w:r>
      <w:r w:rsidRPr="009B78DA">
        <w:rPr>
          <w:rFonts w:ascii="Arial" w:hAnsi="Arial" w:cs="Arial"/>
          <w:i/>
          <w:color w:val="000000" w:themeColor="text1"/>
          <w:sz w:val="22"/>
          <w:szCs w:val="22"/>
        </w:rPr>
        <w:t xml:space="preserve">Celu horyzontalnego </w:t>
      </w:r>
      <w:r w:rsidR="005F7B21" w:rsidRPr="009B78DA">
        <w:rPr>
          <w:rFonts w:ascii="Arial" w:hAnsi="Arial" w:cs="Arial"/>
          <w:i/>
          <w:color w:val="000000" w:themeColor="text1"/>
          <w:sz w:val="22"/>
          <w:szCs w:val="22"/>
        </w:rPr>
        <w:t>3. Rozwój t</w:t>
      </w:r>
      <w:r w:rsidRPr="009B78DA">
        <w:rPr>
          <w:rFonts w:ascii="Arial" w:hAnsi="Arial" w:cs="Arial"/>
          <w:i/>
          <w:color w:val="000000" w:themeColor="text1"/>
          <w:sz w:val="22"/>
          <w:szCs w:val="22"/>
        </w:rPr>
        <w:t>ransport</w:t>
      </w:r>
      <w:r w:rsidR="005F7B21" w:rsidRPr="009B78DA">
        <w:rPr>
          <w:rFonts w:ascii="Arial" w:hAnsi="Arial" w:cs="Arial"/>
          <w:i/>
          <w:color w:val="000000" w:themeColor="text1"/>
          <w:sz w:val="22"/>
          <w:szCs w:val="22"/>
        </w:rPr>
        <w:t>u</w:t>
      </w:r>
      <w:r w:rsidRPr="009B78DA">
        <w:rPr>
          <w:rFonts w:ascii="Arial" w:hAnsi="Arial" w:cs="Arial"/>
          <w:i/>
          <w:color w:val="000000" w:themeColor="text1"/>
          <w:sz w:val="22"/>
          <w:szCs w:val="22"/>
        </w:rPr>
        <w:t xml:space="preserve"> </w:t>
      </w:r>
      <w:r w:rsidR="005F7B21" w:rsidRPr="009B78DA">
        <w:rPr>
          <w:rFonts w:ascii="Arial" w:hAnsi="Arial" w:cs="Arial"/>
          <w:i/>
          <w:color w:val="000000" w:themeColor="text1"/>
          <w:sz w:val="22"/>
          <w:szCs w:val="22"/>
        </w:rPr>
        <w:t>p</w:t>
      </w:r>
      <w:r w:rsidRPr="009B78DA">
        <w:rPr>
          <w:rFonts w:ascii="Arial" w:hAnsi="Arial" w:cs="Arial"/>
          <w:i/>
          <w:color w:val="000000" w:themeColor="text1"/>
          <w:sz w:val="22"/>
          <w:szCs w:val="22"/>
        </w:rPr>
        <w:t>ubliczn</w:t>
      </w:r>
      <w:r w:rsidR="005F7B21" w:rsidRPr="009B78DA">
        <w:rPr>
          <w:rFonts w:ascii="Arial" w:hAnsi="Arial" w:cs="Arial"/>
          <w:i/>
          <w:color w:val="000000" w:themeColor="text1"/>
          <w:sz w:val="22"/>
          <w:szCs w:val="22"/>
        </w:rPr>
        <w:t>ego</w:t>
      </w:r>
      <w:r w:rsidRPr="009B78DA">
        <w:rPr>
          <w:rFonts w:ascii="Arial" w:hAnsi="Arial" w:cs="Arial"/>
          <w:i/>
          <w:color w:val="000000" w:themeColor="text1"/>
          <w:sz w:val="22"/>
          <w:szCs w:val="22"/>
        </w:rPr>
        <w:t xml:space="preserve"> </w:t>
      </w:r>
      <w:r w:rsidRPr="009B78DA">
        <w:rPr>
          <w:rFonts w:ascii="Arial" w:hAnsi="Arial" w:cs="Arial"/>
          <w:color w:val="000000" w:themeColor="text1"/>
          <w:sz w:val="22"/>
          <w:szCs w:val="22"/>
        </w:rPr>
        <w:t>- realizując tym samym odniesienie CP4 do dziedziny transportu i jednocześnie mieszcząc się tematycznie w CP2 oraz CP3.</w:t>
      </w:r>
    </w:p>
    <w:p w14:paraId="1A19D0EF" w14:textId="5C55C1A7" w:rsidR="00FB2CB0" w:rsidRPr="009B78DA" w:rsidRDefault="00FB2CB0" w:rsidP="00D05595">
      <w:pPr>
        <w:pStyle w:val="Legenda"/>
        <w:keepNext/>
        <w:rPr>
          <w:rFonts w:ascii="Arial" w:hAnsi="Arial" w:cs="Arial"/>
          <w:i w:val="0"/>
          <w:color w:val="000000" w:themeColor="text1"/>
          <w:sz w:val="22"/>
          <w:szCs w:val="22"/>
        </w:rPr>
      </w:pPr>
      <w:bookmarkStart w:id="405" w:name="_Toc146785760"/>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30</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bookmarkStart w:id="406" w:name="_Hlk92700731"/>
      <w:r w:rsidRPr="009B78DA">
        <w:rPr>
          <w:rFonts w:ascii="Arial" w:hAnsi="Arial" w:cs="Arial"/>
          <w:i w:val="0"/>
          <w:color w:val="000000" w:themeColor="text1"/>
          <w:sz w:val="22"/>
          <w:szCs w:val="22"/>
        </w:rPr>
        <w:t>Kategorie inwestycji transportowych założonych w PSRT WP, uprawnionych do dofinansowania z krajowych i regionalnych programów finansowanych z Funduszy Europejskich, dostępnych w ramach Polityki Spójności w perspektywie finansowej UE na lata 2021 – 2027 (wg Linii demarkacyjnej)</w:t>
      </w:r>
      <w:r w:rsidRPr="009B78DA">
        <w:rPr>
          <w:rStyle w:val="Odwoanieprzypisudolnego"/>
          <w:rFonts w:ascii="Arial" w:hAnsi="Arial" w:cs="Arial"/>
          <w:i w:val="0"/>
          <w:color w:val="000000" w:themeColor="text1"/>
          <w:sz w:val="22"/>
          <w:szCs w:val="22"/>
        </w:rPr>
        <w:footnoteReference w:id="46"/>
      </w:r>
      <w:r w:rsidRPr="009B78DA">
        <w:rPr>
          <w:rFonts w:ascii="Arial" w:hAnsi="Arial" w:cs="Arial"/>
          <w:i w:val="0"/>
          <w:color w:val="000000" w:themeColor="text1"/>
          <w:sz w:val="22"/>
          <w:szCs w:val="22"/>
        </w:rPr>
        <w:t>.</w:t>
      </w:r>
      <w:bookmarkEnd w:id="406"/>
      <w:bookmarkEnd w:id="405"/>
    </w:p>
    <w:tbl>
      <w:tblPr>
        <w:tblStyle w:val="Tabela-Siatka"/>
        <w:tblW w:w="15624" w:type="dxa"/>
        <w:tblLayout w:type="fixed"/>
        <w:tblLook w:val="04A0" w:firstRow="1" w:lastRow="0" w:firstColumn="1" w:lastColumn="0" w:noHBand="0" w:noVBand="1"/>
        <w:tblCaption w:val="Tabela 30 Kategorie inwestycji transportowych założonych w PSRT WP, uprawnionych do dofinansowania z krajowych i regionalnych programów finansowanych z Funduszy Europejskich, dostępnych w ramach Polityki Spójności w perspektywie finansowej UE na lata 2021 – 2027 (wg Linii demarkacyjnej)."/>
        <w:tblDescription w:val="Tabela zawiera CP i CS*, Rodzaj projektu, Poziom wparcia krajowy, Poziom wparcia regionalny, Program, Kategorie działań kierunkowych określonych w ramach celów i kierunków rozwoju regionalnego systemu transportowego PSRT WP 2030"/>
      </w:tblPr>
      <w:tblGrid>
        <w:gridCol w:w="1272"/>
        <w:gridCol w:w="3205"/>
        <w:gridCol w:w="3238"/>
        <w:gridCol w:w="3005"/>
        <w:gridCol w:w="1324"/>
        <w:gridCol w:w="3580"/>
      </w:tblGrid>
      <w:tr w:rsidR="006F4FD2" w:rsidRPr="00413976" w14:paraId="2C24BF61" w14:textId="77777777" w:rsidTr="00EB5DAA">
        <w:trPr>
          <w:tblHeader/>
        </w:trPr>
        <w:tc>
          <w:tcPr>
            <w:tcW w:w="1272" w:type="dxa"/>
            <w:shd w:val="clear" w:color="auto" w:fill="DEEAF6" w:themeFill="accent1" w:themeFillTint="33"/>
            <w:vAlign w:val="center"/>
          </w:tcPr>
          <w:p w14:paraId="11BB0E09" w14:textId="77777777" w:rsidR="008276D6" w:rsidRPr="00413976" w:rsidRDefault="008276D6" w:rsidP="00413976">
            <w:pPr>
              <w:spacing w:before="40" w:after="40" w:line="276" w:lineRule="auto"/>
              <w:jc w:val="center"/>
              <w:rPr>
                <w:rFonts w:ascii="Arial" w:hAnsi="Arial" w:cs="Arial"/>
                <w:b/>
                <w:color w:val="000000" w:themeColor="text1"/>
                <w:sz w:val="22"/>
                <w:szCs w:val="22"/>
              </w:rPr>
            </w:pPr>
            <w:r w:rsidRPr="00413976">
              <w:rPr>
                <w:rFonts w:ascii="Arial" w:hAnsi="Arial" w:cs="Arial"/>
                <w:b/>
                <w:color w:val="000000" w:themeColor="text1"/>
                <w:sz w:val="22"/>
                <w:szCs w:val="22"/>
              </w:rPr>
              <w:t>CP i CS*</w:t>
            </w:r>
          </w:p>
        </w:tc>
        <w:tc>
          <w:tcPr>
            <w:tcW w:w="3205" w:type="dxa"/>
            <w:shd w:val="clear" w:color="auto" w:fill="DEEAF6" w:themeFill="accent1" w:themeFillTint="33"/>
            <w:vAlign w:val="center"/>
          </w:tcPr>
          <w:p w14:paraId="5016194E" w14:textId="7F4902B9" w:rsidR="008276D6" w:rsidRPr="00413976" w:rsidRDefault="008276D6" w:rsidP="00413976">
            <w:pPr>
              <w:spacing w:before="40" w:after="40" w:line="276" w:lineRule="auto"/>
              <w:jc w:val="center"/>
              <w:rPr>
                <w:rFonts w:ascii="Arial" w:hAnsi="Arial" w:cs="Arial"/>
                <w:b/>
                <w:color w:val="000000" w:themeColor="text1"/>
                <w:sz w:val="22"/>
                <w:szCs w:val="22"/>
              </w:rPr>
            </w:pPr>
            <w:r w:rsidRPr="00413976">
              <w:rPr>
                <w:rFonts w:ascii="Arial" w:hAnsi="Arial" w:cs="Arial"/>
                <w:b/>
                <w:color w:val="000000" w:themeColor="text1"/>
                <w:sz w:val="22"/>
                <w:szCs w:val="22"/>
              </w:rPr>
              <w:t>Rodzaj projektu</w:t>
            </w:r>
          </w:p>
        </w:tc>
        <w:tc>
          <w:tcPr>
            <w:tcW w:w="3238" w:type="dxa"/>
            <w:shd w:val="clear" w:color="auto" w:fill="DEEAF6" w:themeFill="accent1" w:themeFillTint="33"/>
            <w:vAlign w:val="center"/>
          </w:tcPr>
          <w:p w14:paraId="7AD59B5A" w14:textId="77777777" w:rsidR="008276D6" w:rsidRPr="00413976" w:rsidRDefault="008276D6" w:rsidP="00413976">
            <w:pPr>
              <w:spacing w:before="40" w:after="40" w:line="276" w:lineRule="auto"/>
              <w:jc w:val="center"/>
              <w:rPr>
                <w:rFonts w:ascii="Arial" w:hAnsi="Arial" w:cs="Arial"/>
                <w:b/>
                <w:color w:val="000000" w:themeColor="text1"/>
                <w:sz w:val="22"/>
                <w:szCs w:val="22"/>
              </w:rPr>
            </w:pPr>
            <w:r w:rsidRPr="00413976">
              <w:rPr>
                <w:rFonts w:ascii="Arial" w:hAnsi="Arial" w:cs="Arial"/>
                <w:b/>
                <w:color w:val="000000" w:themeColor="text1"/>
                <w:sz w:val="22"/>
                <w:szCs w:val="22"/>
              </w:rPr>
              <w:t>Poziom wparcia krajowy</w:t>
            </w:r>
          </w:p>
        </w:tc>
        <w:tc>
          <w:tcPr>
            <w:tcW w:w="3005" w:type="dxa"/>
            <w:shd w:val="clear" w:color="auto" w:fill="DEEAF6" w:themeFill="accent1" w:themeFillTint="33"/>
            <w:vAlign w:val="center"/>
          </w:tcPr>
          <w:p w14:paraId="6FB5B99D" w14:textId="77777777" w:rsidR="008276D6" w:rsidRPr="00413976" w:rsidRDefault="008276D6" w:rsidP="00413976">
            <w:pPr>
              <w:spacing w:before="40" w:after="40" w:line="276" w:lineRule="auto"/>
              <w:jc w:val="center"/>
              <w:rPr>
                <w:rFonts w:ascii="Arial" w:hAnsi="Arial" w:cs="Arial"/>
                <w:b/>
                <w:color w:val="000000" w:themeColor="text1"/>
                <w:sz w:val="22"/>
                <w:szCs w:val="22"/>
              </w:rPr>
            </w:pPr>
            <w:r w:rsidRPr="00413976">
              <w:rPr>
                <w:rFonts w:ascii="Arial" w:hAnsi="Arial" w:cs="Arial"/>
                <w:b/>
                <w:color w:val="000000" w:themeColor="text1"/>
                <w:sz w:val="22"/>
                <w:szCs w:val="22"/>
              </w:rPr>
              <w:t>Poziom wparcia regionalny</w:t>
            </w:r>
          </w:p>
        </w:tc>
        <w:tc>
          <w:tcPr>
            <w:tcW w:w="1324" w:type="dxa"/>
            <w:shd w:val="clear" w:color="auto" w:fill="DEEAF6" w:themeFill="accent1" w:themeFillTint="33"/>
            <w:vAlign w:val="center"/>
          </w:tcPr>
          <w:p w14:paraId="299EA7DC" w14:textId="77777777" w:rsidR="008276D6" w:rsidRPr="00413976" w:rsidRDefault="008276D6" w:rsidP="00413976">
            <w:pPr>
              <w:spacing w:before="40" w:after="40" w:line="276" w:lineRule="auto"/>
              <w:jc w:val="center"/>
              <w:rPr>
                <w:rFonts w:ascii="Arial" w:hAnsi="Arial" w:cs="Arial"/>
                <w:b/>
                <w:color w:val="000000" w:themeColor="text1"/>
                <w:sz w:val="22"/>
                <w:szCs w:val="22"/>
              </w:rPr>
            </w:pPr>
            <w:r w:rsidRPr="00413976">
              <w:rPr>
                <w:rFonts w:ascii="Arial" w:hAnsi="Arial" w:cs="Arial"/>
                <w:b/>
                <w:color w:val="000000" w:themeColor="text1"/>
                <w:sz w:val="22"/>
                <w:szCs w:val="22"/>
              </w:rPr>
              <w:t>Program</w:t>
            </w:r>
          </w:p>
        </w:tc>
        <w:tc>
          <w:tcPr>
            <w:tcW w:w="3580" w:type="dxa"/>
            <w:shd w:val="clear" w:color="auto" w:fill="DEEAF6" w:themeFill="accent1" w:themeFillTint="33"/>
            <w:vAlign w:val="center"/>
          </w:tcPr>
          <w:p w14:paraId="469A6515" w14:textId="62D43E1A" w:rsidR="008276D6" w:rsidRPr="00413976" w:rsidRDefault="008276D6" w:rsidP="00413976">
            <w:pPr>
              <w:spacing w:before="40" w:after="40" w:line="276" w:lineRule="auto"/>
              <w:jc w:val="center"/>
              <w:rPr>
                <w:rFonts w:ascii="Arial" w:hAnsi="Arial" w:cs="Arial"/>
                <w:b/>
                <w:color w:val="000000" w:themeColor="text1"/>
                <w:sz w:val="22"/>
                <w:szCs w:val="22"/>
              </w:rPr>
            </w:pPr>
            <w:r w:rsidRPr="00413976">
              <w:rPr>
                <w:rFonts w:ascii="Arial" w:hAnsi="Arial" w:cs="Arial"/>
                <w:b/>
                <w:color w:val="000000" w:themeColor="text1"/>
                <w:sz w:val="22"/>
                <w:szCs w:val="22"/>
              </w:rPr>
              <w:t xml:space="preserve">Kategorie działań kierunkowych określonych w ramach celów </w:t>
            </w:r>
            <w:r w:rsidR="00FF5524">
              <w:rPr>
                <w:rFonts w:ascii="Arial" w:hAnsi="Arial" w:cs="Arial"/>
                <w:b/>
                <w:color w:val="000000" w:themeColor="text1"/>
                <w:sz w:val="22"/>
                <w:szCs w:val="22"/>
              </w:rPr>
              <w:br/>
            </w:r>
            <w:r w:rsidRPr="00413976">
              <w:rPr>
                <w:rFonts w:ascii="Arial" w:hAnsi="Arial" w:cs="Arial"/>
                <w:b/>
                <w:color w:val="000000" w:themeColor="text1"/>
                <w:sz w:val="22"/>
                <w:szCs w:val="22"/>
              </w:rPr>
              <w:t>i kierunków rozwoju regionalnego systemu transportowego PSRT WP</w:t>
            </w:r>
          </w:p>
        </w:tc>
      </w:tr>
      <w:tr w:rsidR="006F4FD2" w:rsidRPr="00413976" w14:paraId="59369733" w14:textId="77777777" w:rsidTr="008276D6">
        <w:tc>
          <w:tcPr>
            <w:tcW w:w="1272" w:type="dxa"/>
          </w:tcPr>
          <w:p w14:paraId="7E8A4210"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2, viii</w:t>
            </w:r>
          </w:p>
        </w:tc>
        <w:tc>
          <w:tcPr>
            <w:tcW w:w="3205" w:type="dxa"/>
          </w:tcPr>
          <w:p w14:paraId="1915609E" w14:textId="4A16AC13"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Projekty infrastrukturalne </w:t>
            </w:r>
            <w:r w:rsidR="00FF5524">
              <w:rPr>
                <w:rFonts w:ascii="Arial" w:hAnsi="Arial" w:cs="Arial"/>
                <w:color w:val="000000" w:themeColor="text1"/>
                <w:sz w:val="22"/>
                <w:szCs w:val="22"/>
              </w:rPr>
              <w:br/>
            </w:r>
            <w:r w:rsidRPr="00413976">
              <w:rPr>
                <w:rFonts w:ascii="Arial" w:hAnsi="Arial" w:cs="Arial"/>
                <w:color w:val="000000" w:themeColor="text1"/>
                <w:sz w:val="22"/>
                <w:szCs w:val="22"/>
              </w:rPr>
              <w:t>i taborowe na rzecz zrównoważonej mobilności miejskiej (transport miejski)</w:t>
            </w:r>
          </w:p>
        </w:tc>
        <w:tc>
          <w:tcPr>
            <w:tcW w:w="3238" w:type="dxa"/>
          </w:tcPr>
          <w:p w14:paraId="64284A2A" w14:textId="05DD746D"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Projekty dużej skali i wartości, realizowane na obszarach ZIT miast wojewódzkich, uzgodnione w kontrakcie programowym. Ponadto </w:t>
            </w:r>
            <w:r w:rsidR="00413976">
              <w:rPr>
                <w:rFonts w:ascii="Arial" w:hAnsi="Arial" w:cs="Arial"/>
                <w:color w:val="000000" w:themeColor="text1"/>
                <w:sz w:val="22"/>
                <w:szCs w:val="22"/>
              </w:rPr>
              <w:br/>
            </w:r>
            <w:r w:rsidRPr="00413976">
              <w:rPr>
                <w:rFonts w:ascii="Arial" w:hAnsi="Arial" w:cs="Arial"/>
                <w:color w:val="000000" w:themeColor="text1"/>
                <w:sz w:val="22"/>
                <w:szCs w:val="22"/>
              </w:rPr>
              <w:t>w ramach interwencji ponadregionalnej: projekty kompleksowe, realizowane w miastach średnich tracących funkcje społeczno-gospodarcze i ich obszarach funkcjonalnych oraz subregionalnych ośrodkach wzrostu, powyżej 50 tys. mieszkańców</w:t>
            </w:r>
          </w:p>
        </w:tc>
        <w:tc>
          <w:tcPr>
            <w:tcW w:w="3005" w:type="dxa"/>
          </w:tcPr>
          <w:p w14:paraId="78B21302"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Pozostałe działania</w:t>
            </w:r>
          </w:p>
        </w:tc>
        <w:tc>
          <w:tcPr>
            <w:tcW w:w="1324" w:type="dxa"/>
          </w:tcPr>
          <w:p w14:paraId="62902730" w14:textId="320E9979"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 xml:space="preserve">IKS/ </w:t>
            </w:r>
            <w:r w:rsidR="008177E4" w:rsidRPr="00413976">
              <w:rPr>
                <w:rFonts w:ascii="Arial" w:hAnsi="Arial" w:cs="Arial"/>
                <w:color w:val="000000" w:themeColor="text1"/>
                <w:sz w:val="22"/>
                <w:szCs w:val="22"/>
              </w:rPr>
              <w:t>FEPW</w:t>
            </w:r>
            <w:r w:rsidR="000C162E" w:rsidRPr="00413976">
              <w:rPr>
                <w:rFonts w:ascii="Arial" w:hAnsi="Arial" w:cs="Arial"/>
                <w:color w:val="000000" w:themeColor="text1"/>
                <w:sz w:val="22"/>
                <w:szCs w:val="22"/>
              </w:rPr>
              <w:t xml:space="preserve"> 2021-2027</w:t>
            </w:r>
          </w:p>
        </w:tc>
        <w:tc>
          <w:tcPr>
            <w:tcW w:w="3580" w:type="dxa"/>
          </w:tcPr>
          <w:p w14:paraId="4F3C5931" w14:textId="035F4630" w:rsidR="008276D6" w:rsidRPr="00413976" w:rsidRDefault="008276D6" w:rsidP="00413976">
            <w:pPr>
              <w:spacing w:line="276" w:lineRule="auto"/>
              <w:ind w:left="32" w:hanging="32"/>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w ROF oraz wybranych MOF (osiąganie założeń </w:t>
            </w:r>
            <w:r w:rsidR="00EA2000" w:rsidRPr="00413976">
              <w:rPr>
                <w:rFonts w:ascii="Arial" w:hAnsi="Arial" w:cs="Arial"/>
                <w:color w:val="000000" w:themeColor="text1"/>
                <w:sz w:val="22"/>
                <w:szCs w:val="22"/>
              </w:rPr>
              <w:t>c</w:t>
            </w:r>
            <w:r w:rsidRPr="00413976">
              <w:rPr>
                <w:rFonts w:ascii="Arial" w:hAnsi="Arial" w:cs="Arial"/>
                <w:color w:val="000000" w:themeColor="text1"/>
                <w:sz w:val="22"/>
                <w:szCs w:val="22"/>
              </w:rPr>
              <w:t>elu podstawowego 3</w:t>
            </w:r>
            <w:r w:rsidR="00EA2000"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oraz </w:t>
            </w:r>
            <w:r w:rsidR="00EA2000" w:rsidRPr="00413976">
              <w:rPr>
                <w:rFonts w:ascii="Arial" w:hAnsi="Arial" w:cs="Arial"/>
                <w:color w:val="000000" w:themeColor="text1"/>
                <w:sz w:val="22"/>
                <w:szCs w:val="22"/>
              </w:rPr>
              <w:t>c</w:t>
            </w:r>
            <w:r w:rsidRPr="00413976">
              <w:rPr>
                <w:rFonts w:ascii="Arial" w:hAnsi="Arial" w:cs="Arial"/>
                <w:color w:val="000000" w:themeColor="text1"/>
                <w:sz w:val="22"/>
                <w:szCs w:val="22"/>
              </w:rPr>
              <w:t xml:space="preserve">elów horyzontalnych: </w:t>
            </w:r>
            <w:r w:rsidR="00E45A0C" w:rsidRPr="00413976">
              <w:rPr>
                <w:rFonts w:ascii="Arial" w:hAnsi="Arial" w:cs="Arial"/>
                <w:color w:val="000000" w:themeColor="text1"/>
                <w:sz w:val="22"/>
                <w:szCs w:val="22"/>
              </w:rPr>
              <w:t xml:space="preserve">2. </w:t>
            </w:r>
            <w:r w:rsidR="00C931EF" w:rsidRPr="00413976">
              <w:rPr>
                <w:rFonts w:ascii="Arial" w:hAnsi="Arial" w:cs="Arial"/>
                <w:color w:val="000000" w:themeColor="text1"/>
                <w:sz w:val="22"/>
                <w:szCs w:val="22"/>
              </w:rPr>
              <w:t xml:space="preserve">Wzmocnienie rozwiązań multimodalnych </w:t>
            </w:r>
            <w:r w:rsidR="00FF5524">
              <w:rPr>
                <w:rFonts w:ascii="Arial" w:hAnsi="Arial" w:cs="Arial"/>
                <w:color w:val="000000" w:themeColor="text1"/>
                <w:sz w:val="22"/>
                <w:szCs w:val="22"/>
              </w:rPr>
              <w:br/>
            </w:r>
            <w:r w:rsidR="00C931EF" w:rsidRPr="00413976">
              <w:rPr>
                <w:rFonts w:ascii="Arial" w:hAnsi="Arial" w:cs="Arial"/>
                <w:color w:val="000000" w:themeColor="text1"/>
                <w:sz w:val="22"/>
                <w:szCs w:val="22"/>
              </w:rPr>
              <w:t>i</w:t>
            </w:r>
            <w:r w:rsidR="007E78B4" w:rsidRPr="00413976">
              <w:rPr>
                <w:rFonts w:ascii="Arial" w:hAnsi="Arial" w:cs="Arial"/>
                <w:color w:val="000000" w:themeColor="text1"/>
                <w:sz w:val="22"/>
                <w:szCs w:val="22"/>
              </w:rPr>
              <w:t xml:space="preserve"> </w:t>
            </w:r>
            <w:r w:rsidR="007E78B4" w:rsidRPr="00413976">
              <w:rPr>
                <w:rFonts w:ascii="Arial" w:hAnsi="Arial" w:cs="Arial"/>
                <w:color w:val="000000" w:themeColor="text1"/>
                <w:sz w:val="22"/>
                <w:szCs w:val="22"/>
              </w:rPr>
              <w:br/>
            </w:r>
            <w:r w:rsidR="00E45A0C" w:rsidRPr="00413976">
              <w:rPr>
                <w:rFonts w:ascii="Arial" w:hAnsi="Arial" w:cs="Arial"/>
                <w:color w:val="000000" w:themeColor="text1"/>
                <w:sz w:val="22"/>
                <w:szCs w:val="22"/>
              </w:rPr>
              <w:t>3. Rozwój t</w:t>
            </w:r>
            <w:r w:rsidR="00C931EF" w:rsidRPr="00413976">
              <w:rPr>
                <w:rFonts w:ascii="Arial" w:hAnsi="Arial" w:cs="Arial"/>
                <w:color w:val="000000" w:themeColor="text1"/>
                <w:sz w:val="22"/>
                <w:szCs w:val="22"/>
              </w:rPr>
              <w:t>ransport</w:t>
            </w:r>
            <w:r w:rsidR="00E45A0C" w:rsidRPr="00413976">
              <w:rPr>
                <w:rFonts w:ascii="Arial" w:hAnsi="Arial" w:cs="Arial"/>
                <w:color w:val="000000" w:themeColor="text1"/>
                <w:sz w:val="22"/>
                <w:szCs w:val="22"/>
              </w:rPr>
              <w:t>u</w:t>
            </w:r>
            <w:r w:rsidR="00C931EF" w:rsidRPr="00413976">
              <w:rPr>
                <w:rFonts w:ascii="Arial" w:hAnsi="Arial" w:cs="Arial"/>
                <w:color w:val="000000" w:themeColor="text1"/>
                <w:sz w:val="22"/>
                <w:szCs w:val="22"/>
              </w:rPr>
              <w:t xml:space="preserve"> publiczn</w:t>
            </w:r>
            <w:r w:rsidR="00E45A0C" w:rsidRPr="00413976">
              <w:rPr>
                <w:rFonts w:ascii="Arial" w:hAnsi="Arial" w:cs="Arial"/>
                <w:color w:val="000000" w:themeColor="text1"/>
                <w:sz w:val="22"/>
                <w:szCs w:val="22"/>
              </w:rPr>
              <w:t>ego</w:t>
            </w:r>
            <w:r w:rsidR="00C931EF" w:rsidRPr="00413976">
              <w:rPr>
                <w:rFonts w:ascii="Arial" w:hAnsi="Arial" w:cs="Arial"/>
                <w:color w:val="000000" w:themeColor="text1"/>
                <w:sz w:val="22"/>
                <w:szCs w:val="22"/>
              </w:rPr>
              <w:t>)</w:t>
            </w:r>
          </w:p>
        </w:tc>
      </w:tr>
      <w:tr w:rsidR="006F4FD2" w:rsidRPr="00413976" w14:paraId="64CA6D11" w14:textId="77777777" w:rsidTr="008276D6">
        <w:tc>
          <w:tcPr>
            <w:tcW w:w="1272" w:type="dxa"/>
          </w:tcPr>
          <w:p w14:paraId="1E5356AC"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2, viii</w:t>
            </w:r>
          </w:p>
        </w:tc>
        <w:tc>
          <w:tcPr>
            <w:tcW w:w="3205" w:type="dxa"/>
          </w:tcPr>
          <w:p w14:paraId="7E30C179" w14:textId="1BC81E64"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Projekty infrastrukturalne </w:t>
            </w:r>
            <w:r w:rsidR="00413976">
              <w:rPr>
                <w:rFonts w:ascii="Arial" w:hAnsi="Arial" w:cs="Arial"/>
                <w:color w:val="000000" w:themeColor="text1"/>
                <w:sz w:val="22"/>
                <w:szCs w:val="22"/>
              </w:rPr>
              <w:br/>
            </w:r>
            <w:r w:rsidRPr="00413976">
              <w:rPr>
                <w:rFonts w:ascii="Arial" w:hAnsi="Arial" w:cs="Arial"/>
                <w:color w:val="000000" w:themeColor="text1"/>
                <w:sz w:val="22"/>
                <w:szCs w:val="22"/>
              </w:rPr>
              <w:t>i taborowe na rzecz zrównoważonej mobilności miejskiej (transport miejski)</w:t>
            </w:r>
          </w:p>
        </w:tc>
        <w:tc>
          <w:tcPr>
            <w:tcW w:w="3238" w:type="dxa"/>
          </w:tcPr>
          <w:p w14:paraId="2F7B399E" w14:textId="018AE53A"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Projekty dużej skali i wartości, realizowane na obszarach ZIT miast wojewódzkich, uzgodnione w kontrakcie programowym. Ponadto </w:t>
            </w:r>
            <w:r w:rsidR="00413976">
              <w:rPr>
                <w:rFonts w:ascii="Arial" w:hAnsi="Arial" w:cs="Arial"/>
                <w:color w:val="000000" w:themeColor="text1"/>
                <w:sz w:val="22"/>
                <w:szCs w:val="22"/>
              </w:rPr>
              <w:br/>
            </w:r>
            <w:r w:rsidRPr="00413976">
              <w:rPr>
                <w:rFonts w:ascii="Arial" w:hAnsi="Arial" w:cs="Arial"/>
                <w:color w:val="000000" w:themeColor="text1"/>
                <w:sz w:val="22"/>
                <w:szCs w:val="22"/>
              </w:rPr>
              <w:t xml:space="preserve">w ramach interwencji ponadregionalnej: projekty kompleksowe, realizowane </w:t>
            </w:r>
            <w:r w:rsidR="00413976">
              <w:rPr>
                <w:rFonts w:ascii="Arial" w:hAnsi="Arial" w:cs="Arial"/>
                <w:color w:val="000000" w:themeColor="text1"/>
                <w:sz w:val="22"/>
                <w:szCs w:val="22"/>
              </w:rPr>
              <w:br/>
            </w:r>
            <w:r w:rsidRPr="00413976">
              <w:rPr>
                <w:rFonts w:ascii="Arial" w:hAnsi="Arial" w:cs="Arial"/>
                <w:color w:val="000000" w:themeColor="text1"/>
                <w:sz w:val="22"/>
                <w:szCs w:val="22"/>
              </w:rPr>
              <w:t>w miastach średnich tracących funkcje społeczno-gospodarcze i ich obszarach funkcjonalnych oraz subregionalnych ośrodkach wzrostu, powyżej 50 tys. mieszkańców</w:t>
            </w:r>
          </w:p>
        </w:tc>
        <w:tc>
          <w:tcPr>
            <w:tcW w:w="3005" w:type="dxa"/>
          </w:tcPr>
          <w:p w14:paraId="255E2337"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Pozostałe działania</w:t>
            </w:r>
          </w:p>
        </w:tc>
        <w:tc>
          <w:tcPr>
            <w:tcW w:w="1324" w:type="dxa"/>
          </w:tcPr>
          <w:p w14:paraId="2779AD07" w14:textId="00117591"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01EFBA4A" w14:textId="779A2818"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w ROF oraz MOF nie kwalifikujące się do wsparcia FE na poziomie krajowym (osiąganie założeń obecnych w ramach </w:t>
            </w:r>
            <w:r w:rsidR="00EA2000" w:rsidRPr="00413976">
              <w:rPr>
                <w:rFonts w:ascii="Arial" w:hAnsi="Arial" w:cs="Arial"/>
                <w:color w:val="000000" w:themeColor="text1"/>
                <w:sz w:val="22"/>
                <w:szCs w:val="22"/>
              </w:rPr>
              <w:t>c</w:t>
            </w:r>
            <w:r w:rsidRPr="00413976">
              <w:rPr>
                <w:rFonts w:ascii="Arial" w:hAnsi="Arial" w:cs="Arial"/>
                <w:color w:val="000000" w:themeColor="text1"/>
                <w:sz w:val="22"/>
                <w:szCs w:val="22"/>
              </w:rPr>
              <w:t>elu podstawowego 3</w:t>
            </w:r>
            <w:r w:rsidR="00EA2000"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oraz </w:t>
            </w:r>
            <w:r w:rsidR="00EA2000" w:rsidRPr="00413976">
              <w:rPr>
                <w:rFonts w:ascii="Arial" w:hAnsi="Arial" w:cs="Arial"/>
                <w:color w:val="000000" w:themeColor="text1"/>
                <w:sz w:val="22"/>
                <w:szCs w:val="22"/>
              </w:rPr>
              <w:t>c</w:t>
            </w:r>
            <w:r w:rsidRPr="00413976">
              <w:rPr>
                <w:rFonts w:ascii="Arial" w:hAnsi="Arial" w:cs="Arial"/>
                <w:color w:val="000000" w:themeColor="text1"/>
                <w:sz w:val="22"/>
                <w:szCs w:val="22"/>
              </w:rPr>
              <w:t xml:space="preserve">elów horyzontalnych: </w:t>
            </w:r>
            <w:r w:rsidR="00E45A0C" w:rsidRPr="00413976">
              <w:rPr>
                <w:rFonts w:ascii="Arial" w:hAnsi="Arial" w:cs="Arial"/>
                <w:color w:val="000000" w:themeColor="text1"/>
                <w:sz w:val="22"/>
                <w:szCs w:val="22"/>
              </w:rPr>
              <w:t>2. Wzmocni</w:t>
            </w:r>
            <w:r w:rsidR="00413976">
              <w:rPr>
                <w:rFonts w:ascii="Arial" w:hAnsi="Arial" w:cs="Arial"/>
                <w:color w:val="000000" w:themeColor="text1"/>
                <w:sz w:val="22"/>
                <w:szCs w:val="22"/>
              </w:rPr>
              <w:t xml:space="preserve">enie rozwiązań multimodalnych </w:t>
            </w:r>
            <w:r w:rsidR="00413976">
              <w:rPr>
                <w:rFonts w:ascii="Arial" w:hAnsi="Arial" w:cs="Arial"/>
                <w:color w:val="000000" w:themeColor="text1"/>
                <w:sz w:val="22"/>
                <w:szCs w:val="22"/>
              </w:rPr>
              <w:br/>
              <w:t xml:space="preserve">i </w:t>
            </w:r>
            <w:r w:rsidR="00E45A0C" w:rsidRPr="00413976">
              <w:rPr>
                <w:rFonts w:ascii="Arial" w:hAnsi="Arial" w:cs="Arial"/>
                <w:color w:val="000000" w:themeColor="text1"/>
                <w:sz w:val="22"/>
                <w:szCs w:val="22"/>
              </w:rPr>
              <w:t>3. Rozwój transportu publicznego)</w:t>
            </w:r>
          </w:p>
        </w:tc>
      </w:tr>
      <w:tr w:rsidR="006F4FD2" w:rsidRPr="00413976" w14:paraId="30540329" w14:textId="77777777" w:rsidTr="008276D6">
        <w:tc>
          <w:tcPr>
            <w:tcW w:w="1272" w:type="dxa"/>
          </w:tcPr>
          <w:p w14:paraId="44C70A42"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w:t>
            </w:r>
          </w:p>
        </w:tc>
        <w:tc>
          <w:tcPr>
            <w:tcW w:w="3205" w:type="dxa"/>
          </w:tcPr>
          <w:p w14:paraId="22E151BB" w14:textId="700113CE"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w zakresie transportu drogowego </w:t>
            </w:r>
            <w:r w:rsidR="00413976">
              <w:rPr>
                <w:rFonts w:ascii="Arial" w:hAnsi="Arial" w:cs="Arial"/>
                <w:color w:val="000000" w:themeColor="text1"/>
                <w:sz w:val="22"/>
                <w:szCs w:val="22"/>
              </w:rPr>
              <w:br/>
            </w:r>
            <w:r w:rsidRPr="00413976">
              <w:rPr>
                <w:rFonts w:ascii="Arial" w:hAnsi="Arial" w:cs="Arial"/>
                <w:color w:val="000000" w:themeColor="text1"/>
                <w:sz w:val="22"/>
                <w:szCs w:val="22"/>
              </w:rPr>
              <w:t>w TEN-T</w:t>
            </w:r>
          </w:p>
        </w:tc>
        <w:tc>
          <w:tcPr>
            <w:tcW w:w="3238" w:type="dxa"/>
          </w:tcPr>
          <w:p w14:paraId="39093EE9"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Inwestycje na drogach krajowych (tylko drogi GDDKiA)</w:t>
            </w:r>
          </w:p>
        </w:tc>
        <w:tc>
          <w:tcPr>
            <w:tcW w:w="3005" w:type="dxa"/>
          </w:tcPr>
          <w:p w14:paraId="32BF5187"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Brak wsparcia</w:t>
            </w:r>
          </w:p>
        </w:tc>
        <w:tc>
          <w:tcPr>
            <w:tcW w:w="1324" w:type="dxa"/>
          </w:tcPr>
          <w:p w14:paraId="70A77C8F" w14:textId="45EC63E4"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 xml:space="preserve">IKS/ </w:t>
            </w:r>
            <w:r w:rsidR="008177E4" w:rsidRPr="00413976">
              <w:rPr>
                <w:rFonts w:ascii="Arial" w:hAnsi="Arial" w:cs="Arial"/>
                <w:color w:val="000000" w:themeColor="text1"/>
                <w:sz w:val="22"/>
                <w:szCs w:val="22"/>
              </w:rPr>
              <w:t>FEPW</w:t>
            </w:r>
            <w:r w:rsidR="000C162E" w:rsidRPr="00413976">
              <w:rPr>
                <w:rFonts w:ascii="Arial" w:hAnsi="Arial" w:cs="Arial"/>
                <w:color w:val="000000" w:themeColor="text1"/>
                <w:sz w:val="22"/>
                <w:szCs w:val="22"/>
              </w:rPr>
              <w:t xml:space="preserve"> 2021-2027</w:t>
            </w:r>
          </w:p>
        </w:tc>
        <w:tc>
          <w:tcPr>
            <w:tcW w:w="3580" w:type="dxa"/>
          </w:tcPr>
          <w:p w14:paraId="646275F4" w14:textId="3DE68168"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Prace budowlane dotyczące dróg ekspresowych (osiąganie założeń obecnych w ramach </w:t>
            </w:r>
            <w:r w:rsidR="00EA2000" w:rsidRPr="00413976">
              <w:rPr>
                <w:rFonts w:ascii="Arial" w:hAnsi="Arial" w:cs="Arial"/>
                <w:color w:val="000000" w:themeColor="text1"/>
                <w:sz w:val="22"/>
                <w:szCs w:val="22"/>
              </w:rPr>
              <w:t>c</w:t>
            </w:r>
            <w:r w:rsidRPr="00413976">
              <w:rPr>
                <w:rFonts w:ascii="Arial" w:hAnsi="Arial" w:cs="Arial"/>
                <w:color w:val="000000" w:themeColor="text1"/>
                <w:sz w:val="22"/>
                <w:szCs w:val="22"/>
              </w:rPr>
              <w:t>elu podstawowego 1</w:t>
            </w:r>
            <w:r w:rsidR="00EA2000" w:rsidRPr="00413976">
              <w:rPr>
                <w:rFonts w:ascii="Arial" w:hAnsi="Arial" w:cs="Arial"/>
                <w:color w:val="000000" w:themeColor="text1"/>
                <w:sz w:val="22"/>
                <w:szCs w:val="22"/>
              </w:rPr>
              <w:t>.</w:t>
            </w:r>
            <w:r w:rsidRPr="00413976">
              <w:rPr>
                <w:rFonts w:ascii="Arial" w:hAnsi="Arial" w:cs="Arial"/>
                <w:color w:val="000000" w:themeColor="text1"/>
                <w:sz w:val="22"/>
                <w:szCs w:val="22"/>
              </w:rPr>
              <w:t>)</w:t>
            </w:r>
          </w:p>
        </w:tc>
      </w:tr>
      <w:tr w:rsidR="006F4FD2" w:rsidRPr="00413976" w14:paraId="4E56E732" w14:textId="77777777" w:rsidTr="008276D6">
        <w:tc>
          <w:tcPr>
            <w:tcW w:w="1272" w:type="dxa"/>
          </w:tcPr>
          <w:p w14:paraId="2209F67E"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w:t>
            </w:r>
          </w:p>
        </w:tc>
        <w:tc>
          <w:tcPr>
            <w:tcW w:w="3205" w:type="dxa"/>
          </w:tcPr>
          <w:p w14:paraId="7341F4E5"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Transport kolejowy w TEN-T – infrastruktura liniowa i tabor</w:t>
            </w:r>
          </w:p>
        </w:tc>
        <w:tc>
          <w:tcPr>
            <w:tcW w:w="3238" w:type="dxa"/>
          </w:tcPr>
          <w:p w14:paraId="445CED14" w14:textId="7461C609"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Infrastruktura kolejowa </w:t>
            </w:r>
            <w:r w:rsidR="00413976">
              <w:rPr>
                <w:rFonts w:ascii="Arial" w:hAnsi="Arial" w:cs="Arial"/>
                <w:color w:val="000000" w:themeColor="text1"/>
                <w:sz w:val="22"/>
                <w:szCs w:val="22"/>
              </w:rPr>
              <w:br/>
            </w:r>
            <w:r w:rsidRPr="00413976">
              <w:rPr>
                <w:rFonts w:ascii="Arial" w:hAnsi="Arial" w:cs="Arial"/>
                <w:color w:val="000000" w:themeColor="text1"/>
                <w:sz w:val="22"/>
                <w:szCs w:val="22"/>
              </w:rPr>
              <w:t>o charakterze ponadregionalnym Tabor kolejowy do przewozów o charakterze ponadregionalnym w sieci TEN-T</w:t>
            </w:r>
          </w:p>
        </w:tc>
        <w:tc>
          <w:tcPr>
            <w:tcW w:w="3005" w:type="dxa"/>
          </w:tcPr>
          <w:p w14:paraId="3BFFE3B8" w14:textId="2418FCD3"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Infrastruktura kolejowa – brak wsparcia Tabor kolejowy do przewozów o charakterze regionalnym</w:t>
            </w:r>
          </w:p>
        </w:tc>
        <w:tc>
          <w:tcPr>
            <w:tcW w:w="1324" w:type="dxa"/>
          </w:tcPr>
          <w:p w14:paraId="62CFE04F" w14:textId="3E3EA3E6"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 xml:space="preserve">IKS/ </w:t>
            </w:r>
            <w:r w:rsidR="008177E4" w:rsidRPr="00413976">
              <w:rPr>
                <w:rFonts w:ascii="Arial" w:hAnsi="Arial" w:cs="Arial"/>
                <w:color w:val="000000" w:themeColor="text1"/>
                <w:sz w:val="22"/>
                <w:szCs w:val="22"/>
              </w:rPr>
              <w:t>FEPW</w:t>
            </w:r>
            <w:r w:rsidR="000C162E" w:rsidRPr="00413976">
              <w:rPr>
                <w:rFonts w:ascii="Arial" w:hAnsi="Arial" w:cs="Arial"/>
                <w:color w:val="000000" w:themeColor="text1"/>
                <w:sz w:val="22"/>
                <w:szCs w:val="22"/>
              </w:rPr>
              <w:t xml:space="preserve"> 2021-2027</w:t>
            </w:r>
          </w:p>
        </w:tc>
        <w:tc>
          <w:tcPr>
            <w:tcW w:w="3580" w:type="dxa"/>
          </w:tcPr>
          <w:p w14:paraId="5BDD2810" w14:textId="65F73F61"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Prace dotyczące linii kolejowych na styku województw </w:t>
            </w:r>
            <w:r w:rsidR="00413976">
              <w:rPr>
                <w:rFonts w:ascii="Arial" w:hAnsi="Arial" w:cs="Arial"/>
                <w:color w:val="000000" w:themeColor="text1"/>
                <w:sz w:val="22"/>
                <w:szCs w:val="22"/>
              </w:rPr>
              <w:br/>
            </w:r>
            <w:r w:rsidRPr="00413976">
              <w:rPr>
                <w:rFonts w:ascii="Arial" w:hAnsi="Arial" w:cs="Arial"/>
                <w:color w:val="000000" w:themeColor="text1"/>
                <w:sz w:val="22"/>
                <w:szCs w:val="22"/>
              </w:rPr>
              <w:t>o charakterze ponad regionalnym w tym dokończenie Wschodniej Magistrali Kolejowej (</w:t>
            </w:r>
            <w:r w:rsidR="008177E4" w:rsidRPr="00413976">
              <w:rPr>
                <w:rFonts w:ascii="Arial" w:hAnsi="Arial" w:cs="Arial"/>
                <w:color w:val="000000" w:themeColor="text1"/>
                <w:sz w:val="22"/>
                <w:szCs w:val="22"/>
              </w:rPr>
              <w:t>FEPW</w:t>
            </w:r>
            <w:r w:rsidRPr="00413976">
              <w:rPr>
                <w:rFonts w:ascii="Arial" w:hAnsi="Arial" w:cs="Arial"/>
                <w:color w:val="000000" w:themeColor="text1"/>
                <w:sz w:val="22"/>
                <w:szCs w:val="22"/>
              </w:rPr>
              <w:t>)</w:t>
            </w:r>
            <w:r w:rsidR="006D71B8" w:rsidRPr="00413976">
              <w:rPr>
                <w:rFonts w:ascii="Arial" w:hAnsi="Arial" w:cs="Arial"/>
                <w:color w:val="000000" w:themeColor="text1"/>
                <w:sz w:val="22"/>
                <w:szCs w:val="22"/>
              </w:rPr>
              <w:t xml:space="preserve">. </w:t>
            </w:r>
            <w:r w:rsidRPr="00413976">
              <w:rPr>
                <w:rFonts w:ascii="Arial" w:hAnsi="Arial" w:cs="Arial"/>
                <w:color w:val="000000" w:themeColor="text1"/>
                <w:sz w:val="22"/>
                <w:szCs w:val="22"/>
              </w:rPr>
              <w:t>Zakup taboru kolejowego do przewozów o charakterze ponadregionalnym (osiąganie założeń obecnych w ramach celu podstawowego 1</w:t>
            </w:r>
            <w:r w:rsidR="00EA2000"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i 2</w:t>
            </w:r>
            <w:r w:rsidR="00EA2000" w:rsidRPr="00413976">
              <w:rPr>
                <w:rFonts w:ascii="Arial" w:hAnsi="Arial" w:cs="Arial"/>
                <w:color w:val="000000" w:themeColor="text1"/>
                <w:sz w:val="22"/>
                <w:szCs w:val="22"/>
              </w:rPr>
              <w:t>.</w:t>
            </w:r>
            <w:r w:rsidRPr="00413976">
              <w:rPr>
                <w:rFonts w:ascii="Arial" w:hAnsi="Arial" w:cs="Arial"/>
                <w:color w:val="000000" w:themeColor="text1"/>
                <w:sz w:val="22"/>
                <w:szCs w:val="22"/>
              </w:rPr>
              <w:t>)</w:t>
            </w:r>
          </w:p>
        </w:tc>
      </w:tr>
      <w:tr w:rsidR="006F4FD2" w:rsidRPr="00413976" w14:paraId="10C6E091" w14:textId="77777777" w:rsidTr="008276D6">
        <w:tc>
          <w:tcPr>
            <w:tcW w:w="1272" w:type="dxa"/>
          </w:tcPr>
          <w:p w14:paraId="76F04CE4"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w:t>
            </w:r>
          </w:p>
        </w:tc>
        <w:tc>
          <w:tcPr>
            <w:tcW w:w="3205" w:type="dxa"/>
          </w:tcPr>
          <w:p w14:paraId="7BC2BDF6"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Transport kolejowy w TEN-T – infrastruktura liniowa i tabor</w:t>
            </w:r>
          </w:p>
        </w:tc>
        <w:tc>
          <w:tcPr>
            <w:tcW w:w="3238" w:type="dxa"/>
          </w:tcPr>
          <w:p w14:paraId="78FE7F60" w14:textId="1F55338F"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Infrastruktura kolejowa </w:t>
            </w:r>
            <w:r w:rsidR="00413976">
              <w:rPr>
                <w:rFonts w:ascii="Arial" w:hAnsi="Arial" w:cs="Arial"/>
                <w:color w:val="000000" w:themeColor="text1"/>
                <w:sz w:val="22"/>
                <w:szCs w:val="22"/>
              </w:rPr>
              <w:br/>
            </w:r>
            <w:r w:rsidRPr="00413976">
              <w:rPr>
                <w:rFonts w:ascii="Arial" w:hAnsi="Arial" w:cs="Arial"/>
                <w:color w:val="000000" w:themeColor="text1"/>
                <w:sz w:val="22"/>
                <w:szCs w:val="22"/>
              </w:rPr>
              <w:t xml:space="preserve">o charakterze ponadregionalnym Tabor kolejowy do przewozów </w:t>
            </w:r>
            <w:r w:rsidR="00413976">
              <w:rPr>
                <w:rFonts w:ascii="Arial" w:hAnsi="Arial" w:cs="Arial"/>
                <w:color w:val="000000" w:themeColor="text1"/>
                <w:sz w:val="22"/>
                <w:szCs w:val="22"/>
              </w:rPr>
              <w:br/>
            </w:r>
            <w:r w:rsidRPr="00413976">
              <w:rPr>
                <w:rFonts w:ascii="Arial" w:hAnsi="Arial" w:cs="Arial"/>
                <w:color w:val="000000" w:themeColor="text1"/>
                <w:sz w:val="22"/>
                <w:szCs w:val="22"/>
              </w:rPr>
              <w:t>o charakterze ponadregionalnym w sieci TEN-T</w:t>
            </w:r>
          </w:p>
        </w:tc>
        <w:tc>
          <w:tcPr>
            <w:tcW w:w="3005" w:type="dxa"/>
          </w:tcPr>
          <w:p w14:paraId="56696D33" w14:textId="5FE11D0B"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Infrastruktura kolejowa – brak wsparcia Tabor kolejowy do przewozów o charakterze regionalnym</w:t>
            </w:r>
          </w:p>
        </w:tc>
        <w:tc>
          <w:tcPr>
            <w:tcW w:w="1324" w:type="dxa"/>
          </w:tcPr>
          <w:p w14:paraId="258F29F3" w14:textId="3BC593E8"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004922C0" w14:textId="6704569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Zakup taboru dla realizacji przewozów regionalnych (szynobusy itp.) (</w:t>
            </w:r>
            <w:r w:rsidR="00EA2000" w:rsidRPr="00413976">
              <w:rPr>
                <w:rFonts w:ascii="Arial" w:hAnsi="Arial" w:cs="Arial"/>
                <w:color w:val="000000" w:themeColor="text1"/>
                <w:sz w:val="22"/>
                <w:szCs w:val="22"/>
              </w:rPr>
              <w:t>o</w:t>
            </w:r>
            <w:r w:rsidRPr="00413976">
              <w:rPr>
                <w:rFonts w:ascii="Arial" w:hAnsi="Arial" w:cs="Arial"/>
                <w:color w:val="000000" w:themeColor="text1"/>
                <w:sz w:val="22"/>
                <w:szCs w:val="22"/>
              </w:rPr>
              <w:t>siąganie założeń obecnych w ramach celu podstawowego 2</w:t>
            </w:r>
            <w:r w:rsidR="00EA2000"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i 3</w:t>
            </w:r>
            <w:r w:rsidR="00EA2000" w:rsidRPr="00413976">
              <w:rPr>
                <w:rFonts w:ascii="Arial" w:hAnsi="Arial" w:cs="Arial"/>
                <w:color w:val="000000" w:themeColor="text1"/>
                <w:sz w:val="22"/>
                <w:szCs w:val="22"/>
              </w:rPr>
              <w:t>.</w:t>
            </w:r>
            <w:r w:rsidRPr="00413976">
              <w:rPr>
                <w:rFonts w:ascii="Arial" w:hAnsi="Arial" w:cs="Arial"/>
                <w:color w:val="000000" w:themeColor="text1"/>
                <w:sz w:val="22"/>
                <w:szCs w:val="22"/>
              </w:rPr>
              <w:t>)</w:t>
            </w:r>
          </w:p>
        </w:tc>
      </w:tr>
      <w:tr w:rsidR="006F4FD2" w:rsidRPr="00413976" w14:paraId="69985692" w14:textId="77777777" w:rsidTr="008276D6">
        <w:tc>
          <w:tcPr>
            <w:tcW w:w="1272" w:type="dxa"/>
          </w:tcPr>
          <w:p w14:paraId="38A1D2B9"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w:t>
            </w:r>
          </w:p>
        </w:tc>
        <w:tc>
          <w:tcPr>
            <w:tcW w:w="3205" w:type="dxa"/>
          </w:tcPr>
          <w:p w14:paraId="331DE652" w14:textId="22A7BCF5"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Transport intermodalny </w:t>
            </w:r>
            <w:r w:rsidR="00413976">
              <w:rPr>
                <w:rFonts w:ascii="Arial" w:hAnsi="Arial" w:cs="Arial"/>
                <w:color w:val="000000" w:themeColor="text1"/>
                <w:sz w:val="22"/>
                <w:szCs w:val="22"/>
              </w:rPr>
              <w:br/>
            </w:r>
            <w:r w:rsidRPr="00413976">
              <w:rPr>
                <w:rFonts w:ascii="Arial" w:hAnsi="Arial" w:cs="Arial"/>
                <w:color w:val="000000" w:themeColor="text1"/>
                <w:sz w:val="22"/>
                <w:szCs w:val="22"/>
              </w:rPr>
              <w:t>w TEN-T</w:t>
            </w:r>
          </w:p>
        </w:tc>
        <w:tc>
          <w:tcPr>
            <w:tcW w:w="3238" w:type="dxa"/>
          </w:tcPr>
          <w:p w14:paraId="1D199F0C" w14:textId="5A240623"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Wsparcie na poziomie krajowym</w:t>
            </w:r>
          </w:p>
        </w:tc>
        <w:tc>
          <w:tcPr>
            <w:tcW w:w="3005" w:type="dxa"/>
          </w:tcPr>
          <w:p w14:paraId="7AF75F3B"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Brak wsparcia</w:t>
            </w:r>
          </w:p>
        </w:tc>
        <w:tc>
          <w:tcPr>
            <w:tcW w:w="1324" w:type="dxa"/>
          </w:tcPr>
          <w:p w14:paraId="7F0D4C65" w14:textId="39593913"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IKS</w:t>
            </w:r>
            <w:r w:rsidR="000C162E" w:rsidRPr="00413976">
              <w:rPr>
                <w:rFonts w:ascii="Arial" w:hAnsi="Arial" w:cs="Arial"/>
                <w:color w:val="000000" w:themeColor="text1"/>
                <w:sz w:val="22"/>
                <w:szCs w:val="22"/>
              </w:rPr>
              <w:t xml:space="preserve"> 2021-2027</w:t>
            </w:r>
          </w:p>
        </w:tc>
        <w:tc>
          <w:tcPr>
            <w:tcW w:w="3580" w:type="dxa"/>
          </w:tcPr>
          <w:p w14:paraId="3C38C989" w14:textId="4987A2A3"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w infrastrukturę wspierającą i </w:t>
            </w:r>
            <w:r w:rsidR="00D70176" w:rsidRPr="00413976">
              <w:rPr>
                <w:rFonts w:ascii="Arial" w:hAnsi="Arial" w:cs="Arial"/>
                <w:color w:val="000000" w:themeColor="text1"/>
                <w:sz w:val="22"/>
                <w:szCs w:val="22"/>
              </w:rPr>
              <w:t xml:space="preserve">umożliwiającą </w:t>
            </w:r>
            <w:r w:rsidR="00A473AC" w:rsidRPr="00413976">
              <w:rPr>
                <w:rFonts w:ascii="Arial" w:hAnsi="Arial" w:cs="Arial"/>
                <w:color w:val="000000" w:themeColor="text1"/>
                <w:sz w:val="22"/>
                <w:szCs w:val="22"/>
              </w:rPr>
              <w:t>rozwój</w:t>
            </w:r>
            <w:r w:rsidRPr="00413976">
              <w:rPr>
                <w:rFonts w:ascii="Arial" w:hAnsi="Arial" w:cs="Arial"/>
                <w:color w:val="000000" w:themeColor="text1"/>
                <w:sz w:val="22"/>
                <w:szCs w:val="22"/>
              </w:rPr>
              <w:t xml:space="preserve"> intermodalnoś</w:t>
            </w:r>
            <w:r w:rsidR="00A473AC" w:rsidRPr="00413976">
              <w:rPr>
                <w:rFonts w:ascii="Arial" w:hAnsi="Arial" w:cs="Arial"/>
                <w:color w:val="000000" w:themeColor="text1"/>
                <w:sz w:val="22"/>
                <w:szCs w:val="22"/>
              </w:rPr>
              <w:t xml:space="preserve">ci </w:t>
            </w:r>
            <w:r w:rsidRPr="00413976">
              <w:rPr>
                <w:rFonts w:ascii="Arial" w:hAnsi="Arial" w:cs="Arial"/>
                <w:color w:val="000000" w:themeColor="text1"/>
                <w:sz w:val="22"/>
                <w:szCs w:val="22"/>
              </w:rPr>
              <w:t>w transporcie powiązaną z siecią TEN-T (</w:t>
            </w:r>
            <w:r w:rsidR="00EA2000" w:rsidRPr="00413976">
              <w:rPr>
                <w:rFonts w:ascii="Arial" w:hAnsi="Arial" w:cs="Arial"/>
                <w:color w:val="000000" w:themeColor="text1"/>
                <w:sz w:val="22"/>
                <w:szCs w:val="22"/>
              </w:rPr>
              <w:t>o</w:t>
            </w:r>
            <w:r w:rsidRPr="00413976">
              <w:rPr>
                <w:rFonts w:ascii="Arial" w:hAnsi="Arial" w:cs="Arial"/>
                <w:color w:val="000000" w:themeColor="text1"/>
                <w:sz w:val="22"/>
                <w:szCs w:val="22"/>
              </w:rPr>
              <w:t xml:space="preserve">siąganie założeń obecnych w ramach </w:t>
            </w:r>
            <w:r w:rsidR="00EA2000" w:rsidRPr="00413976">
              <w:rPr>
                <w:rFonts w:ascii="Arial" w:hAnsi="Arial" w:cs="Arial"/>
                <w:color w:val="000000" w:themeColor="text1"/>
                <w:sz w:val="22"/>
                <w:szCs w:val="22"/>
              </w:rPr>
              <w:t>c</w:t>
            </w:r>
            <w:r w:rsidRPr="00413976">
              <w:rPr>
                <w:rFonts w:ascii="Arial" w:hAnsi="Arial" w:cs="Arial"/>
                <w:color w:val="000000" w:themeColor="text1"/>
                <w:sz w:val="22"/>
                <w:szCs w:val="22"/>
              </w:rPr>
              <w:t>elu podstawowego 1</w:t>
            </w:r>
            <w:r w:rsidR="00EA2000"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oraz </w:t>
            </w:r>
            <w:r w:rsidR="00EA2000" w:rsidRPr="00413976">
              <w:rPr>
                <w:rFonts w:ascii="Arial" w:hAnsi="Arial" w:cs="Arial"/>
                <w:color w:val="000000" w:themeColor="text1"/>
                <w:sz w:val="22"/>
                <w:szCs w:val="22"/>
              </w:rPr>
              <w:t>c</w:t>
            </w:r>
            <w:r w:rsidRPr="00413976">
              <w:rPr>
                <w:rFonts w:ascii="Arial" w:hAnsi="Arial" w:cs="Arial"/>
                <w:color w:val="000000" w:themeColor="text1"/>
                <w:sz w:val="22"/>
                <w:szCs w:val="22"/>
              </w:rPr>
              <w:t xml:space="preserve">elu horyzontalnego: </w:t>
            </w:r>
            <w:r w:rsidR="00E45A0C" w:rsidRPr="00413976">
              <w:rPr>
                <w:rFonts w:ascii="Arial" w:hAnsi="Arial" w:cs="Arial"/>
                <w:color w:val="000000" w:themeColor="text1"/>
                <w:sz w:val="22"/>
                <w:szCs w:val="22"/>
              </w:rPr>
              <w:t xml:space="preserve">2. </w:t>
            </w:r>
            <w:r w:rsidR="00C931EF" w:rsidRPr="00413976">
              <w:rPr>
                <w:rFonts w:ascii="Arial" w:hAnsi="Arial" w:cs="Arial"/>
                <w:color w:val="000000" w:themeColor="text1"/>
                <w:sz w:val="22"/>
                <w:szCs w:val="22"/>
              </w:rPr>
              <w:t>Wzmocnienie rozwiązań multimodalnych)</w:t>
            </w:r>
          </w:p>
        </w:tc>
      </w:tr>
      <w:tr w:rsidR="006F4FD2" w:rsidRPr="00413976" w14:paraId="16002EA9" w14:textId="77777777" w:rsidTr="008276D6">
        <w:tc>
          <w:tcPr>
            <w:tcW w:w="1272" w:type="dxa"/>
          </w:tcPr>
          <w:p w14:paraId="143E1C06"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w:t>
            </w:r>
          </w:p>
        </w:tc>
        <w:tc>
          <w:tcPr>
            <w:tcW w:w="3205" w:type="dxa"/>
          </w:tcPr>
          <w:p w14:paraId="2DC5C4C2"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Transport lotniczy w TEN-T: - bezpieczeństwo w portach lotniczych, - zarządzanie przestrzenią lotniczą - ochrona środowiska w portach lotniczych,</w:t>
            </w:r>
          </w:p>
        </w:tc>
        <w:tc>
          <w:tcPr>
            <w:tcW w:w="3238" w:type="dxa"/>
          </w:tcPr>
          <w:p w14:paraId="171A1142" w14:textId="330C5012"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Wsparcie na poziomie krajowym</w:t>
            </w:r>
          </w:p>
        </w:tc>
        <w:tc>
          <w:tcPr>
            <w:tcW w:w="3005" w:type="dxa"/>
          </w:tcPr>
          <w:p w14:paraId="5E14CF17"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Brak wsparcia</w:t>
            </w:r>
          </w:p>
        </w:tc>
        <w:tc>
          <w:tcPr>
            <w:tcW w:w="1324" w:type="dxa"/>
          </w:tcPr>
          <w:p w14:paraId="5F599572" w14:textId="307A408F"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 xml:space="preserve">IKS/ </w:t>
            </w:r>
            <w:r w:rsidR="007606BF" w:rsidRPr="00413976">
              <w:rPr>
                <w:rFonts w:ascii="Arial" w:hAnsi="Arial" w:cs="Arial"/>
                <w:color w:val="000000" w:themeColor="text1"/>
                <w:sz w:val="22"/>
                <w:szCs w:val="22"/>
              </w:rPr>
              <w:t>FEPW</w:t>
            </w:r>
            <w:r w:rsidR="000C162E" w:rsidRPr="00413976">
              <w:rPr>
                <w:rFonts w:ascii="Arial" w:hAnsi="Arial" w:cs="Arial"/>
                <w:color w:val="000000" w:themeColor="text1"/>
                <w:sz w:val="22"/>
                <w:szCs w:val="22"/>
              </w:rPr>
              <w:t xml:space="preserve"> 2021-2027</w:t>
            </w:r>
          </w:p>
        </w:tc>
        <w:tc>
          <w:tcPr>
            <w:tcW w:w="3580" w:type="dxa"/>
          </w:tcPr>
          <w:p w14:paraId="0AC72C6E" w14:textId="33B9CF32"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na lotnisku Rzeszów-Jasionka w zakresie bezpieczeństwa, zarządzania przestrzenią oraz ochrony środowiska (osiąganie założeń </w:t>
            </w:r>
            <w:r w:rsidR="00EA2000" w:rsidRPr="00413976">
              <w:rPr>
                <w:rFonts w:ascii="Arial" w:hAnsi="Arial" w:cs="Arial"/>
                <w:color w:val="000000" w:themeColor="text1"/>
                <w:sz w:val="22"/>
                <w:szCs w:val="22"/>
              </w:rPr>
              <w:t>c</w:t>
            </w:r>
            <w:r w:rsidRPr="00413976">
              <w:rPr>
                <w:rFonts w:ascii="Arial" w:hAnsi="Arial" w:cs="Arial"/>
                <w:color w:val="000000" w:themeColor="text1"/>
                <w:sz w:val="22"/>
                <w:szCs w:val="22"/>
              </w:rPr>
              <w:t>elu podstawowego 1</w:t>
            </w:r>
            <w:r w:rsidR="00EA2000"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oraz </w:t>
            </w:r>
            <w:r w:rsidR="00EA2000" w:rsidRPr="00413976">
              <w:rPr>
                <w:rFonts w:ascii="Arial" w:hAnsi="Arial" w:cs="Arial"/>
                <w:color w:val="000000" w:themeColor="text1"/>
                <w:sz w:val="22"/>
                <w:szCs w:val="22"/>
              </w:rPr>
              <w:t>c</w:t>
            </w:r>
            <w:r w:rsidRPr="00413976">
              <w:rPr>
                <w:rFonts w:ascii="Arial" w:hAnsi="Arial" w:cs="Arial"/>
                <w:color w:val="000000" w:themeColor="text1"/>
                <w:sz w:val="22"/>
                <w:szCs w:val="22"/>
              </w:rPr>
              <w:t xml:space="preserve">elów horyzontalnych: </w:t>
            </w:r>
            <w:r w:rsidR="00E45A0C" w:rsidRPr="00413976">
              <w:rPr>
                <w:rFonts w:ascii="Arial" w:hAnsi="Arial" w:cs="Arial"/>
                <w:color w:val="000000" w:themeColor="text1"/>
                <w:sz w:val="22"/>
                <w:szCs w:val="22"/>
              </w:rPr>
              <w:br/>
              <w:t xml:space="preserve">1. </w:t>
            </w:r>
            <w:r w:rsidR="00C931EF" w:rsidRPr="00413976">
              <w:rPr>
                <w:rFonts w:ascii="Arial" w:hAnsi="Arial" w:cs="Arial"/>
                <w:color w:val="000000" w:themeColor="text1"/>
                <w:sz w:val="22"/>
                <w:szCs w:val="22"/>
              </w:rPr>
              <w:t>Ograniczenie negatywnego oddziaływania sektora transportu na klimat oraz na re</w:t>
            </w:r>
            <w:r w:rsidR="00413976">
              <w:rPr>
                <w:rFonts w:ascii="Arial" w:hAnsi="Arial" w:cs="Arial"/>
                <w:color w:val="000000" w:themeColor="text1"/>
                <w:sz w:val="22"/>
                <w:szCs w:val="22"/>
              </w:rPr>
              <w:t xml:space="preserve">gionalne środowisko naturalne </w:t>
            </w:r>
            <w:r w:rsidR="00413976">
              <w:rPr>
                <w:rFonts w:ascii="Arial" w:hAnsi="Arial" w:cs="Arial"/>
                <w:color w:val="000000" w:themeColor="text1"/>
                <w:sz w:val="22"/>
                <w:szCs w:val="22"/>
              </w:rPr>
              <w:br/>
              <w:t xml:space="preserve">i </w:t>
            </w:r>
            <w:r w:rsidR="00E45A0C" w:rsidRPr="00413976">
              <w:rPr>
                <w:rFonts w:ascii="Arial" w:hAnsi="Arial" w:cs="Arial"/>
                <w:color w:val="000000" w:themeColor="text1"/>
                <w:sz w:val="22"/>
                <w:szCs w:val="22"/>
              </w:rPr>
              <w:t xml:space="preserve">4. </w:t>
            </w:r>
            <w:r w:rsidR="00C931EF" w:rsidRPr="00413976">
              <w:rPr>
                <w:rFonts w:ascii="Arial" w:hAnsi="Arial" w:cs="Arial"/>
                <w:color w:val="000000" w:themeColor="text1"/>
                <w:sz w:val="22"/>
                <w:szCs w:val="22"/>
              </w:rPr>
              <w:t xml:space="preserve">Poprawa bezpieczeństwa </w:t>
            </w:r>
            <w:r w:rsidR="00413976">
              <w:rPr>
                <w:rFonts w:ascii="Arial" w:hAnsi="Arial" w:cs="Arial"/>
                <w:color w:val="000000" w:themeColor="text1"/>
                <w:sz w:val="22"/>
                <w:szCs w:val="22"/>
              </w:rPr>
              <w:br/>
            </w:r>
            <w:r w:rsidR="00C931EF" w:rsidRPr="00413976">
              <w:rPr>
                <w:rFonts w:ascii="Arial" w:hAnsi="Arial" w:cs="Arial"/>
                <w:color w:val="000000" w:themeColor="text1"/>
                <w:sz w:val="22"/>
                <w:szCs w:val="22"/>
              </w:rPr>
              <w:t>w transporcie)</w:t>
            </w:r>
          </w:p>
        </w:tc>
      </w:tr>
      <w:tr w:rsidR="006F4FD2" w:rsidRPr="00413976" w14:paraId="7ABAE550" w14:textId="77777777" w:rsidTr="008276D6">
        <w:tc>
          <w:tcPr>
            <w:tcW w:w="1272" w:type="dxa"/>
          </w:tcPr>
          <w:p w14:paraId="200AD3CD"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5A6C211C" w14:textId="7A4E86F4"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Transport drogowy poza </w:t>
            </w:r>
            <w:r w:rsidR="00413976">
              <w:rPr>
                <w:rFonts w:ascii="Arial" w:hAnsi="Arial" w:cs="Arial"/>
                <w:color w:val="000000" w:themeColor="text1"/>
                <w:sz w:val="22"/>
                <w:szCs w:val="22"/>
              </w:rPr>
              <w:br/>
            </w:r>
            <w:r w:rsidRPr="00413976">
              <w:rPr>
                <w:rFonts w:ascii="Arial" w:hAnsi="Arial" w:cs="Arial"/>
                <w:color w:val="000000" w:themeColor="text1"/>
                <w:sz w:val="22"/>
                <w:szCs w:val="22"/>
              </w:rPr>
              <w:t>TEN-T</w:t>
            </w:r>
          </w:p>
        </w:tc>
        <w:tc>
          <w:tcPr>
            <w:tcW w:w="3238" w:type="dxa"/>
          </w:tcPr>
          <w:p w14:paraId="013F0D83" w14:textId="4F22596D"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na drogach krajowych (tylko drogi GDDKiA) (Realizacja dróg wojewódzkich z obszaru Polski Wschodniej w </w:t>
            </w:r>
            <w:r w:rsidR="007606BF" w:rsidRPr="00413976">
              <w:rPr>
                <w:rFonts w:ascii="Arial" w:hAnsi="Arial" w:cs="Arial"/>
                <w:color w:val="000000" w:themeColor="text1"/>
                <w:sz w:val="22"/>
                <w:szCs w:val="22"/>
              </w:rPr>
              <w:t>FEPW</w:t>
            </w:r>
            <w:r w:rsidRPr="00413976">
              <w:rPr>
                <w:rFonts w:ascii="Arial" w:hAnsi="Arial" w:cs="Arial"/>
                <w:color w:val="000000" w:themeColor="text1"/>
                <w:sz w:val="22"/>
                <w:szCs w:val="22"/>
              </w:rPr>
              <w:t>)</w:t>
            </w:r>
          </w:p>
        </w:tc>
        <w:tc>
          <w:tcPr>
            <w:tcW w:w="3005" w:type="dxa"/>
          </w:tcPr>
          <w:p w14:paraId="6AF60200"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Drogi o kategorii niższej niż drogi krajowe</w:t>
            </w:r>
          </w:p>
        </w:tc>
        <w:tc>
          <w:tcPr>
            <w:tcW w:w="1324" w:type="dxa"/>
          </w:tcPr>
          <w:p w14:paraId="7AB7A8AB" w14:textId="1E766148"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 xml:space="preserve">IKS/ </w:t>
            </w:r>
            <w:r w:rsidR="007606BF" w:rsidRPr="00413976">
              <w:rPr>
                <w:rFonts w:ascii="Arial" w:hAnsi="Arial" w:cs="Arial"/>
                <w:color w:val="000000" w:themeColor="text1"/>
                <w:sz w:val="22"/>
                <w:szCs w:val="22"/>
              </w:rPr>
              <w:t>FEPW</w:t>
            </w:r>
            <w:r w:rsidR="000C162E" w:rsidRPr="00413976">
              <w:rPr>
                <w:rFonts w:ascii="Arial" w:hAnsi="Arial" w:cs="Arial"/>
                <w:color w:val="000000" w:themeColor="text1"/>
                <w:sz w:val="22"/>
                <w:szCs w:val="22"/>
              </w:rPr>
              <w:t xml:space="preserve"> 2021-2027</w:t>
            </w:r>
          </w:p>
        </w:tc>
        <w:tc>
          <w:tcPr>
            <w:tcW w:w="3580" w:type="dxa"/>
          </w:tcPr>
          <w:p w14:paraId="72CE9870" w14:textId="454229D2" w:rsidR="008276D6" w:rsidRPr="00413976" w:rsidRDefault="008276D6" w:rsidP="00413976">
            <w:pPr>
              <w:spacing w:line="276" w:lineRule="auto"/>
              <w:ind w:right="-77"/>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dotyczące dróg wojewódzkich i podległej infrastruktury drogowej (Osiąganie założeń obecnych w ramach </w:t>
            </w:r>
            <w:r w:rsidR="00A473AC" w:rsidRPr="00413976">
              <w:rPr>
                <w:rFonts w:ascii="Arial" w:hAnsi="Arial" w:cs="Arial"/>
                <w:color w:val="000000" w:themeColor="text1"/>
                <w:sz w:val="22"/>
                <w:szCs w:val="22"/>
              </w:rPr>
              <w:t>c</w:t>
            </w:r>
            <w:r w:rsidRPr="00413976">
              <w:rPr>
                <w:rFonts w:ascii="Arial" w:hAnsi="Arial" w:cs="Arial"/>
                <w:color w:val="000000" w:themeColor="text1"/>
                <w:sz w:val="22"/>
                <w:szCs w:val="22"/>
              </w:rPr>
              <w:t>elu podstawowego 2</w:t>
            </w:r>
            <w:r w:rsidR="00A473AC" w:rsidRPr="00413976">
              <w:rPr>
                <w:rFonts w:ascii="Arial" w:hAnsi="Arial" w:cs="Arial"/>
                <w:color w:val="000000" w:themeColor="text1"/>
                <w:sz w:val="22"/>
                <w:szCs w:val="22"/>
              </w:rPr>
              <w:t>.</w:t>
            </w:r>
            <w:r w:rsidRPr="00413976">
              <w:rPr>
                <w:rFonts w:ascii="Arial" w:hAnsi="Arial" w:cs="Arial"/>
                <w:color w:val="000000" w:themeColor="text1"/>
                <w:sz w:val="22"/>
                <w:szCs w:val="22"/>
              </w:rPr>
              <w:t>) także inwestycje w zakresie ponadlokalnych szlaków rowerowych**</w:t>
            </w:r>
          </w:p>
        </w:tc>
      </w:tr>
      <w:tr w:rsidR="006F4FD2" w:rsidRPr="00413976" w14:paraId="56ADB69E" w14:textId="77777777" w:rsidTr="008276D6">
        <w:tc>
          <w:tcPr>
            <w:tcW w:w="1272" w:type="dxa"/>
          </w:tcPr>
          <w:p w14:paraId="6EFC2C2A"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5B373C12" w14:textId="319C3E05"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Transport drogowy poza </w:t>
            </w:r>
            <w:r w:rsidR="00413976">
              <w:rPr>
                <w:rFonts w:ascii="Arial" w:hAnsi="Arial" w:cs="Arial"/>
                <w:color w:val="000000" w:themeColor="text1"/>
                <w:sz w:val="22"/>
                <w:szCs w:val="22"/>
              </w:rPr>
              <w:br/>
            </w:r>
            <w:r w:rsidRPr="00413976">
              <w:rPr>
                <w:rFonts w:ascii="Arial" w:hAnsi="Arial" w:cs="Arial"/>
                <w:color w:val="000000" w:themeColor="text1"/>
                <w:sz w:val="22"/>
                <w:szCs w:val="22"/>
              </w:rPr>
              <w:t>TEN-T</w:t>
            </w:r>
          </w:p>
        </w:tc>
        <w:tc>
          <w:tcPr>
            <w:tcW w:w="3238" w:type="dxa"/>
          </w:tcPr>
          <w:p w14:paraId="71085F45" w14:textId="5EEA2A12"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na drogach krajowych (tylko drogi GDDKiA) (Realizacja dróg wojewódzkich z obszaru Polski Wschodniej w </w:t>
            </w:r>
            <w:r w:rsidR="007606BF" w:rsidRPr="00413976">
              <w:rPr>
                <w:rFonts w:ascii="Arial" w:hAnsi="Arial" w:cs="Arial"/>
                <w:color w:val="000000" w:themeColor="text1"/>
                <w:sz w:val="22"/>
                <w:szCs w:val="22"/>
              </w:rPr>
              <w:t>FEPW</w:t>
            </w:r>
            <w:r w:rsidRPr="00413976">
              <w:rPr>
                <w:rFonts w:ascii="Arial" w:hAnsi="Arial" w:cs="Arial"/>
                <w:color w:val="000000" w:themeColor="text1"/>
                <w:sz w:val="22"/>
                <w:szCs w:val="22"/>
              </w:rPr>
              <w:t>)</w:t>
            </w:r>
          </w:p>
        </w:tc>
        <w:tc>
          <w:tcPr>
            <w:tcW w:w="3005" w:type="dxa"/>
          </w:tcPr>
          <w:p w14:paraId="693BC703"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Drogi o kategorii niższej niż drogi krajowe</w:t>
            </w:r>
          </w:p>
        </w:tc>
        <w:tc>
          <w:tcPr>
            <w:tcW w:w="1324" w:type="dxa"/>
          </w:tcPr>
          <w:p w14:paraId="354E9C20" w14:textId="20C25CCB"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23C84FE4" w14:textId="380D25EB"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dotyczące dróg wojewódzkich i podległej infrastruktury drogowej, Inwestycje drogowe związane ROF-em </w:t>
            </w:r>
            <w:r w:rsidRPr="00413976">
              <w:rPr>
                <w:rFonts w:ascii="Arial" w:hAnsi="Arial" w:cs="Arial"/>
                <w:color w:val="000000" w:themeColor="text1"/>
                <w:sz w:val="22"/>
                <w:szCs w:val="22"/>
              </w:rPr>
              <w:br/>
              <w:t>i MOF-ami (</w:t>
            </w:r>
            <w:r w:rsidR="00A473AC" w:rsidRPr="00413976">
              <w:rPr>
                <w:rFonts w:ascii="Arial" w:hAnsi="Arial" w:cs="Arial"/>
                <w:color w:val="000000" w:themeColor="text1"/>
                <w:sz w:val="22"/>
                <w:szCs w:val="22"/>
              </w:rPr>
              <w:t>o</w:t>
            </w:r>
            <w:r w:rsidRPr="00413976">
              <w:rPr>
                <w:rFonts w:ascii="Arial" w:hAnsi="Arial" w:cs="Arial"/>
                <w:color w:val="000000" w:themeColor="text1"/>
                <w:sz w:val="22"/>
                <w:szCs w:val="22"/>
              </w:rPr>
              <w:t xml:space="preserve">siąganie założeń obecnych w ramach </w:t>
            </w:r>
            <w:r w:rsidR="00A473AC" w:rsidRPr="00413976">
              <w:rPr>
                <w:rFonts w:ascii="Arial" w:hAnsi="Arial" w:cs="Arial"/>
                <w:color w:val="000000" w:themeColor="text1"/>
                <w:sz w:val="22"/>
                <w:szCs w:val="22"/>
              </w:rPr>
              <w:t>c</w:t>
            </w:r>
            <w:r w:rsidRPr="00413976">
              <w:rPr>
                <w:rFonts w:ascii="Arial" w:hAnsi="Arial" w:cs="Arial"/>
                <w:color w:val="000000" w:themeColor="text1"/>
                <w:sz w:val="22"/>
                <w:szCs w:val="22"/>
              </w:rPr>
              <w:t>elów podstawowych 2</w:t>
            </w:r>
            <w:r w:rsidR="00A473AC"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i 3</w:t>
            </w:r>
            <w:r w:rsidR="00A473AC" w:rsidRPr="00413976">
              <w:rPr>
                <w:rFonts w:ascii="Arial" w:hAnsi="Arial" w:cs="Arial"/>
                <w:color w:val="000000" w:themeColor="text1"/>
                <w:sz w:val="22"/>
                <w:szCs w:val="22"/>
              </w:rPr>
              <w:t>.</w:t>
            </w:r>
            <w:r w:rsidRPr="00413976">
              <w:rPr>
                <w:rFonts w:ascii="Arial" w:hAnsi="Arial" w:cs="Arial"/>
                <w:color w:val="000000" w:themeColor="text1"/>
                <w:sz w:val="22"/>
                <w:szCs w:val="22"/>
              </w:rPr>
              <w:t>)</w:t>
            </w:r>
          </w:p>
        </w:tc>
      </w:tr>
      <w:tr w:rsidR="006F4FD2" w:rsidRPr="00413976" w14:paraId="246198F5" w14:textId="77777777" w:rsidTr="008276D6">
        <w:tc>
          <w:tcPr>
            <w:tcW w:w="1272" w:type="dxa"/>
          </w:tcPr>
          <w:p w14:paraId="6143AE9A"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7C8E36AA" w14:textId="52041790"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Transport kolejowy poza </w:t>
            </w:r>
            <w:r w:rsidR="00413976">
              <w:rPr>
                <w:rFonts w:ascii="Arial" w:hAnsi="Arial" w:cs="Arial"/>
                <w:color w:val="000000" w:themeColor="text1"/>
                <w:sz w:val="22"/>
                <w:szCs w:val="22"/>
              </w:rPr>
              <w:br/>
            </w:r>
            <w:r w:rsidRPr="00413976">
              <w:rPr>
                <w:rFonts w:ascii="Arial" w:hAnsi="Arial" w:cs="Arial"/>
                <w:color w:val="000000" w:themeColor="text1"/>
                <w:sz w:val="22"/>
                <w:szCs w:val="22"/>
              </w:rPr>
              <w:t>TEN-T</w:t>
            </w:r>
          </w:p>
        </w:tc>
        <w:tc>
          <w:tcPr>
            <w:tcW w:w="3238" w:type="dxa"/>
          </w:tcPr>
          <w:p w14:paraId="76D40719" w14:textId="2713C39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Infrastruktura kolejowa </w:t>
            </w:r>
            <w:r w:rsidR="00413976">
              <w:rPr>
                <w:rFonts w:ascii="Arial" w:hAnsi="Arial" w:cs="Arial"/>
                <w:color w:val="000000" w:themeColor="text1"/>
                <w:sz w:val="22"/>
                <w:szCs w:val="22"/>
              </w:rPr>
              <w:br/>
            </w:r>
            <w:r w:rsidRPr="00413976">
              <w:rPr>
                <w:rFonts w:ascii="Arial" w:hAnsi="Arial" w:cs="Arial"/>
                <w:color w:val="000000" w:themeColor="text1"/>
                <w:sz w:val="22"/>
                <w:szCs w:val="22"/>
              </w:rPr>
              <w:t xml:space="preserve">o charakterze ponadregionalnym; Tabor kolejowy do przewozów </w:t>
            </w:r>
            <w:r w:rsidR="00413976">
              <w:rPr>
                <w:rFonts w:ascii="Arial" w:hAnsi="Arial" w:cs="Arial"/>
                <w:color w:val="000000" w:themeColor="text1"/>
                <w:sz w:val="22"/>
                <w:szCs w:val="22"/>
              </w:rPr>
              <w:br/>
            </w:r>
            <w:r w:rsidRPr="00413976">
              <w:rPr>
                <w:rFonts w:ascii="Arial" w:hAnsi="Arial" w:cs="Arial"/>
                <w:color w:val="000000" w:themeColor="text1"/>
                <w:sz w:val="22"/>
                <w:szCs w:val="22"/>
              </w:rPr>
              <w:t>o charakterze ponadregionalnym</w:t>
            </w:r>
          </w:p>
        </w:tc>
        <w:tc>
          <w:tcPr>
            <w:tcW w:w="3005" w:type="dxa"/>
          </w:tcPr>
          <w:p w14:paraId="3F21474A"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Infrastruktura kolejowa zarządzana przez samorząd terytorialny lub podległe mu jednostki Budowa / rozbudowa bazy utrzymaniowo – naprawczej taboru kolejowego Tabor kolejowy do przewozów o charakterze regionalnym</w:t>
            </w:r>
          </w:p>
        </w:tc>
        <w:tc>
          <w:tcPr>
            <w:tcW w:w="1324" w:type="dxa"/>
          </w:tcPr>
          <w:p w14:paraId="7AB8A970" w14:textId="20C493C4"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 xml:space="preserve">IKS/ </w:t>
            </w:r>
            <w:r w:rsidR="007606BF" w:rsidRPr="00413976">
              <w:rPr>
                <w:rFonts w:ascii="Arial" w:hAnsi="Arial" w:cs="Arial"/>
                <w:color w:val="000000" w:themeColor="text1"/>
                <w:sz w:val="22"/>
                <w:szCs w:val="22"/>
              </w:rPr>
              <w:t>FEPW</w:t>
            </w:r>
            <w:r w:rsidR="000C162E" w:rsidRPr="00413976">
              <w:rPr>
                <w:rFonts w:ascii="Arial" w:hAnsi="Arial" w:cs="Arial"/>
                <w:color w:val="000000" w:themeColor="text1"/>
                <w:sz w:val="22"/>
                <w:szCs w:val="22"/>
              </w:rPr>
              <w:t xml:space="preserve"> 2021-2027</w:t>
            </w:r>
          </w:p>
        </w:tc>
        <w:tc>
          <w:tcPr>
            <w:tcW w:w="3580" w:type="dxa"/>
          </w:tcPr>
          <w:p w14:paraId="19491970" w14:textId="76EAE1EF"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dotyczące linii kolejowych o charakterze ponadregionalnym, Inwestycje </w:t>
            </w:r>
            <w:r w:rsidR="00413976">
              <w:rPr>
                <w:rFonts w:ascii="Arial" w:hAnsi="Arial" w:cs="Arial"/>
                <w:color w:val="000000" w:themeColor="text1"/>
                <w:sz w:val="22"/>
                <w:szCs w:val="22"/>
              </w:rPr>
              <w:br/>
            </w:r>
            <w:r w:rsidRPr="00413976">
              <w:rPr>
                <w:rFonts w:ascii="Arial" w:hAnsi="Arial" w:cs="Arial"/>
                <w:color w:val="000000" w:themeColor="text1"/>
                <w:sz w:val="22"/>
                <w:szCs w:val="22"/>
              </w:rPr>
              <w:t xml:space="preserve">w tabor kolejowy do przewozów </w:t>
            </w:r>
            <w:r w:rsidR="00413976">
              <w:rPr>
                <w:rFonts w:ascii="Arial" w:hAnsi="Arial" w:cs="Arial"/>
                <w:color w:val="000000" w:themeColor="text1"/>
                <w:sz w:val="22"/>
                <w:szCs w:val="22"/>
              </w:rPr>
              <w:br/>
            </w:r>
            <w:r w:rsidRPr="00413976">
              <w:rPr>
                <w:rFonts w:ascii="Arial" w:hAnsi="Arial" w:cs="Arial"/>
                <w:color w:val="000000" w:themeColor="text1"/>
                <w:sz w:val="22"/>
                <w:szCs w:val="22"/>
              </w:rPr>
              <w:t>o charakterze ponadregionalnym (</w:t>
            </w:r>
            <w:r w:rsidR="00A473AC" w:rsidRPr="00413976">
              <w:rPr>
                <w:rFonts w:ascii="Arial" w:hAnsi="Arial" w:cs="Arial"/>
                <w:color w:val="000000" w:themeColor="text1"/>
                <w:sz w:val="22"/>
                <w:szCs w:val="22"/>
              </w:rPr>
              <w:t>o</w:t>
            </w:r>
            <w:r w:rsidRPr="00413976">
              <w:rPr>
                <w:rFonts w:ascii="Arial" w:hAnsi="Arial" w:cs="Arial"/>
                <w:color w:val="000000" w:themeColor="text1"/>
                <w:sz w:val="22"/>
                <w:szCs w:val="22"/>
              </w:rPr>
              <w:t xml:space="preserve">siąganie założeń obecnych </w:t>
            </w:r>
            <w:r w:rsidR="00413976">
              <w:rPr>
                <w:rFonts w:ascii="Arial" w:hAnsi="Arial" w:cs="Arial"/>
                <w:color w:val="000000" w:themeColor="text1"/>
                <w:sz w:val="22"/>
                <w:szCs w:val="22"/>
              </w:rPr>
              <w:br/>
            </w:r>
            <w:r w:rsidRPr="00413976">
              <w:rPr>
                <w:rFonts w:ascii="Arial" w:hAnsi="Arial" w:cs="Arial"/>
                <w:color w:val="000000" w:themeColor="text1"/>
                <w:sz w:val="22"/>
                <w:szCs w:val="22"/>
              </w:rPr>
              <w:t xml:space="preserve">w ramach </w:t>
            </w:r>
            <w:r w:rsidR="00A473AC" w:rsidRPr="00413976">
              <w:rPr>
                <w:rFonts w:ascii="Arial" w:hAnsi="Arial" w:cs="Arial"/>
                <w:color w:val="000000" w:themeColor="text1"/>
                <w:sz w:val="22"/>
                <w:szCs w:val="22"/>
              </w:rPr>
              <w:t>c</w:t>
            </w:r>
            <w:r w:rsidRPr="00413976">
              <w:rPr>
                <w:rFonts w:ascii="Arial" w:hAnsi="Arial" w:cs="Arial"/>
                <w:color w:val="000000" w:themeColor="text1"/>
                <w:sz w:val="22"/>
                <w:szCs w:val="22"/>
              </w:rPr>
              <w:t>elów podstawowych 1</w:t>
            </w:r>
            <w:r w:rsidR="00A473AC"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i 2</w:t>
            </w:r>
            <w:r w:rsidR="00A473AC" w:rsidRPr="00413976">
              <w:rPr>
                <w:rFonts w:ascii="Arial" w:hAnsi="Arial" w:cs="Arial"/>
                <w:color w:val="000000" w:themeColor="text1"/>
                <w:sz w:val="22"/>
                <w:szCs w:val="22"/>
              </w:rPr>
              <w:t>.</w:t>
            </w:r>
            <w:r w:rsidRPr="00413976">
              <w:rPr>
                <w:rFonts w:ascii="Arial" w:hAnsi="Arial" w:cs="Arial"/>
                <w:color w:val="000000" w:themeColor="text1"/>
                <w:sz w:val="22"/>
                <w:szCs w:val="22"/>
              </w:rPr>
              <w:t>)</w:t>
            </w:r>
          </w:p>
        </w:tc>
      </w:tr>
      <w:tr w:rsidR="006F4FD2" w:rsidRPr="00413976" w14:paraId="3F210BAC" w14:textId="77777777" w:rsidTr="008276D6">
        <w:tc>
          <w:tcPr>
            <w:tcW w:w="1272" w:type="dxa"/>
          </w:tcPr>
          <w:p w14:paraId="4F35BC7B"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5B8C8D7A" w14:textId="2BEA8B7B"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Transport kolejowy poza </w:t>
            </w:r>
            <w:r w:rsidR="00413976">
              <w:rPr>
                <w:rFonts w:ascii="Arial" w:hAnsi="Arial" w:cs="Arial"/>
                <w:color w:val="000000" w:themeColor="text1"/>
                <w:sz w:val="22"/>
                <w:szCs w:val="22"/>
              </w:rPr>
              <w:br/>
            </w:r>
            <w:r w:rsidRPr="00413976">
              <w:rPr>
                <w:rFonts w:ascii="Arial" w:hAnsi="Arial" w:cs="Arial"/>
                <w:color w:val="000000" w:themeColor="text1"/>
                <w:sz w:val="22"/>
                <w:szCs w:val="22"/>
              </w:rPr>
              <w:t>TEN-T</w:t>
            </w:r>
          </w:p>
        </w:tc>
        <w:tc>
          <w:tcPr>
            <w:tcW w:w="3238" w:type="dxa"/>
          </w:tcPr>
          <w:p w14:paraId="3A1C7682" w14:textId="70BB0AF5"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Infrastruktura kolejowa </w:t>
            </w:r>
            <w:r w:rsidR="00413976">
              <w:rPr>
                <w:rFonts w:ascii="Arial" w:hAnsi="Arial" w:cs="Arial"/>
                <w:color w:val="000000" w:themeColor="text1"/>
                <w:sz w:val="22"/>
                <w:szCs w:val="22"/>
              </w:rPr>
              <w:br/>
            </w:r>
            <w:r w:rsidRPr="00413976">
              <w:rPr>
                <w:rFonts w:ascii="Arial" w:hAnsi="Arial" w:cs="Arial"/>
                <w:color w:val="000000" w:themeColor="text1"/>
                <w:sz w:val="22"/>
                <w:szCs w:val="22"/>
              </w:rPr>
              <w:t xml:space="preserve">o charakterze ponadregionalnym; Tabor kolejowy do przewozów </w:t>
            </w:r>
            <w:r w:rsidR="00413976">
              <w:rPr>
                <w:rFonts w:ascii="Arial" w:hAnsi="Arial" w:cs="Arial"/>
                <w:color w:val="000000" w:themeColor="text1"/>
                <w:sz w:val="22"/>
                <w:szCs w:val="22"/>
              </w:rPr>
              <w:br/>
            </w:r>
            <w:r w:rsidRPr="00413976">
              <w:rPr>
                <w:rFonts w:ascii="Arial" w:hAnsi="Arial" w:cs="Arial"/>
                <w:color w:val="000000" w:themeColor="text1"/>
                <w:sz w:val="22"/>
                <w:szCs w:val="22"/>
              </w:rPr>
              <w:t>o charakterze ponadregionalnym</w:t>
            </w:r>
          </w:p>
        </w:tc>
        <w:tc>
          <w:tcPr>
            <w:tcW w:w="3005" w:type="dxa"/>
          </w:tcPr>
          <w:p w14:paraId="70FB365C" w14:textId="52A03CBC" w:rsidR="008276D6" w:rsidRPr="00413976" w:rsidRDefault="008276D6" w:rsidP="00413976">
            <w:pPr>
              <w:spacing w:line="276" w:lineRule="auto"/>
              <w:ind w:right="-153"/>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Infrastruktura kolejowa zarządzana przez samorząd terytorialny lub podległe mu jednostki Budowa / rozbudowa bazy utrzymaniowo – naprawczej taboru kolejowego Tabor kolejowy do przewozów </w:t>
            </w:r>
            <w:r w:rsidR="00413976">
              <w:rPr>
                <w:rFonts w:ascii="Arial" w:hAnsi="Arial" w:cs="Arial"/>
                <w:color w:val="000000" w:themeColor="text1"/>
                <w:sz w:val="22"/>
                <w:szCs w:val="22"/>
              </w:rPr>
              <w:br/>
            </w:r>
            <w:r w:rsidRPr="00413976">
              <w:rPr>
                <w:rFonts w:ascii="Arial" w:hAnsi="Arial" w:cs="Arial"/>
                <w:color w:val="000000" w:themeColor="text1"/>
                <w:sz w:val="22"/>
                <w:szCs w:val="22"/>
              </w:rPr>
              <w:t>o charakterze regionalnym</w:t>
            </w:r>
          </w:p>
        </w:tc>
        <w:tc>
          <w:tcPr>
            <w:tcW w:w="1324" w:type="dxa"/>
          </w:tcPr>
          <w:p w14:paraId="70615F28" w14:textId="28FE227A"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628C658F" w14:textId="015A1BEC"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Inwestycje w infrastrukturę kolejową taką jak: linie, bazy utrzymaniowo-naprawcze, czy tabor do przewozów o charakterze regionalnym. (</w:t>
            </w:r>
            <w:r w:rsidR="00A473AC" w:rsidRPr="00413976">
              <w:rPr>
                <w:rFonts w:ascii="Arial" w:hAnsi="Arial" w:cs="Arial"/>
                <w:color w:val="000000" w:themeColor="text1"/>
                <w:sz w:val="22"/>
                <w:szCs w:val="22"/>
              </w:rPr>
              <w:t>o</w:t>
            </w:r>
            <w:r w:rsidRPr="00413976">
              <w:rPr>
                <w:rFonts w:ascii="Arial" w:hAnsi="Arial" w:cs="Arial"/>
                <w:color w:val="000000" w:themeColor="text1"/>
                <w:sz w:val="22"/>
                <w:szCs w:val="22"/>
              </w:rPr>
              <w:t xml:space="preserve">siąganie założeń obecnych w ramach </w:t>
            </w:r>
            <w:r w:rsidR="00A473AC" w:rsidRPr="00413976">
              <w:rPr>
                <w:rFonts w:ascii="Arial" w:hAnsi="Arial" w:cs="Arial"/>
                <w:color w:val="000000" w:themeColor="text1"/>
                <w:sz w:val="22"/>
                <w:szCs w:val="22"/>
              </w:rPr>
              <w:t>c</w:t>
            </w:r>
            <w:r w:rsidRPr="00413976">
              <w:rPr>
                <w:rFonts w:ascii="Arial" w:hAnsi="Arial" w:cs="Arial"/>
                <w:color w:val="000000" w:themeColor="text1"/>
                <w:sz w:val="22"/>
                <w:szCs w:val="22"/>
              </w:rPr>
              <w:t>elów podstawowych 2</w:t>
            </w:r>
            <w:r w:rsidR="00A473AC"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i 3</w:t>
            </w:r>
            <w:r w:rsidR="00A473AC" w:rsidRPr="00413976">
              <w:rPr>
                <w:rFonts w:ascii="Arial" w:hAnsi="Arial" w:cs="Arial"/>
                <w:color w:val="000000" w:themeColor="text1"/>
                <w:sz w:val="22"/>
                <w:szCs w:val="22"/>
              </w:rPr>
              <w:t>.</w:t>
            </w:r>
            <w:r w:rsidRPr="00413976">
              <w:rPr>
                <w:rFonts w:ascii="Arial" w:hAnsi="Arial" w:cs="Arial"/>
                <w:color w:val="000000" w:themeColor="text1"/>
                <w:sz w:val="22"/>
                <w:szCs w:val="22"/>
              </w:rPr>
              <w:t>)</w:t>
            </w:r>
          </w:p>
        </w:tc>
      </w:tr>
      <w:tr w:rsidR="006F4FD2" w:rsidRPr="00413976" w14:paraId="5D79FBF7" w14:textId="77777777" w:rsidTr="008276D6">
        <w:tc>
          <w:tcPr>
            <w:tcW w:w="1272" w:type="dxa"/>
          </w:tcPr>
          <w:p w14:paraId="71C98E76"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5C6B41EC"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Transport lotniczy poza TEN-T</w:t>
            </w:r>
          </w:p>
        </w:tc>
        <w:tc>
          <w:tcPr>
            <w:tcW w:w="3238" w:type="dxa"/>
          </w:tcPr>
          <w:p w14:paraId="19CCDAB8" w14:textId="7A6896D5"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Brak wsparcia</w:t>
            </w:r>
          </w:p>
        </w:tc>
        <w:tc>
          <w:tcPr>
            <w:tcW w:w="3005" w:type="dxa"/>
          </w:tcPr>
          <w:p w14:paraId="62EF9278" w14:textId="196F507C"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Lotniska poza TEN-T, - bezpieczeństwo i ochrona środowiska w portach lotniczych</w:t>
            </w:r>
          </w:p>
        </w:tc>
        <w:tc>
          <w:tcPr>
            <w:tcW w:w="1324" w:type="dxa"/>
          </w:tcPr>
          <w:p w14:paraId="1BD2E654" w14:textId="236D5D3C"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04DAEB1A" w14:textId="791451A3" w:rsidR="008276D6" w:rsidRPr="00413976" w:rsidRDefault="008276D6" w:rsidP="00413976">
            <w:pPr>
              <w:spacing w:line="276" w:lineRule="auto"/>
              <w:ind w:right="-219"/>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w zakresie bezpieczeństwa oraz ochrony środowiska dotyczące lotnisk lokalnych (osiąganie założeń obecnych w ramach </w:t>
            </w:r>
            <w:r w:rsidR="00A473AC" w:rsidRPr="00413976">
              <w:rPr>
                <w:rFonts w:ascii="Arial" w:hAnsi="Arial" w:cs="Arial"/>
                <w:color w:val="000000" w:themeColor="text1"/>
                <w:sz w:val="22"/>
                <w:szCs w:val="22"/>
              </w:rPr>
              <w:t>c</w:t>
            </w:r>
            <w:r w:rsidRPr="00413976">
              <w:rPr>
                <w:rFonts w:ascii="Arial" w:hAnsi="Arial" w:cs="Arial"/>
                <w:color w:val="000000" w:themeColor="text1"/>
                <w:sz w:val="22"/>
                <w:szCs w:val="22"/>
              </w:rPr>
              <w:t>elu podstawowego 2</w:t>
            </w:r>
            <w:r w:rsidR="00A473AC"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oraz </w:t>
            </w:r>
            <w:r w:rsidR="00A473AC" w:rsidRPr="00413976">
              <w:rPr>
                <w:rFonts w:ascii="Arial" w:hAnsi="Arial" w:cs="Arial"/>
                <w:color w:val="000000" w:themeColor="text1"/>
                <w:sz w:val="22"/>
                <w:szCs w:val="22"/>
              </w:rPr>
              <w:t>c</w:t>
            </w:r>
            <w:r w:rsidRPr="00413976">
              <w:rPr>
                <w:rFonts w:ascii="Arial" w:hAnsi="Arial" w:cs="Arial"/>
                <w:color w:val="000000" w:themeColor="text1"/>
                <w:sz w:val="22"/>
                <w:szCs w:val="22"/>
              </w:rPr>
              <w:t xml:space="preserve">elów horyzontalnych: </w:t>
            </w:r>
            <w:r w:rsidR="00E45A0C" w:rsidRPr="00413976">
              <w:rPr>
                <w:rFonts w:ascii="Arial" w:hAnsi="Arial" w:cs="Arial"/>
                <w:color w:val="000000" w:themeColor="text1"/>
                <w:sz w:val="22"/>
                <w:szCs w:val="22"/>
              </w:rPr>
              <w:br/>
              <w:t xml:space="preserve">1. </w:t>
            </w:r>
            <w:r w:rsidR="00C931EF" w:rsidRPr="00413976">
              <w:rPr>
                <w:rFonts w:ascii="Arial" w:hAnsi="Arial" w:cs="Arial"/>
                <w:color w:val="000000" w:themeColor="text1"/>
                <w:sz w:val="22"/>
                <w:szCs w:val="22"/>
              </w:rPr>
              <w:t xml:space="preserve">Ograniczenie negatywnego oddziaływania sektora transportu </w:t>
            </w:r>
            <w:r w:rsidR="00FF5524">
              <w:rPr>
                <w:rFonts w:ascii="Arial" w:hAnsi="Arial" w:cs="Arial"/>
                <w:color w:val="000000" w:themeColor="text1"/>
                <w:sz w:val="22"/>
                <w:szCs w:val="22"/>
              </w:rPr>
              <w:br/>
            </w:r>
            <w:r w:rsidR="00C931EF" w:rsidRPr="00413976">
              <w:rPr>
                <w:rFonts w:ascii="Arial" w:hAnsi="Arial" w:cs="Arial"/>
                <w:color w:val="000000" w:themeColor="text1"/>
                <w:sz w:val="22"/>
                <w:szCs w:val="22"/>
              </w:rPr>
              <w:t>na klimat oraz na regionalne środowisko naturalne i</w:t>
            </w:r>
            <w:r w:rsidR="00E45A0C" w:rsidRPr="00413976">
              <w:rPr>
                <w:rFonts w:ascii="Arial" w:hAnsi="Arial" w:cs="Arial"/>
                <w:color w:val="000000" w:themeColor="text1"/>
                <w:sz w:val="22"/>
                <w:szCs w:val="22"/>
              </w:rPr>
              <w:t xml:space="preserve"> 4. </w:t>
            </w:r>
            <w:r w:rsidR="00C931EF" w:rsidRPr="00413976">
              <w:rPr>
                <w:rFonts w:ascii="Arial" w:hAnsi="Arial" w:cs="Arial"/>
                <w:color w:val="000000" w:themeColor="text1"/>
                <w:sz w:val="22"/>
                <w:szCs w:val="22"/>
              </w:rPr>
              <w:t xml:space="preserve">Poprawa bezpieczeństwa </w:t>
            </w:r>
            <w:r w:rsidR="00E45A0C" w:rsidRPr="00413976">
              <w:rPr>
                <w:rFonts w:ascii="Arial" w:hAnsi="Arial" w:cs="Arial"/>
                <w:color w:val="000000" w:themeColor="text1"/>
                <w:sz w:val="22"/>
                <w:szCs w:val="22"/>
              </w:rPr>
              <w:br/>
            </w:r>
            <w:r w:rsidR="00C931EF" w:rsidRPr="00413976">
              <w:rPr>
                <w:rFonts w:ascii="Arial" w:hAnsi="Arial" w:cs="Arial"/>
                <w:color w:val="000000" w:themeColor="text1"/>
                <w:sz w:val="22"/>
                <w:szCs w:val="22"/>
              </w:rPr>
              <w:t>w transporcie)</w:t>
            </w:r>
          </w:p>
        </w:tc>
      </w:tr>
      <w:tr w:rsidR="006F4FD2" w:rsidRPr="00413976" w14:paraId="3FC1D19D" w14:textId="77777777" w:rsidTr="008276D6">
        <w:tc>
          <w:tcPr>
            <w:tcW w:w="1272" w:type="dxa"/>
          </w:tcPr>
          <w:p w14:paraId="2BC4236D"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1E8FC745" w14:textId="5E6F5620" w:rsidR="008276D6" w:rsidRPr="00413976" w:rsidRDefault="008276D6" w:rsidP="00413976">
            <w:pPr>
              <w:spacing w:line="276" w:lineRule="auto"/>
              <w:ind w:right="-168"/>
              <w:jc w:val="center"/>
              <w:rPr>
                <w:rFonts w:ascii="Arial" w:hAnsi="Arial" w:cs="Arial"/>
                <w:color w:val="000000" w:themeColor="text1"/>
                <w:sz w:val="22"/>
                <w:szCs w:val="22"/>
              </w:rPr>
            </w:pPr>
            <w:r w:rsidRPr="00413976">
              <w:rPr>
                <w:rFonts w:ascii="Arial" w:hAnsi="Arial" w:cs="Arial"/>
                <w:color w:val="000000" w:themeColor="text1"/>
                <w:sz w:val="22"/>
                <w:szCs w:val="22"/>
              </w:rPr>
              <w:t>Transport śródlądowy poza TEN-T</w:t>
            </w:r>
          </w:p>
        </w:tc>
        <w:tc>
          <w:tcPr>
            <w:tcW w:w="3238" w:type="dxa"/>
          </w:tcPr>
          <w:p w14:paraId="0CDC5E2A"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Brak wsparcia</w:t>
            </w:r>
          </w:p>
        </w:tc>
        <w:tc>
          <w:tcPr>
            <w:tcW w:w="3005" w:type="dxa"/>
          </w:tcPr>
          <w:p w14:paraId="7D15184B" w14:textId="429BBA9F"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w tym punktowe w porty/przystanie </w:t>
            </w:r>
            <w:r w:rsidR="00413976">
              <w:rPr>
                <w:rFonts w:ascii="Arial" w:hAnsi="Arial" w:cs="Arial"/>
                <w:color w:val="000000" w:themeColor="text1"/>
                <w:sz w:val="22"/>
                <w:szCs w:val="22"/>
              </w:rPr>
              <w:br/>
            </w:r>
            <w:r w:rsidRPr="00413976">
              <w:rPr>
                <w:rFonts w:ascii="Arial" w:hAnsi="Arial" w:cs="Arial"/>
                <w:color w:val="000000" w:themeColor="text1"/>
                <w:sz w:val="22"/>
                <w:szCs w:val="22"/>
              </w:rPr>
              <w:t xml:space="preserve">o charakterze gospodarczym </w:t>
            </w:r>
            <w:r w:rsidR="00413976">
              <w:rPr>
                <w:rFonts w:ascii="Arial" w:hAnsi="Arial" w:cs="Arial"/>
                <w:color w:val="000000" w:themeColor="text1"/>
                <w:sz w:val="22"/>
                <w:szCs w:val="22"/>
              </w:rPr>
              <w:br/>
            </w:r>
            <w:r w:rsidRPr="00413976">
              <w:rPr>
                <w:rFonts w:ascii="Arial" w:hAnsi="Arial" w:cs="Arial"/>
                <w:color w:val="000000" w:themeColor="text1"/>
                <w:sz w:val="22"/>
                <w:szCs w:val="22"/>
              </w:rPr>
              <w:t>i turystycznym</w:t>
            </w:r>
          </w:p>
        </w:tc>
        <w:tc>
          <w:tcPr>
            <w:tcW w:w="1324" w:type="dxa"/>
          </w:tcPr>
          <w:p w14:paraId="2D51E770" w14:textId="36DCFAA7"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3A2886A2" w14:textId="4C8FC595"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w infrastrukturę wspierającą i </w:t>
            </w:r>
            <w:r w:rsidR="00D70176" w:rsidRPr="00413976">
              <w:rPr>
                <w:rFonts w:ascii="Arial" w:hAnsi="Arial" w:cs="Arial"/>
                <w:color w:val="000000" w:themeColor="text1"/>
                <w:sz w:val="22"/>
                <w:szCs w:val="22"/>
              </w:rPr>
              <w:t xml:space="preserve">umożliwiającą rozwój intermodalności </w:t>
            </w:r>
            <w:r w:rsidR="00413976">
              <w:rPr>
                <w:rFonts w:ascii="Arial" w:hAnsi="Arial" w:cs="Arial"/>
                <w:color w:val="000000" w:themeColor="text1"/>
                <w:sz w:val="22"/>
                <w:szCs w:val="22"/>
              </w:rPr>
              <w:br/>
            </w:r>
            <w:r w:rsidRPr="00413976">
              <w:rPr>
                <w:rFonts w:ascii="Arial" w:hAnsi="Arial" w:cs="Arial"/>
                <w:color w:val="000000" w:themeColor="text1"/>
                <w:sz w:val="22"/>
                <w:szCs w:val="22"/>
              </w:rPr>
              <w:t>w transporcie oraz wykorzystywaną na rzecz działalności gospodarczej</w:t>
            </w:r>
            <w:r w:rsidR="00C83C79" w:rsidRPr="00413976">
              <w:rPr>
                <w:rFonts w:ascii="Arial" w:hAnsi="Arial" w:cs="Arial"/>
                <w:color w:val="000000" w:themeColor="text1"/>
                <w:sz w:val="22"/>
                <w:szCs w:val="22"/>
              </w:rPr>
              <w:t xml:space="preserve">, w tym </w:t>
            </w:r>
            <w:r w:rsidRPr="00413976">
              <w:rPr>
                <w:rFonts w:ascii="Arial" w:hAnsi="Arial" w:cs="Arial"/>
                <w:color w:val="000000" w:themeColor="text1"/>
                <w:sz w:val="22"/>
                <w:szCs w:val="22"/>
              </w:rPr>
              <w:t xml:space="preserve">turystycznej (osiąganie założeń obecnych w ramach </w:t>
            </w:r>
            <w:r w:rsidR="00C83C79" w:rsidRPr="00413976">
              <w:rPr>
                <w:rFonts w:ascii="Arial" w:hAnsi="Arial" w:cs="Arial"/>
                <w:color w:val="000000" w:themeColor="text1"/>
                <w:sz w:val="22"/>
                <w:szCs w:val="22"/>
              </w:rPr>
              <w:t>c</w:t>
            </w:r>
            <w:r w:rsidRPr="00413976">
              <w:rPr>
                <w:rFonts w:ascii="Arial" w:hAnsi="Arial" w:cs="Arial"/>
                <w:color w:val="000000" w:themeColor="text1"/>
                <w:sz w:val="22"/>
                <w:szCs w:val="22"/>
              </w:rPr>
              <w:t>elu podstawowego 1</w:t>
            </w:r>
            <w:r w:rsidR="00C83C79"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i 2</w:t>
            </w:r>
            <w:r w:rsidR="00C83C79"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oraz </w:t>
            </w:r>
            <w:r w:rsidR="00C83C79" w:rsidRPr="00413976">
              <w:rPr>
                <w:rFonts w:ascii="Arial" w:hAnsi="Arial" w:cs="Arial"/>
                <w:color w:val="000000" w:themeColor="text1"/>
                <w:sz w:val="22"/>
                <w:szCs w:val="22"/>
              </w:rPr>
              <w:t>c</w:t>
            </w:r>
            <w:r w:rsidRPr="00413976">
              <w:rPr>
                <w:rFonts w:ascii="Arial" w:hAnsi="Arial" w:cs="Arial"/>
                <w:color w:val="000000" w:themeColor="text1"/>
                <w:sz w:val="22"/>
                <w:szCs w:val="22"/>
              </w:rPr>
              <w:t xml:space="preserve">elu horyzontalnego: </w:t>
            </w:r>
            <w:r w:rsidR="00E45A0C" w:rsidRPr="00413976">
              <w:rPr>
                <w:rFonts w:ascii="Arial" w:hAnsi="Arial" w:cs="Arial"/>
                <w:color w:val="000000" w:themeColor="text1"/>
                <w:sz w:val="22"/>
                <w:szCs w:val="22"/>
              </w:rPr>
              <w:br/>
              <w:t xml:space="preserve">2. </w:t>
            </w:r>
            <w:r w:rsidR="00C931EF" w:rsidRPr="00413976">
              <w:rPr>
                <w:rFonts w:ascii="Arial" w:hAnsi="Arial" w:cs="Arial"/>
                <w:color w:val="000000" w:themeColor="text1"/>
                <w:sz w:val="22"/>
                <w:szCs w:val="22"/>
              </w:rPr>
              <w:t>Wzmocnienie rozwiązań multimodalnych)</w:t>
            </w:r>
          </w:p>
        </w:tc>
      </w:tr>
      <w:tr w:rsidR="006F4FD2" w:rsidRPr="00413976" w14:paraId="07D428E0" w14:textId="77777777" w:rsidTr="008276D6">
        <w:tc>
          <w:tcPr>
            <w:tcW w:w="1272" w:type="dxa"/>
          </w:tcPr>
          <w:p w14:paraId="099348EF"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7261A494" w14:textId="62FEB0CC"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Transport intermodalny poza TEN</w:t>
            </w:r>
            <w:r w:rsidR="006D71B8" w:rsidRPr="00413976">
              <w:rPr>
                <w:rFonts w:ascii="Arial" w:hAnsi="Arial" w:cs="Arial"/>
                <w:color w:val="000000" w:themeColor="text1"/>
                <w:sz w:val="22"/>
                <w:szCs w:val="22"/>
              </w:rPr>
              <w:t>-</w:t>
            </w:r>
            <w:r w:rsidRPr="00413976">
              <w:rPr>
                <w:rFonts w:ascii="Arial" w:hAnsi="Arial" w:cs="Arial"/>
                <w:color w:val="000000" w:themeColor="text1"/>
                <w:sz w:val="22"/>
                <w:szCs w:val="22"/>
              </w:rPr>
              <w:t>T</w:t>
            </w:r>
          </w:p>
        </w:tc>
        <w:tc>
          <w:tcPr>
            <w:tcW w:w="3238" w:type="dxa"/>
          </w:tcPr>
          <w:p w14:paraId="26F3C4F8" w14:textId="7047E27D"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Wsparcie wyłącznie na poziomie krajowym</w:t>
            </w:r>
          </w:p>
        </w:tc>
        <w:tc>
          <w:tcPr>
            <w:tcW w:w="3005" w:type="dxa"/>
          </w:tcPr>
          <w:p w14:paraId="70D813AA" w14:textId="10C8BF96"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Brak wsparcia</w:t>
            </w:r>
          </w:p>
        </w:tc>
        <w:tc>
          <w:tcPr>
            <w:tcW w:w="1324" w:type="dxa"/>
          </w:tcPr>
          <w:p w14:paraId="2C775C17" w14:textId="40729474"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IKS</w:t>
            </w:r>
            <w:r w:rsidR="000C162E" w:rsidRPr="00413976">
              <w:rPr>
                <w:rFonts w:ascii="Arial" w:hAnsi="Arial" w:cs="Arial"/>
                <w:color w:val="000000" w:themeColor="text1"/>
                <w:sz w:val="22"/>
                <w:szCs w:val="22"/>
              </w:rPr>
              <w:t xml:space="preserve"> 2021-2027</w:t>
            </w:r>
          </w:p>
        </w:tc>
        <w:tc>
          <w:tcPr>
            <w:tcW w:w="3580" w:type="dxa"/>
          </w:tcPr>
          <w:p w14:paraId="7A14B798" w14:textId="6B534944"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Inwestycje w infrastrukturę wspierającą i </w:t>
            </w:r>
            <w:r w:rsidR="00D70176" w:rsidRPr="00413976">
              <w:rPr>
                <w:rFonts w:ascii="Arial" w:hAnsi="Arial" w:cs="Arial"/>
                <w:color w:val="000000" w:themeColor="text1"/>
                <w:sz w:val="22"/>
                <w:szCs w:val="22"/>
              </w:rPr>
              <w:t xml:space="preserve">umożliwiającą rozwój intermodalności </w:t>
            </w:r>
            <w:r w:rsidR="00413976">
              <w:rPr>
                <w:rFonts w:ascii="Arial" w:hAnsi="Arial" w:cs="Arial"/>
                <w:color w:val="000000" w:themeColor="text1"/>
                <w:sz w:val="22"/>
                <w:szCs w:val="22"/>
              </w:rPr>
              <w:br/>
            </w:r>
            <w:r w:rsidRPr="00413976">
              <w:rPr>
                <w:rFonts w:ascii="Arial" w:hAnsi="Arial" w:cs="Arial"/>
                <w:color w:val="000000" w:themeColor="text1"/>
                <w:sz w:val="22"/>
                <w:szCs w:val="22"/>
              </w:rPr>
              <w:t xml:space="preserve">w transporcie (osiąganie założeń obecnych w ramach </w:t>
            </w:r>
            <w:r w:rsidR="00C83C79" w:rsidRPr="00413976">
              <w:rPr>
                <w:rFonts w:ascii="Arial" w:hAnsi="Arial" w:cs="Arial"/>
                <w:color w:val="000000" w:themeColor="text1"/>
                <w:sz w:val="22"/>
                <w:szCs w:val="22"/>
              </w:rPr>
              <w:t>c</w:t>
            </w:r>
            <w:r w:rsidRPr="00413976">
              <w:rPr>
                <w:rFonts w:ascii="Arial" w:hAnsi="Arial" w:cs="Arial"/>
                <w:color w:val="000000" w:themeColor="text1"/>
                <w:sz w:val="22"/>
                <w:szCs w:val="22"/>
              </w:rPr>
              <w:t>elu podstawowego 1</w:t>
            </w:r>
            <w:r w:rsidR="00857354"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oraz 3</w:t>
            </w:r>
            <w:r w:rsidR="00857354"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a także </w:t>
            </w:r>
            <w:r w:rsidR="00857354" w:rsidRPr="00413976">
              <w:rPr>
                <w:rFonts w:ascii="Arial" w:hAnsi="Arial" w:cs="Arial"/>
                <w:color w:val="000000" w:themeColor="text1"/>
                <w:sz w:val="22"/>
                <w:szCs w:val="22"/>
              </w:rPr>
              <w:t>c</w:t>
            </w:r>
            <w:r w:rsidRPr="00413976">
              <w:rPr>
                <w:rFonts w:ascii="Arial" w:hAnsi="Arial" w:cs="Arial"/>
                <w:color w:val="000000" w:themeColor="text1"/>
                <w:sz w:val="22"/>
                <w:szCs w:val="22"/>
              </w:rPr>
              <w:t xml:space="preserve">elu horyzontalnego: </w:t>
            </w:r>
            <w:r w:rsidR="00E45A0C" w:rsidRPr="00413976">
              <w:rPr>
                <w:rFonts w:ascii="Arial" w:hAnsi="Arial" w:cs="Arial"/>
                <w:color w:val="000000" w:themeColor="text1"/>
                <w:sz w:val="22"/>
                <w:szCs w:val="22"/>
              </w:rPr>
              <w:br/>
              <w:t xml:space="preserve">2. </w:t>
            </w:r>
            <w:r w:rsidR="00C931EF" w:rsidRPr="00413976">
              <w:rPr>
                <w:rFonts w:ascii="Arial" w:hAnsi="Arial" w:cs="Arial"/>
                <w:color w:val="000000" w:themeColor="text1"/>
                <w:sz w:val="22"/>
                <w:szCs w:val="22"/>
              </w:rPr>
              <w:t>Wzmocnienie rozwiązań multimodalnych)</w:t>
            </w:r>
          </w:p>
        </w:tc>
      </w:tr>
      <w:tr w:rsidR="006F4FD2" w:rsidRPr="00413976" w14:paraId="0BAF1CBD" w14:textId="77777777" w:rsidTr="008276D6">
        <w:tc>
          <w:tcPr>
            <w:tcW w:w="1272" w:type="dxa"/>
          </w:tcPr>
          <w:p w14:paraId="7130C727"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775522B1" w14:textId="752E97EE"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Rozwój pasażerskiego transportu zbiorowego i jego infrastruktury oraz unowocześnienie taboru </w:t>
            </w:r>
            <w:r w:rsidR="00413976">
              <w:rPr>
                <w:rFonts w:ascii="Arial" w:hAnsi="Arial" w:cs="Arial"/>
                <w:color w:val="000000" w:themeColor="text1"/>
                <w:sz w:val="22"/>
                <w:szCs w:val="22"/>
              </w:rPr>
              <w:br/>
            </w:r>
            <w:r w:rsidRPr="00413976">
              <w:rPr>
                <w:rFonts w:ascii="Arial" w:hAnsi="Arial" w:cs="Arial"/>
                <w:color w:val="000000" w:themeColor="text1"/>
                <w:sz w:val="22"/>
                <w:szCs w:val="22"/>
              </w:rPr>
              <w:t>w celu powiązania obszarów peryferyjnych z lokalnymi/</w:t>
            </w:r>
            <w:r w:rsidR="006D71B8" w:rsidRPr="00413976">
              <w:rPr>
                <w:rFonts w:ascii="Arial" w:hAnsi="Arial" w:cs="Arial"/>
                <w:color w:val="000000" w:themeColor="text1"/>
                <w:sz w:val="22"/>
                <w:szCs w:val="22"/>
              </w:rPr>
              <w:t xml:space="preserve"> </w:t>
            </w:r>
            <w:r w:rsidRPr="00413976">
              <w:rPr>
                <w:rFonts w:ascii="Arial" w:hAnsi="Arial" w:cs="Arial"/>
                <w:color w:val="000000" w:themeColor="text1"/>
                <w:sz w:val="22"/>
                <w:szCs w:val="22"/>
              </w:rPr>
              <w:t>regionalnymi centrami wzrostu (drogowe przewozy subregionalne)</w:t>
            </w:r>
          </w:p>
        </w:tc>
        <w:tc>
          <w:tcPr>
            <w:tcW w:w="3238" w:type="dxa"/>
          </w:tcPr>
          <w:p w14:paraId="1820E680"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Brak wsparcia</w:t>
            </w:r>
          </w:p>
        </w:tc>
        <w:tc>
          <w:tcPr>
            <w:tcW w:w="3005" w:type="dxa"/>
          </w:tcPr>
          <w:p w14:paraId="41377C44"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Wsparcie na poziomie regionalnym</w:t>
            </w:r>
          </w:p>
        </w:tc>
        <w:tc>
          <w:tcPr>
            <w:tcW w:w="1324" w:type="dxa"/>
          </w:tcPr>
          <w:p w14:paraId="08A70649" w14:textId="060083F4"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0AA8E03C" w14:textId="17878AC3"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inwestycyjne związane </w:t>
            </w:r>
            <w:r w:rsidR="00413976">
              <w:rPr>
                <w:rFonts w:ascii="Arial" w:hAnsi="Arial" w:cs="Arial"/>
                <w:color w:val="000000" w:themeColor="text1"/>
                <w:sz w:val="22"/>
                <w:szCs w:val="22"/>
              </w:rPr>
              <w:br/>
            </w:r>
            <w:r w:rsidRPr="00413976">
              <w:rPr>
                <w:rFonts w:ascii="Arial" w:hAnsi="Arial" w:cs="Arial"/>
                <w:color w:val="000000" w:themeColor="text1"/>
                <w:sz w:val="22"/>
                <w:szCs w:val="22"/>
              </w:rPr>
              <w:t xml:space="preserve">z rozwojem transportu zbiorowego. Przedsięwzięcia infrastrukturalne i nakierowane </w:t>
            </w:r>
            <w:r w:rsidR="00857354" w:rsidRPr="00413976">
              <w:rPr>
                <w:rFonts w:ascii="Arial" w:hAnsi="Arial" w:cs="Arial"/>
                <w:color w:val="000000" w:themeColor="text1"/>
                <w:sz w:val="22"/>
                <w:szCs w:val="22"/>
              </w:rPr>
              <w:t xml:space="preserve">na </w:t>
            </w:r>
            <w:r w:rsidRPr="00413976">
              <w:rPr>
                <w:rFonts w:ascii="Arial" w:hAnsi="Arial" w:cs="Arial"/>
                <w:color w:val="000000" w:themeColor="text1"/>
                <w:sz w:val="22"/>
                <w:szCs w:val="22"/>
              </w:rPr>
              <w:t>ulepszenie taboru – dla powiązania obszarów peryferyjnych z biegunami wzrostu. (</w:t>
            </w:r>
            <w:r w:rsidR="00857354" w:rsidRPr="00413976">
              <w:rPr>
                <w:rFonts w:ascii="Arial" w:hAnsi="Arial" w:cs="Arial"/>
                <w:color w:val="000000" w:themeColor="text1"/>
                <w:sz w:val="22"/>
                <w:szCs w:val="22"/>
              </w:rPr>
              <w:t>o</w:t>
            </w:r>
            <w:r w:rsidRPr="00413976">
              <w:rPr>
                <w:rFonts w:ascii="Arial" w:hAnsi="Arial" w:cs="Arial"/>
                <w:color w:val="000000" w:themeColor="text1"/>
                <w:sz w:val="22"/>
                <w:szCs w:val="22"/>
              </w:rPr>
              <w:t xml:space="preserve">siąganie założeń obecnych w ramach </w:t>
            </w:r>
            <w:r w:rsidR="00857354" w:rsidRPr="00413976">
              <w:rPr>
                <w:rFonts w:ascii="Arial" w:hAnsi="Arial" w:cs="Arial"/>
                <w:color w:val="000000" w:themeColor="text1"/>
                <w:sz w:val="22"/>
                <w:szCs w:val="22"/>
              </w:rPr>
              <w:t>c</w:t>
            </w:r>
            <w:r w:rsidRPr="00413976">
              <w:rPr>
                <w:rFonts w:ascii="Arial" w:hAnsi="Arial" w:cs="Arial"/>
                <w:color w:val="000000" w:themeColor="text1"/>
                <w:sz w:val="22"/>
                <w:szCs w:val="22"/>
              </w:rPr>
              <w:t>elów podstawowych: 2</w:t>
            </w:r>
            <w:r w:rsidR="00857354"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i 3</w:t>
            </w:r>
            <w:r w:rsidR="00857354" w:rsidRPr="00413976">
              <w:rPr>
                <w:rFonts w:ascii="Arial" w:hAnsi="Arial" w:cs="Arial"/>
                <w:color w:val="000000" w:themeColor="text1"/>
                <w:sz w:val="22"/>
                <w:szCs w:val="22"/>
              </w:rPr>
              <w:t>.</w:t>
            </w:r>
            <w:r w:rsidRPr="00413976">
              <w:rPr>
                <w:rFonts w:ascii="Arial" w:hAnsi="Arial" w:cs="Arial"/>
                <w:color w:val="000000" w:themeColor="text1"/>
                <w:sz w:val="22"/>
                <w:szCs w:val="22"/>
              </w:rPr>
              <w:t xml:space="preserve"> oraz </w:t>
            </w:r>
            <w:r w:rsidR="00857354" w:rsidRPr="00413976">
              <w:rPr>
                <w:rFonts w:ascii="Arial" w:hAnsi="Arial" w:cs="Arial"/>
                <w:color w:val="000000" w:themeColor="text1"/>
                <w:sz w:val="22"/>
                <w:szCs w:val="22"/>
              </w:rPr>
              <w:t>c</w:t>
            </w:r>
            <w:r w:rsidRPr="00413976">
              <w:rPr>
                <w:rFonts w:ascii="Arial" w:hAnsi="Arial" w:cs="Arial"/>
                <w:color w:val="000000" w:themeColor="text1"/>
                <w:sz w:val="22"/>
                <w:szCs w:val="22"/>
              </w:rPr>
              <w:t xml:space="preserve">elu horyzontalnego: </w:t>
            </w:r>
            <w:r w:rsidR="00E45A0C" w:rsidRPr="00413976">
              <w:rPr>
                <w:rFonts w:ascii="Arial" w:hAnsi="Arial" w:cs="Arial"/>
                <w:color w:val="000000" w:themeColor="text1"/>
                <w:sz w:val="22"/>
                <w:szCs w:val="22"/>
              </w:rPr>
              <w:br/>
              <w:t>3. Rozwój transportu publicznego</w:t>
            </w:r>
            <w:r w:rsidRPr="00413976">
              <w:rPr>
                <w:rFonts w:ascii="Arial" w:hAnsi="Arial" w:cs="Arial"/>
                <w:color w:val="000000" w:themeColor="text1"/>
                <w:sz w:val="22"/>
                <w:szCs w:val="22"/>
              </w:rPr>
              <w:t>)</w:t>
            </w:r>
          </w:p>
        </w:tc>
      </w:tr>
      <w:tr w:rsidR="006F4FD2" w:rsidRPr="00413976" w14:paraId="0E4BDB97" w14:textId="77777777" w:rsidTr="008276D6">
        <w:tc>
          <w:tcPr>
            <w:tcW w:w="1272" w:type="dxa"/>
          </w:tcPr>
          <w:p w14:paraId="57EE4850"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6B59141B"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Działania na rzecz taryfowej integracji transportu zbiorowego (systemy typu „wspólny bilet”)</w:t>
            </w:r>
          </w:p>
        </w:tc>
        <w:tc>
          <w:tcPr>
            <w:tcW w:w="3238" w:type="dxa"/>
          </w:tcPr>
          <w:p w14:paraId="536530FD" w14:textId="45E313B6"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z poziomu krajowego uzgodnione </w:t>
            </w:r>
            <w:r w:rsidR="00413976">
              <w:rPr>
                <w:rFonts w:ascii="Arial" w:hAnsi="Arial" w:cs="Arial"/>
                <w:color w:val="000000" w:themeColor="text1"/>
                <w:sz w:val="22"/>
                <w:szCs w:val="22"/>
              </w:rPr>
              <w:br/>
            </w:r>
            <w:r w:rsidRPr="00413976">
              <w:rPr>
                <w:rFonts w:ascii="Arial" w:hAnsi="Arial" w:cs="Arial"/>
                <w:color w:val="000000" w:themeColor="text1"/>
                <w:sz w:val="22"/>
                <w:szCs w:val="22"/>
              </w:rPr>
              <w:t>w kontrakcie programowym</w:t>
            </w:r>
          </w:p>
        </w:tc>
        <w:tc>
          <w:tcPr>
            <w:tcW w:w="3005" w:type="dxa"/>
          </w:tcPr>
          <w:p w14:paraId="6C154A60" w14:textId="337801CA"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realizowane </w:t>
            </w:r>
            <w:r w:rsidR="00413976">
              <w:rPr>
                <w:rFonts w:ascii="Arial" w:hAnsi="Arial" w:cs="Arial"/>
                <w:color w:val="000000" w:themeColor="text1"/>
                <w:sz w:val="22"/>
                <w:szCs w:val="22"/>
              </w:rPr>
              <w:br/>
            </w:r>
            <w:r w:rsidRPr="00413976">
              <w:rPr>
                <w:rFonts w:ascii="Arial" w:hAnsi="Arial" w:cs="Arial"/>
                <w:color w:val="000000" w:themeColor="text1"/>
                <w:sz w:val="22"/>
                <w:szCs w:val="22"/>
              </w:rPr>
              <w:t>z poziomu regionalnego lub lokalnego</w:t>
            </w:r>
          </w:p>
        </w:tc>
        <w:tc>
          <w:tcPr>
            <w:tcW w:w="1324" w:type="dxa"/>
          </w:tcPr>
          <w:p w14:paraId="07D3375F" w14:textId="0C27B485"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IKS</w:t>
            </w:r>
            <w:r w:rsidR="000C162E" w:rsidRPr="00413976">
              <w:rPr>
                <w:rFonts w:ascii="Arial" w:hAnsi="Arial" w:cs="Arial"/>
                <w:color w:val="000000" w:themeColor="text1"/>
                <w:sz w:val="22"/>
                <w:szCs w:val="22"/>
              </w:rPr>
              <w:t xml:space="preserve"> 2021-2027</w:t>
            </w:r>
          </w:p>
        </w:tc>
        <w:tc>
          <w:tcPr>
            <w:tcW w:w="3580" w:type="dxa"/>
          </w:tcPr>
          <w:p w14:paraId="4CFFD99B" w14:textId="356A04EC" w:rsidR="008276D6" w:rsidRPr="00413976" w:rsidRDefault="008276D6" w:rsidP="00413976">
            <w:pPr>
              <w:spacing w:line="276" w:lineRule="auto"/>
              <w:ind w:right="-77"/>
              <w:jc w:val="center"/>
              <w:rPr>
                <w:rFonts w:ascii="Arial" w:hAnsi="Arial" w:cs="Arial"/>
                <w:color w:val="000000" w:themeColor="text1"/>
                <w:sz w:val="22"/>
                <w:szCs w:val="22"/>
              </w:rPr>
            </w:pPr>
            <w:r w:rsidRPr="00413976">
              <w:rPr>
                <w:rFonts w:ascii="Arial" w:hAnsi="Arial" w:cs="Arial"/>
                <w:color w:val="000000" w:themeColor="text1"/>
                <w:sz w:val="22"/>
                <w:szCs w:val="22"/>
              </w:rPr>
              <w:t>Wprowadzenie zintegrowanego systemu transportu publicznego uwzględniającego działania wielu przewoźników polegające na opracowaniu wspólnego biletu. (</w:t>
            </w:r>
            <w:r w:rsidR="00857354" w:rsidRPr="00413976">
              <w:rPr>
                <w:rFonts w:ascii="Arial" w:hAnsi="Arial" w:cs="Arial"/>
                <w:color w:val="000000" w:themeColor="text1"/>
                <w:sz w:val="22"/>
                <w:szCs w:val="22"/>
              </w:rPr>
              <w:t>o</w:t>
            </w:r>
            <w:r w:rsidRPr="00413976">
              <w:rPr>
                <w:rFonts w:ascii="Arial" w:hAnsi="Arial" w:cs="Arial"/>
                <w:color w:val="000000" w:themeColor="text1"/>
                <w:sz w:val="22"/>
                <w:szCs w:val="22"/>
              </w:rPr>
              <w:t xml:space="preserve">siąganie założeń Celów horyzontalnych: </w:t>
            </w:r>
            <w:r w:rsidR="00E45A0C" w:rsidRPr="00413976">
              <w:rPr>
                <w:rFonts w:ascii="Arial" w:hAnsi="Arial" w:cs="Arial"/>
                <w:color w:val="000000" w:themeColor="text1"/>
                <w:sz w:val="22"/>
                <w:szCs w:val="22"/>
              </w:rPr>
              <w:t xml:space="preserve">2. </w:t>
            </w:r>
            <w:r w:rsidR="00C931EF" w:rsidRPr="00413976">
              <w:rPr>
                <w:rFonts w:ascii="Arial" w:hAnsi="Arial" w:cs="Arial"/>
                <w:color w:val="000000" w:themeColor="text1"/>
                <w:sz w:val="22"/>
                <w:szCs w:val="22"/>
              </w:rPr>
              <w:t xml:space="preserve">Wzmocnienie rozwiązań multimodalnych </w:t>
            </w:r>
            <w:r w:rsidRPr="00413976">
              <w:rPr>
                <w:rFonts w:ascii="Arial" w:hAnsi="Arial" w:cs="Arial"/>
                <w:color w:val="000000" w:themeColor="text1"/>
                <w:sz w:val="22"/>
                <w:szCs w:val="22"/>
              </w:rPr>
              <w:t xml:space="preserve">i </w:t>
            </w:r>
            <w:r w:rsidR="00E45A0C" w:rsidRPr="00413976">
              <w:rPr>
                <w:rFonts w:ascii="Arial" w:hAnsi="Arial" w:cs="Arial"/>
                <w:color w:val="000000" w:themeColor="text1"/>
                <w:sz w:val="22"/>
                <w:szCs w:val="22"/>
              </w:rPr>
              <w:t>3. Rozwój transportu publicznego</w:t>
            </w:r>
            <w:r w:rsidRPr="00413976">
              <w:rPr>
                <w:rFonts w:ascii="Arial" w:hAnsi="Arial" w:cs="Arial"/>
                <w:color w:val="000000" w:themeColor="text1"/>
                <w:sz w:val="22"/>
                <w:szCs w:val="22"/>
              </w:rPr>
              <w:t>).</w:t>
            </w:r>
          </w:p>
        </w:tc>
      </w:tr>
      <w:tr w:rsidR="006F4FD2" w:rsidRPr="00413976" w14:paraId="0A0AA451" w14:textId="77777777" w:rsidTr="008276D6">
        <w:tc>
          <w:tcPr>
            <w:tcW w:w="1272" w:type="dxa"/>
          </w:tcPr>
          <w:p w14:paraId="0F33DFE3"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5420CB80"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Działania na rzecz taryfowej integracji transportu zbiorowego (systemy typu „wspólny bilet”)</w:t>
            </w:r>
          </w:p>
        </w:tc>
        <w:tc>
          <w:tcPr>
            <w:tcW w:w="3238" w:type="dxa"/>
          </w:tcPr>
          <w:p w14:paraId="092BC4A5" w14:textId="1DE95F9A"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z poziomu krajowego uzgodnione </w:t>
            </w:r>
            <w:r w:rsidR="00413976">
              <w:rPr>
                <w:rFonts w:ascii="Arial" w:hAnsi="Arial" w:cs="Arial"/>
                <w:color w:val="000000" w:themeColor="text1"/>
                <w:sz w:val="22"/>
                <w:szCs w:val="22"/>
              </w:rPr>
              <w:br/>
            </w:r>
            <w:r w:rsidRPr="00413976">
              <w:rPr>
                <w:rFonts w:ascii="Arial" w:hAnsi="Arial" w:cs="Arial"/>
                <w:color w:val="000000" w:themeColor="text1"/>
                <w:sz w:val="22"/>
                <w:szCs w:val="22"/>
              </w:rPr>
              <w:t>w kontrakcie programowym</w:t>
            </w:r>
          </w:p>
        </w:tc>
        <w:tc>
          <w:tcPr>
            <w:tcW w:w="3005" w:type="dxa"/>
          </w:tcPr>
          <w:p w14:paraId="6F23AAEE" w14:textId="1D0559C9"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realizowane </w:t>
            </w:r>
            <w:r w:rsidR="00413976">
              <w:rPr>
                <w:rFonts w:ascii="Arial" w:hAnsi="Arial" w:cs="Arial"/>
                <w:color w:val="000000" w:themeColor="text1"/>
                <w:sz w:val="22"/>
                <w:szCs w:val="22"/>
              </w:rPr>
              <w:br/>
            </w:r>
            <w:r w:rsidRPr="00413976">
              <w:rPr>
                <w:rFonts w:ascii="Arial" w:hAnsi="Arial" w:cs="Arial"/>
                <w:color w:val="000000" w:themeColor="text1"/>
                <w:sz w:val="22"/>
                <w:szCs w:val="22"/>
              </w:rPr>
              <w:t>z poziomu regionalnego lub lokalnego</w:t>
            </w:r>
          </w:p>
        </w:tc>
        <w:tc>
          <w:tcPr>
            <w:tcW w:w="1324" w:type="dxa"/>
          </w:tcPr>
          <w:p w14:paraId="4661671E" w14:textId="58B22177"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21BDD114" w14:textId="5DFC2B0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Wprowadzenie zintegrowanego systemu transportu publicznego uwzględniającego działania wielu przewoźników polegające na opracowaniu wspólnego biletu</w:t>
            </w:r>
            <w:r w:rsidR="00857354" w:rsidRPr="00413976">
              <w:rPr>
                <w:rFonts w:ascii="Arial" w:hAnsi="Arial" w:cs="Arial"/>
                <w:color w:val="000000" w:themeColor="text1"/>
                <w:sz w:val="22"/>
                <w:szCs w:val="22"/>
              </w:rPr>
              <w:t xml:space="preserve"> </w:t>
            </w:r>
            <w:r w:rsidRPr="00413976">
              <w:rPr>
                <w:rFonts w:ascii="Arial" w:hAnsi="Arial" w:cs="Arial"/>
                <w:color w:val="000000" w:themeColor="text1"/>
                <w:sz w:val="22"/>
                <w:szCs w:val="22"/>
              </w:rPr>
              <w:t>(</w:t>
            </w:r>
            <w:r w:rsidR="00857354" w:rsidRPr="00413976">
              <w:rPr>
                <w:rFonts w:ascii="Arial" w:hAnsi="Arial" w:cs="Arial"/>
                <w:color w:val="000000" w:themeColor="text1"/>
                <w:sz w:val="22"/>
                <w:szCs w:val="22"/>
              </w:rPr>
              <w:t>o</w:t>
            </w:r>
            <w:r w:rsidRPr="00413976">
              <w:rPr>
                <w:rFonts w:ascii="Arial" w:hAnsi="Arial" w:cs="Arial"/>
                <w:color w:val="000000" w:themeColor="text1"/>
                <w:sz w:val="22"/>
                <w:szCs w:val="22"/>
              </w:rPr>
              <w:t xml:space="preserve">siąganie założeń obecnych w ramach </w:t>
            </w:r>
            <w:r w:rsidR="00857354" w:rsidRPr="00413976">
              <w:rPr>
                <w:rFonts w:ascii="Arial" w:hAnsi="Arial" w:cs="Arial"/>
                <w:color w:val="000000" w:themeColor="text1"/>
                <w:sz w:val="22"/>
                <w:szCs w:val="22"/>
              </w:rPr>
              <w:t>c</w:t>
            </w:r>
            <w:r w:rsidRPr="00413976">
              <w:rPr>
                <w:rFonts w:ascii="Arial" w:hAnsi="Arial" w:cs="Arial"/>
                <w:color w:val="000000" w:themeColor="text1"/>
                <w:sz w:val="22"/>
                <w:szCs w:val="22"/>
              </w:rPr>
              <w:t xml:space="preserve">elów horyzontalnych: </w:t>
            </w:r>
            <w:r w:rsidR="00E45A0C" w:rsidRPr="00413976">
              <w:rPr>
                <w:rFonts w:ascii="Arial" w:hAnsi="Arial" w:cs="Arial"/>
                <w:color w:val="000000" w:themeColor="text1"/>
                <w:sz w:val="22"/>
                <w:szCs w:val="22"/>
              </w:rPr>
              <w:br/>
              <w:t xml:space="preserve">2. </w:t>
            </w:r>
            <w:r w:rsidR="00C931EF" w:rsidRPr="00413976">
              <w:rPr>
                <w:rFonts w:ascii="Arial" w:hAnsi="Arial" w:cs="Arial"/>
                <w:color w:val="000000" w:themeColor="text1"/>
                <w:sz w:val="22"/>
                <w:szCs w:val="22"/>
              </w:rPr>
              <w:t xml:space="preserve">Wzmocnienie rozwiązań multimodalnych </w:t>
            </w:r>
            <w:r w:rsidRPr="00413976">
              <w:rPr>
                <w:rFonts w:ascii="Arial" w:hAnsi="Arial" w:cs="Arial"/>
                <w:color w:val="000000" w:themeColor="text1"/>
                <w:sz w:val="22"/>
                <w:szCs w:val="22"/>
              </w:rPr>
              <w:t xml:space="preserve">i </w:t>
            </w:r>
            <w:r w:rsidR="00E45A0C" w:rsidRPr="00413976">
              <w:rPr>
                <w:rFonts w:ascii="Arial" w:hAnsi="Arial" w:cs="Arial"/>
                <w:color w:val="000000" w:themeColor="text1"/>
                <w:sz w:val="22"/>
                <w:szCs w:val="22"/>
              </w:rPr>
              <w:t>3. Rozwój transportu publicznego</w:t>
            </w:r>
            <w:r w:rsidRPr="00413976">
              <w:rPr>
                <w:rFonts w:ascii="Arial" w:hAnsi="Arial" w:cs="Arial"/>
                <w:color w:val="000000" w:themeColor="text1"/>
                <w:sz w:val="22"/>
                <w:szCs w:val="22"/>
              </w:rPr>
              <w:t>).</w:t>
            </w:r>
          </w:p>
        </w:tc>
      </w:tr>
      <w:tr w:rsidR="006F4FD2" w:rsidRPr="00413976" w14:paraId="23D71E4E" w14:textId="77777777" w:rsidTr="008276D6">
        <w:tc>
          <w:tcPr>
            <w:tcW w:w="1272" w:type="dxa"/>
          </w:tcPr>
          <w:p w14:paraId="554E65CE"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3BA47A62" w14:textId="71522864"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Integracja różnych form transportu ze szczególnym uwzględnieniem budowy </w:t>
            </w:r>
            <w:r w:rsidR="00413976">
              <w:rPr>
                <w:rFonts w:ascii="Arial" w:hAnsi="Arial" w:cs="Arial"/>
                <w:color w:val="000000" w:themeColor="text1"/>
                <w:sz w:val="22"/>
                <w:szCs w:val="22"/>
              </w:rPr>
              <w:br/>
            </w:r>
            <w:r w:rsidRPr="00413976">
              <w:rPr>
                <w:rFonts w:ascii="Arial" w:hAnsi="Arial" w:cs="Arial"/>
                <w:color w:val="000000" w:themeColor="text1"/>
                <w:sz w:val="22"/>
                <w:szCs w:val="22"/>
              </w:rPr>
              <w:t>i rozbudowy węzłów przesiadkowych, w tym wiążących komunikację lokalną z siecią pasażerskiego transportu szynowego, a także tworzenia i rozbudowy parkingów, systemów tras rowerowych oraz ciągów pieszo-rowerowych.</w:t>
            </w:r>
          </w:p>
        </w:tc>
        <w:tc>
          <w:tcPr>
            <w:tcW w:w="3238" w:type="dxa"/>
          </w:tcPr>
          <w:p w14:paraId="2FF7E6AE" w14:textId="148C496E"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W przypadku inwestycji na terenach MOF i wskazanych </w:t>
            </w:r>
            <w:r w:rsidR="00413976">
              <w:rPr>
                <w:rFonts w:ascii="Arial" w:hAnsi="Arial" w:cs="Arial"/>
                <w:color w:val="000000" w:themeColor="text1"/>
                <w:sz w:val="22"/>
                <w:szCs w:val="22"/>
              </w:rPr>
              <w:br/>
            </w:r>
            <w:r w:rsidRPr="00413976">
              <w:rPr>
                <w:rFonts w:ascii="Arial" w:hAnsi="Arial" w:cs="Arial"/>
                <w:color w:val="000000" w:themeColor="text1"/>
                <w:sz w:val="22"/>
                <w:szCs w:val="22"/>
              </w:rPr>
              <w:t xml:space="preserve">w Planach działań ZIT, obowiązuje demarkacja właściwa dla opisanej w CP2 (promowanie zrównoważonej mobilności miejskiej). </w:t>
            </w:r>
            <w:r w:rsidR="00413976">
              <w:rPr>
                <w:rFonts w:ascii="Arial" w:hAnsi="Arial" w:cs="Arial"/>
                <w:color w:val="000000" w:themeColor="text1"/>
                <w:sz w:val="22"/>
                <w:szCs w:val="22"/>
              </w:rPr>
              <w:br/>
            </w:r>
            <w:r w:rsidRPr="00413976">
              <w:rPr>
                <w:rFonts w:ascii="Arial" w:hAnsi="Arial" w:cs="Arial"/>
                <w:color w:val="000000" w:themeColor="text1"/>
                <w:sz w:val="22"/>
                <w:szCs w:val="22"/>
              </w:rPr>
              <w:t>W przypadku inwestycji, będących elementem projektów budowy lub modernizacji dworców kolejowych, obowiązuje demarkacja właściwa dla dworców kolejowych.</w:t>
            </w:r>
          </w:p>
        </w:tc>
        <w:tc>
          <w:tcPr>
            <w:tcW w:w="3005" w:type="dxa"/>
          </w:tcPr>
          <w:p w14:paraId="54597C53" w14:textId="0C67F6C1"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W przypadku inwestycji na terenach MOF i wskazanych w Planach działań ZIT, obowiązuje demarkacja właściwa dla opisanej </w:t>
            </w:r>
            <w:r w:rsidR="00E875C3">
              <w:rPr>
                <w:rFonts w:ascii="Arial" w:hAnsi="Arial" w:cs="Arial"/>
                <w:color w:val="000000" w:themeColor="text1"/>
                <w:sz w:val="22"/>
                <w:szCs w:val="22"/>
              </w:rPr>
              <w:br/>
            </w:r>
            <w:r w:rsidRPr="00413976">
              <w:rPr>
                <w:rFonts w:ascii="Arial" w:hAnsi="Arial" w:cs="Arial"/>
                <w:color w:val="000000" w:themeColor="text1"/>
                <w:sz w:val="22"/>
                <w:szCs w:val="22"/>
              </w:rPr>
              <w:t>w CP2 (promowanie zrównoważonej mobilności miejskiej). W przypadku inwestycji, będących elementem projektów budowy lub modernizacji dworców kolejowych, obowiązuje demarkacja właściwa dla dworców kolejowych.</w:t>
            </w:r>
          </w:p>
        </w:tc>
        <w:tc>
          <w:tcPr>
            <w:tcW w:w="1324" w:type="dxa"/>
          </w:tcPr>
          <w:p w14:paraId="08035133" w14:textId="73B45D29"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IKS/</w:t>
            </w:r>
            <w:r w:rsidR="007606BF" w:rsidRPr="00413976">
              <w:rPr>
                <w:rFonts w:ascii="Arial" w:hAnsi="Arial" w:cs="Arial"/>
                <w:color w:val="000000" w:themeColor="text1"/>
                <w:sz w:val="22"/>
                <w:szCs w:val="22"/>
              </w:rPr>
              <w:t xml:space="preserve"> FEPW</w:t>
            </w:r>
            <w:r w:rsidR="000C162E" w:rsidRPr="00413976">
              <w:rPr>
                <w:rFonts w:ascii="Arial" w:hAnsi="Arial" w:cs="Arial"/>
                <w:color w:val="000000" w:themeColor="text1"/>
                <w:sz w:val="22"/>
                <w:szCs w:val="22"/>
              </w:rPr>
              <w:t xml:space="preserve"> 2021-2027</w:t>
            </w:r>
          </w:p>
        </w:tc>
        <w:tc>
          <w:tcPr>
            <w:tcW w:w="3580" w:type="dxa"/>
          </w:tcPr>
          <w:p w14:paraId="024ECB3A" w14:textId="5CAD0C6B"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DD290D" w:rsidRPr="00413976">
              <w:rPr>
                <w:rFonts w:ascii="Arial" w:hAnsi="Arial" w:cs="Arial"/>
                <w:color w:val="000000" w:themeColor="text1"/>
                <w:sz w:val="22"/>
                <w:szCs w:val="22"/>
              </w:rPr>
              <w:t>n</w:t>
            </w:r>
            <w:r w:rsidRPr="00413976">
              <w:rPr>
                <w:rFonts w:ascii="Arial" w:hAnsi="Arial" w:cs="Arial"/>
                <w:color w:val="000000" w:themeColor="text1"/>
                <w:sz w:val="22"/>
                <w:szCs w:val="22"/>
              </w:rPr>
              <w:t>IKS/</w:t>
            </w:r>
            <w:r w:rsidR="007606BF" w:rsidRPr="00413976">
              <w:rPr>
                <w:rFonts w:ascii="Arial" w:hAnsi="Arial" w:cs="Arial"/>
                <w:color w:val="000000" w:themeColor="text1"/>
                <w:sz w:val="22"/>
                <w:szCs w:val="22"/>
              </w:rPr>
              <w:t xml:space="preserve"> FEPW</w:t>
            </w:r>
          </w:p>
        </w:tc>
      </w:tr>
      <w:tr w:rsidR="006F4FD2" w:rsidRPr="00413976" w14:paraId="2CE73F8D" w14:textId="77777777" w:rsidTr="008276D6">
        <w:tc>
          <w:tcPr>
            <w:tcW w:w="1272" w:type="dxa"/>
          </w:tcPr>
          <w:p w14:paraId="0EB24C97"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6930F473" w14:textId="0B721485"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Integracja różnych form transportu ze szczególnym uwzględnieniem budowy </w:t>
            </w:r>
            <w:r w:rsidR="00E875C3">
              <w:rPr>
                <w:rFonts w:ascii="Arial" w:hAnsi="Arial" w:cs="Arial"/>
                <w:color w:val="000000" w:themeColor="text1"/>
                <w:sz w:val="22"/>
                <w:szCs w:val="22"/>
              </w:rPr>
              <w:br/>
            </w:r>
            <w:r w:rsidRPr="00413976">
              <w:rPr>
                <w:rFonts w:ascii="Arial" w:hAnsi="Arial" w:cs="Arial"/>
                <w:color w:val="000000" w:themeColor="text1"/>
                <w:sz w:val="22"/>
                <w:szCs w:val="22"/>
              </w:rPr>
              <w:t>i rozbudowy węzłów przesiadkowych, w tym wiążących komunikację lokalną z siecią pasażerskiego transportu szynowego, a także tworzenia i rozbudowy parkingów, systemów tras rowerowych oraz ciągów pieszo-rowerowych.</w:t>
            </w:r>
          </w:p>
        </w:tc>
        <w:tc>
          <w:tcPr>
            <w:tcW w:w="3238" w:type="dxa"/>
          </w:tcPr>
          <w:p w14:paraId="161ED771" w14:textId="7160B5F9"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W przypadku inwestycji na terenach MOF i wskazanych </w:t>
            </w:r>
            <w:r w:rsidR="00E875C3">
              <w:rPr>
                <w:rFonts w:ascii="Arial" w:hAnsi="Arial" w:cs="Arial"/>
                <w:color w:val="000000" w:themeColor="text1"/>
                <w:sz w:val="22"/>
                <w:szCs w:val="22"/>
              </w:rPr>
              <w:br/>
            </w:r>
            <w:r w:rsidRPr="00413976">
              <w:rPr>
                <w:rFonts w:ascii="Arial" w:hAnsi="Arial" w:cs="Arial"/>
                <w:color w:val="000000" w:themeColor="text1"/>
                <w:sz w:val="22"/>
                <w:szCs w:val="22"/>
              </w:rPr>
              <w:t xml:space="preserve">w Planach działań ZIT, obowiązuje demarkacja właściwa dla opisanej w CP2 (promowanie zrównoważonej mobilności miejskiej). </w:t>
            </w:r>
            <w:r w:rsidR="00E875C3">
              <w:rPr>
                <w:rFonts w:ascii="Arial" w:hAnsi="Arial" w:cs="Arial"/>
                <w:color w:val="000000" w:themeColor="text1"/>
                <w:sz w:val="22"/>
                <w:szCs w:val="22"/>
              </w:rPr>
              <w:br/>
            </w:r>
            <w:r w:rsidRPr="00413976">
              <w:rPr>
                <w:rFonts w:ascii="Arial" w:hAnsi="Arial" w:cs="Arial"/>
                <w:color w:val="000000" w:themeColor="text1"/>
                <w:sz w:val="22"/>
                <w:szCs w:val="22"/>
              </w:rPr>
              <w:t>W przypadku inwestycji, będących elementem projektów budowy lub modernizacji dworców kolejowych, obowiązuje demarkacja właściwa dla dworców kolejowych.</w:t>
            </w:r>
          </w:p>
        </w:tc>
        <w:tc>
          <w:tcPr>
            <w:tcW w:w="3005" w:type="dxa"/>
          </w:tcPr>
          <w:p w14:paraId="383BC099" w14:textId="77777777" w:rsidR="008276D6" w:rsidRPr="00413976" w:rsidRDefault="008276D6" w:rsidP="00413976">
            <w:pPr>
              <w:spacing w:line="276" w:lineRule="auto"/>
              <w:ind w:left="-27" w:right="-153"/>
              <w:jc w:val="center"/>
              <w:rPr>
                <w:rFonts w:ascii="Arial" w:hAnsi="Arial" w:cs="Arial"/>
                <w:color w:val="000000" w:themeColor="text1"/>
                <w:sz w:val="22"/>
                <w:szCs w:val="22"/>
              </w:rPr>
            </w:pPr>
            <w:r w:rsidRPr="00413976">
              <w:rPr>
                <w:rFonts w:ascii="Arial" w:hAnsi="Arial" w:cs="Arial"/>
                <w:color w:val="000000" w:themeColor="text1"/>
                <w:sz w:val="22"/>
                <w:szCs w:val="22"/>
              </w:rPr>
              <w:t>W przypadku inwestycji na terenach MOF i wskazanych w Planach działań ZIT, obowiązuje demarkacja właściwa dla opisanej w CP2 (promowanie zrównoważonej mobilności miejskiej). W przypadku inwestycji, będących elementem projektów budowy lub modernizacji dworców kolejowych, obowiązuje demarkacja właściwa dla dworców kolejowych.</w:t>
            </w:r>
          </w:p>
        </w:tc>
        <w:tc>
          <w:tcPr>
            <w:tcW w:w="1324" w:type="dxa"/>
          </w:tcPr>
          <w:p w14:paraId="67589069" w14:textId="7C31001D"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4BA8FC63" w14:textId="6BF3D0B8"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r>
      <w:tr w:rsidR="006F4FD2" w:rsidRPr="00413976" w14:paraId="674B77C1" w14:textId="77777777" w:rsidTr="008276D6">
        <w:tc>
          <w:tcPr>
            <w:tcW w:w="1272" w:type="dxa"/>
          </w:tcPr>
          <w:p w14:paraId="3E7DD90B"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7CFC4625" w14:textId="26320599"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Budowa i modernizacja dworców, szczególnie pod kątem ich dostosowania do zasad dostępności dla osób </w:t>
            </w:r>
            <w:r w:rsidR="00E875C3">
              <w:rPr>
                <w:rFonts w:ascii="Arial" w:hAnsi="Arial" w:cs="Arial"/>
                <w:color w:val="000000" w:themeColor="text1"/>
                <w:sz w:val="22"/>
                <w:szCs w:val="22"/>
              </w:rPr>
              <w:br/>
            </w:r>
            <w:r w:rsidRPr="00413976">
              <w:rPr>
                <w:rFonts w:ascii="Arial" w:hAnsi="Arial" w:cs="Arial"/>
                <w:color w:val="000000" w:themeColor="text1"/>
                <w:sz w:val="22"/>
                <w:szCs w:val="22"/>
              </w:rPr>
              <w:t>o ograniczonej mobilności, zapewnienia podróżnym odpowiednich środków bezpieczeństwa i komfortu oraz zapewnienia dostępu do infrastruktury towarzyszącej (np. parkingi dla samochodów i rowerów)</w:t>
            </w:r>
          </w:p>
        </w:tc>
        <w:tc>
          <w:tcPr>
            <w:tcW w:w="3238" w:type="dxa"/>
          </w:tcPr>
          <w:p w14:paraId="751C00C2"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Projekty PKP SA</w:t>
            </w:r>
          </w:p>
        </w:tc>
        <w:tc>
          <w:tcPr>
            <w:tcW w:w="3005" w:type="dxa"/>
          </w:tcPr>
          <w:p w14:paraId="4E56147A" w14:textId="006A9FCF"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Projekty samorządów</w:t>
            </w:r>
          </w:p>
        </w:tc>
        <w:tc>
          <w:tcPr>
            <w:tcW w:w="1324" w:type="dxa"/>
          </w:tcPr>
          <w:p w14:paraId="575C6BDA" w14:textId="2862398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 xml:space="preserve">IKS/ </w:t>
            </w:r>
            <w:r w:rsidR="007606BF" w:rsidRPr="00413976">
              <w:rPr>
                <w:rFonts w:ascii="Arial" w:hAnsi="Arial" w:cs="Arial"/>
                <w:color w:val="000000" w:themeColor="text1"/>
                <w:sz w:val="22"/>
                <w:szCs w:val="22"/>
              </w:rPr>
              <w:t>FEPW</w:t>
            </w:r>
            <w:r w:rsidR="000C162E" w:rsidRPr="00413976">
              <w:rPr>
                <w:rFonts w:ascii="Arial" w:hAnsi="Arial" w:cs="Arial"/>
                <w:color w:val="000000" w:themeColor="text1"/>
                <w:sz w:val="22"/>
                <w:szCs w:val="22"/>
              </w:rPr>
              <w:t xml:space="preserve"> 2021-2027</w:t>
            </w:r>
          </w:p>
        </w:tc>
        <w:tc>
          <w:tcPr>
            <w:tcW w:w="3580" w:type="dxa"/>
          </w:tcPr>
          <w:p w14:paraId="0FA27ABE" w14:textId="3266EAB8"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polegające na rozwoju </w:t>
            </w:r>
            <w:r w:rsidR="00E875C3">
              <w:rPr>
                <w:rFonts w:ascii="Arial" w:hAnsi="Arial" w:cs="Arial"/>
                <w:color w:val="000000" w:themeColor="text1"/>
                <w:sz w:val="22"/>
                <w:szCs w:val="22"/>
              </w:rPr>
              <w:br/>
            </w:r>
            <w:r w:rsidRPr="00413976">
              <w:rPr>
                <w:rFonts w:ascii="Arial" w:hAnsi="Arial" w:cs="Arial"/>
                <w:color w:val="000000" w:themeColor="text1"/>
                <w:sz w:val="22"/>
                <w:szCs w:val="22"/>
              </w:rPr>
              <w:t xml:space="preserve">i modernizacji infrastruktury transportu publicznego, w tym uzupełnienie sieci obiektów dworcowych i przystanków. (Osiąganie założeń obecnych </w:t>
            </w:r>
            <w:r w:rsidR="00E875C3">
              <w:rPr>
                <w:rFonts w:ascii="Arial" w:hAnsi="Arial" w:cs="Arial"/>
                <w:color w:val="000000" w:themeColor="text1"/>
                <w:sz w:val="22"/>
                <w:szCs w:val="22"/>
              </w:rPr>
              <w:br/>
              <w:t xml:space="preserve">w ramach Celów horyzontalnych: </w:t>
            </w:r>
            <w:r w:rsidR="00101BFE" w:rsidRPr="00413976">
              <w:rPr>
                <w:rFonts w:ascii="Arial" w:hAnsi="Arial" w:cs="Arial"/>
                <w:color w:val="000000" w:themeColor="text1"/>
                <w:sz w:val="22"/>
                <w:szCs w:val="22"/>
              </w:rPr>
              <w:t xml:space="preserve">2. </w:t>
            </w:r>
            <w:r w:rsidR="00C931EF" w:rsidRPr="00413976">
              <w:rPr>
                <w:rFonts w:ascii="Arial" w:hAnsi="Arial" w:cs="Arial"/>
                <w:color w:val="000000" w:themeColor="text1"/>
                <w:sz w:val="22"/>
                <w:szCs w:val="22"/>
              </w:rPr>
              <w:t xml:space="preserve">Wzmocnienie rozwiązań multimodalnych </w:t>
            </w:r>
            <w:r w:rsidRPr="00413976">
              <w:rPr>
                <w:rFonts w:ascii="Arial" w:hAnsi="Arial" w:cs="Arial"/>
                <w:color w:val="000000" w:themeColor="text1"/>
                <w:sz w:val="22"/>
                <w:szCs w:val="22"/>
              </w:rPr>
              <w:t xml:space="preserve">i </w:t>
            </w:r>
            <w:r w:rsidR="00101BFE" w:rsidRPr="00413976">
              <w:rPr>
                <w:rFonts w:ascii="Arial" w:hAnsi="Arial" w:cs="Arial"/>
                <w:color w:val="000000" w:themeColor="text1"/>
                <w:sz w:val="22"/>
                <w:szCs w:val="22"/>
              </w:rPr>
              <w:t>3. Rozwój transportu publicznego</w:t>
            </w:r>
            <w:r w:rsidRPr="00413976">
              <w:rPr>
                <w:rFonts w:ascii="Arial" w:hAnsi="Arial" w:cs="Arial"/>
                <w:color w:val="000000" w:themeColor="text1"/>
                <w:sz w:val="22"/>
                <w:szCs w:val="22"/>
              </w:rPr>
              <w:t>).</w:t>
            </w:r>
          </w:p>
        </w:tc>
      </w:tr>
      <w:tr w:rsidR="006F4FD2" w:rsidRPr="00413976" w14:paraId="69EEACB7" w14:textId="77777777" w:rsidTr="008276D6">
        <w:tc>
          <w:tcPr>
            <w:tcW w:w="1272" w:type="dxa"/>
          </w:tcPr>
          <w:p w14:paraId="553E11CF"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493E2537" w14:textId="314760E6"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Budowa i modernizacja dworców, szczególnie pod kątem ich dostosowania do zasad dostępności dla osób </w:t>
            </w:r>
            <w:r w:rsidR="00E875C3">
              <w:rPr>
                <w:rFonts w:ascii="Arial" w:hAnsi="Arial" w:cs="Arial"/>
                <w:color w:val="000000" w:themeColor="text1"/>
                <w:sz w:val="22"/>
                <w:szCs w:val="22"/>
              </w:rPr>
              <w:br/>
            </w:r>
            <w:r w:rsidRPr="00413976">
              <w:rPr>
                <w:rFonts w:ascii="Arial" w:hAnsi="Arial" w:cs="Arial"/>
                <w:color w:val="000000" w:themeColor="text1"/>
                <w:sz w:val="22"/>
                <w:szCs w:val="22"/>
              </w:rPr>
              <w:t>o ograniczonej mobilności, zapewnienia podróżnym odpowiednich środków bezpieczeństwa i komfortu oraz zapewnienia dostępu do infrastruktury towarzyszącej (np. parkingi dla samochodów i rowerów)</w:t>
            </w:r>
          </w:p>
        </w:tc>
        <w:tc>
          <w:tcPr>
            <w:tcW w:w="3238" w:type="dxa"/>
          </w:tcPr>
          <w:p w14:paraId="702681D9"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Projekty PKP SA</w:t>
            </w:r>
          </w:p>
        </w:tc>
        <w:tc>
          <w:tcPr>
            <w:tcW w:w="3005" w:type="dxa"/>
          </w:tcPr>
          <w:p w14:paraId="10505DFE" w14:textId="15817229"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Projekty samorządów</w:t>
            </w:r>
          </w:p>
        </w:tc>
        <w:tc>
          <w:tcPr>
            <w:tcW w:w="1324" w:type="dxa"/>
          </w:tcPr>
          <w:p w14:paraId="76328BFF" w14:textId="31B1A052"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0C31B4B8" w14:textId="6DD87B3F"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polegające na rozwoju </w:t>
            </w:r>
            <w:r w:rsidR="00E875C3">
              <w:rPr>
                <w:rFonts w:ascii="Arial" w:hAnsi="Arial" w:cs="Arial"/>
                <w:color w:val="000000" w:themeColor="text1"/>
                <w:sz w:val="22"/>
                <w:szCs w:val="22"/>
              </w:rPr>
              <w:br/>
            </w:r>
            <w:r w:rsidRPr="00413976">
              <w:rPr>
                <w:rFonts w:ascii="Arial" w:hAnsi="Arial" w:cs="Arial"/>
                <w:color w:val="000000" w:themeColor="text1"/>
                <w:sz w:val="22"/>
                <w:szCs w:val="22"/>
              </w:rPr>
              <w:t xml:space="preserve">i modernizacji infrastruktury transportu publicznego, w tym uzupełnienie sieci obiektów dworcowych i przystanków. (Osiąganie założeń obecnych </w:t>
            </w:r>
            <w:r w:rsidR="00E875C3">
              <w:rPr>
                <w:rFonts w:ascii="Arial" w:hAnsi="Arial" w:cs="Arial"/>
                <w:color w:val="000000" w:themeColor="text1"/>
                <w:sz w:val="22"/>
                <w:szCs w:val="22"/>
              </w:rPr>
              <w:br/>
              <w:t xml:space="preserve">w ramach Celów horyzontalnych: </w:t>
            </w:r>
            <w:r w:rsidR="00101BFE" w:rsidRPr="00413976">
              <w:rPr>
                <w:rFonts w:ascii="Arial" w:hAnsi="Arial" w:cs="Arial"/>
                <w:color w:val="000000" w:themeColor="text1"/>
                <w:sz w:val="22"/>
                <w:szCs w:val="22"/>
              </w:rPr>
              <w:t>2. Wzmocnienie rozwiązań multimodalnych i 3. Rozwój transportu publicznego).</w:t>
            </w:r>
          </w:p>
        </w:tc>
      </w:tr>
      <w:tr w:rsidR="006F4FD2" w:rsidRPr="00413976" w14:paraId="6014F215" w14:textId="77777777" w:rsidTr="008276D6">
        <w:tc>
          <w:tcPr>
            <w:tcW w:w="1272" w:type="dxa"/>
          </w:tcPr>
          <w:p w14:paraId="0464D954"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2BF20DC2"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Działania na rzecz poprawy bezpieczeństwa w całym sektorze transportu, w tym również działania edukacyjno-promocyjne oraz wdrażanie rozwiązań egzekwujących przestrzeganie dopuszczalnej prędkości oraz z zakresu infrastruktury niechronionych użytkowników drogi</w:t>
            </w:r>
          </w:p>
        </w:tc>
        <w:tc>
          <w:tcPr>
            <w:tcW w:w="3238" w:type="dxa"/>
          </w:tcPr>
          <w:p w14:paraId="0006A5B2"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Działania o charakterze ogólnopolskim</w:t>
            </w:r>
          </w:p>
        </w:tc>
        <w:tc>
          <w:tcPr>
            <w:tcW w:w="3005" w:type="dxa"/>
          </w:tcPr>
          <w:p w14:paraId="1A0F4574" w14:textId="70A96CDC"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Działania o charakterze regionalnym lub lokalnym, realizowane przez samorządy</w:t>
            </w:r>
          </w:p>
        </w:tc>
        <w:tc>
          <w:tcPr>
            <w:tcW w:w="1324" w:type="dxa"/>
          </w:tcPr>
          <w:p w14:paraId="56E837ED" w14:textId="1B3A047F"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IKS</w:t>
            </w:r>
            <w:r w:rsidR="000C162E" w:rsidRPr="00413976">
              <w:rPr>
                <w:rFonts w:ascii="Arial" w:hAnsi="Arial" w:cs="Arial"/>
                <w:color w:val="000000" w:themeColor="text1"/>
                <w:sz w:val="22"/>
                <w:szCs w:val="22"/>
              </w:rPr>
              <w:t xml:space="preserve"> 2021-2027</w:t>
            </w:r>
          </w:p>
        </w:tc>
        <w:tc>
          <w:tcPr>
            <w:tcW w:w="3580" w:type="dxa"/>
          </w:tcPr>
          <w:p w14:paraId="25B65CDB" w14:textId="6EDFF7E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na rzecz poprawy bezpieczeństwa w całym sektorze transportu (osiąganie założeń obecnych w ramach </w:t>
            </w:r>
            <w:r w:rsidR="00857354" w:rsidRPr="00413976">
              <w:rPr>
                <w:rFonts w:ascii="Arial" w:hAnsi="Arial" w:cs="Arial"/>
                <w:color w:val="000000" w:themeColor="text1"/>
                <w:sz w:val="22"/>
                <w:szCs w:val="22"/>
              </w:rPr>
              <w:t>c</w:t>
            </w:r>
            <w:r w:rsidRPr="00413976">
              <w:rPr>
                <w:rFonts w:ascii="Arial" w:hAnsi="Arial" w:cs="Arial"/>
                <w:color w:val="000000" w:themeColor="text1"/>
                <w:sz w:val="22"/>
                <w:szCs w:val="22"/>
              </w:rPr>
              <w:t xml:space="preserve">elu horyzontalnego: </w:t>
            </w:r>
            <w:r w:rsidR="00101BFE" w:rsidRPr="00413976">
              <w:rPr>
                <w:rFonts w:ascii="Arial" w:hAnsi="Arial" w:cs="Arial"/>
                <w:color w:val="000000" w:themeColor="text1"/>
                <w:sz w:val="22"/>
                <w:szCs w:val="22"/>
              </w:rPr>
              <w:t xml:space="preserve">4. </w:t>
            </w:r>
            <w:r w:rsidR="00C931EF" w:rsidRPr="00413976">
              <w:rPr>
                <w:rFonts w:ascii="Arial" w:hAnsi="Arial" w:cs="Arial"/>
                <w:color w:val="000000" w:themeColor="text1"/>
                <w:sz w:val="22"/>
                <w:szCs w:val="22"/>
              </w:rPr>
              <w:t>Poprawa bezpieczeństwa w transporcie</w:t>
            </w:r>
            <w:r w:rsidRPr="00413976">
              <w:rPr>
                <w:rFonts w:ascii="Arial" w:hAnsi="Arial" w:cs="Arial"/>
                <w:color w:val="000000" w:themeColor="text1"/>
                <w:sz w:val="22"/>
                <w:szCs w:val="22"/>
              </w:rPr>
              <w:t>).</w:t>
            </w:r>
          </w:p>
        </w:tc>
      </w:tr>
      <w:tr w:rsidR="006F4FD2" w:rsidRPr="00413976" w14:paraId="42652F11" w14:textId="77777777" w:rsidTr="008276D6">
        <w:tc>
          <w:tcPr>
            <w:tcW w:w="1272" w:type="dxa"/>
          </w:tcPr>
          <w:p w14:paraId="1E97F622"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46CA3C69"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Działania na rzecz poprawy bezpieczeństwa w całym sektorze transportu, w tym również działania edukacyjno-promocyjne oraz wdrażanie rozwiązań egzekwujących przestrzeganie dopuszczalnej prędkości oraz z zakresu infrastruktury niechronionych użytkowników drogi</w:t>
            </w:r>
          </w:p>
        </w:tc>
        <w:tc>
          <w:tcPr>
            <w:tcW w:w="3238" w:type="dxa"/>
          </w:tcPr>
          <w:p w14:paraId="577C5B9D"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Działania o charakterze ogólnopolskim</w:t>
            </w:r>
          </w:p>
        </w:tc>
        <w:tc>
          <w:tcPr>
            <w:tcW w:w="3005" w:type="dxa"/>
          </w:tcPr>
          <w:p w14:paraId="58D37D36" w14:textId="563722C3"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Działania o charakterze regionalnym lub lokalnym, realizowane przez samorządy</w:t>
            </w:r>
          </w:p>
        </w:tc>
        <w:tc>
          <w:tcPr>
            <w:tcW w:w="1324" w:type="dxa"/>
          </w:tcPr>
          <w:p w14:paraId="44775F07" w14:textId="79779A89"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3285644A" w14:textId="0F496379"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na rzecz poprawy bezpieczeństwa w całym sektorze transportu (osiąganie założeń obecnych w ramach </w:t>
            </w:r>
            <w:r w:rsidR="00857354" w:rsidRPr="00413976">
              <w:rPr>
                <w:rFonts w:ascii="Arial" w:hAnsi="Arial" w:cs="Arial"/>
                <w:color w:val="000000" w:themeColor="text1"/>
                <w:sz w:val="22"/>
                <w:szCs w:val="22"/>
              </w:rPr>
              <w:t>c</w:t>
            </w:r>
            <w:r w:rsidR="00C931EF" w:rsidRPr="00413976">
              <w:rPr>
                <w:rFonts w:ascii="Arial" w:hAnsi="Arial" w:cs="Arial"/>
                <w:color w:val="000000" w:themeColor="text1"/>
                <w:sz w:val="22"/>
                <w:szCs w:val="22"/>
              </w:rPr>
              <w:t xml:space="preserve">elu horyzontalnego: </w:t>
            </w:r>
            <w:r w:rsidR="00101BFE" w:rsidRPr="00413976">
              <w:rPr>
                <w:rFonts w:ascii="Arial" w:hAnsi="Arial" w:cs="Arial"/>
                <w:color w:val="000000" w:themeColor="text1"/>
                <w:sz w:val="22"/>
                <w:szCs w:val="22"/>
              </w:rPr>
              <w:t xml:space="preserve">4. </w:t>
            </w:r>
            <w:r w:rsidR="00C931EF" w:rsidRPr="00413976">
              <w:rPr>
                <w:rFonts w:ascii="Arial" w:hAnsi="Arial" w:cs="Arial"/>
                <w:color w:val="000000" w:themeColor="text1"/>
                <w:sz w:val="22"/>
                <w:szCs w:val="22"/>
              </w:rPr>
              <w:t>Poprawa bezpieczeństwa w transporcie).</w:t>
            </w:r>
          </w:p>
        </w:tc>
      </w:tr>
      <w:tr w:rsidR="006F4FD2" w:rsidRPr="00413976" w14:paraId="4D41B0CE" w14:textId="77777777" w:rsidTr="008276D6">
        <w:tc>
          <w:tcPr>
            <w:tcW w:w="1272" w:type="dxa"/>
          </w:tcPr>
          <w:p w14:paraId="3ECB8441"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209D8CBA"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Cyfryzacja sektora transportu</w:t>
            </w:r>
          </w:p>
        </w:tc>
        <w:tc>
          <w:tcPr>
            <w:tcW w:w="3238" w:type="dxa"/>
          </w:tcPr>
          <w:p w14:paraId="572C909D"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Projekty systemowe</w:t>
            </w:r>
          </w:p>
        </w:tc>
        <w:tc>
          <w:tcPr>
            <w:tcW w:w="3005" w:type="dxa"/>
          </w:tcPr>
          <w:p w14:paraId="63B4B717"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Działania o charakterze regionalnym lub lokalnym</w:t>
            </w:r>
          </w:p>
        </w:tc>
        <w:tc>
          <w:tcPr>
            <w:tcW w:w="1324" w:type="dxa"/>
          </w:tcPr>
          <w:p w14:paraId="26E0E851" w14:textId="60892231"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FE</w:t>
            </w:r>
            <w:r w:rsidR="00B77C70" w:rsidRPr="00413976">
              <w:rPr>
                <w:rFonts w:ascii="Arial" w:hAnsi="Arial" w:cs="Arial"/>
                <w:color w:val="000000" w:themeColor="text1"/>
                <w:sz w:val="22"/>
                <w:szCs w:val="22"/>
              </w:rPr>
              <w:t>n</w:t>
            </w:r>
            <w:r w:rsidRPr="00413976">
              <w:rPr>
                <w:rFonts w:ascii="Arial" w:hAnsi="Arial" w:cs="Arial"/>
                <w:color w:val="000000" w:themeColor="text1"/>
                <w:sz w:val="22"/>
                <w:szCs w:val="22"/>
              </w:rPr>
              <w:t xml:space="preserve">IKS/ </w:t>
            </w:r>
            <w:r w:rsidR="007606BF" w:rsidRPr="00413976">
              <w:rPr>
                <w:rFonts w:ascii="Arial" w:hAnsi="Arial" w:cs="Arial"/>
                <w:color w:val="000000" w:themeColor="text1"/>
                <w:sz w:val="22"/>
                <w:szCs w:val="22"/>
              </w:rPr>
              <w:t>FEPW</w:t>
            </w:r>
            <w:r w:rsidR="000C162E" w:rsidRPr="00413976">
              <w:rPr>
                <w:rFonts w:ascii="Arial" w:hAnsi="Arial" w:cs="Arial"/>
                <w:color w:val="000000" w:themeColor="text1"/>
                <w:sz w:val="22"/>
                <w:szCs w:val="22"/>
              </w:rPr>
              <w:t xml:space="preserve"> 2021-2027</w:t>
            </w:r>
          </w:p>
        </w:tc>
        <w:tc>
          <w:tcPr>
            <w:tcW w:w="3580" w:type="dxa"/>
          </w:tcPr>
          <w:p w14:paraId="1D3D21AD" w14:textId="1C0FF7C3"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polegające m.in. na wspieraniu realizacji inwestycji transportowych obejmujące również kanały technologiczne </w:t>
            </w:r>
            <w:r w:rsidR="00E875C3">
              <w:rPr>
                <w:rFonts w:ascii="Arial" w:hAnsi="Arial" w:cs="Arial"/>
                <w:color w:val="000000" w:themeColor="text1"/>
                <w:sz w:val="22"/>
                <w:szCs w:val="22"/>
              </w:rPr>
              <w:br/>
            </w:r>
            <w:r w:rsidRPr="00413976">
              <w:rPr>
                <w:rFonts w:ascii="Arial" w:hAnsi="Arial" w:cs="Arial"/>
                <w:color w:val="000000" w:themeColor="text1"/>
                <w:sz w:val="22"/>
                <w:szCs w:val="22"/>
              </w:rPr>
              <w:t>i infrastrukturę teletechniczną (rozwój społeczeństwa informacyjnego wraz z e-usługami oraz transmisją danych) (</w:t>
            </w:r>
            <w:r w:rsidR="00857354" w:rsidRPr="00413976">
              <w:rPr>
                <w:rFonts w:ascii="Arial" w:hAnsi="Arial" w:cs="Arial"/>
                <w:color w:val="000000" w:themeColor="text1"/>
                <w:sz w:val="22"/>
                <w:szCs w:val="22"/>
              </w:rPr>
              <w:t>o</w:t>
            </w:r>
            <w:r w:rsidRPr="00413976">
              <w:rPr>
                <w:rFonts w:ascii="Arial" w:hAnsi="Arial" w:cs="Arial"/>
                <w:color w:val="000000" w:themeColor="text1"/>
                <w:sz w:val="22"/>
                <w:szCs w:val="22"/>
              </w:rPr>
              <w:t xml:space="preserve">siąganie założeń obecnych </w:t>
            </w:r>
            <w:r w:rsidR="00E875C3">
              <w:rPr>
                <w:rFonts w:ascii="Arial" w:hAnsi="Arial" w:cs="Arial"/>
                <w:color w:val="000000" w:themeColor="text1"/>
                <w:sz w:val="22"/>
                <w:szCs w:val="22"/>
              </w:rPr>
              <w:br/>
            </w:r>
            <w:r w:rsidRPr="00413976">
              <w:rPr>
                <w:rFonts w:ascii="Arial" w:hAnsi="Arial" w:cs="Arial"/>
                <w:color w:val="000000" w:themeColor="text1"/>
                <w:sz w:val="22"/>
                <w:szCs w:val="22"/>
              </w:rPr>
              <w:t xml:space="preserve">w ramach </w:t>
            </w:r>
            <w:r w:rsidR="00857354" w:rsidRPr="00413976">
              <w:rPr>
                <w:rFonts w:ascii="Arial" w:hAnsi="Arial" w:cs="Arial"/>
                <w:color w:val="000000" w:themeColor="text1"/>
                <w:sz w:val="22"/>
                <w:szCs w:val="22"/>
              </w:rPr>
              <w:t>c</w:t>
            </w:r>
            <w:r w:rsidRPr="00413976">
              <w:rPr>
                <w:rFonts w:ascii="Arial" w:hAnsi="Arial" w:cs="Arial"/>
                <w:color w:val="000000" w:themeColor="text1"/>
                <w:sz w:val="22"/>
                <w:szCs w:val="22"/>
              </w:rPr>
              <w:t xml:space="preserve">elu horyzontalnego: </w:t>
            </w:r>
            <w:r w:rsidR="00101BFE" w:rsidRPr="00413976">
              <w:rPr>
                <w:rFonts w:ascii="Arial" w:hAnsi="Arial" w:cs="Arial"/>
                <w:color w:val="000000" w:themeColor="text1"/>
                <w:sz w:val="22"/>
                <w:szCs w:val="22"/>
              </w:rPr>
              <w:t xml:space="preserve">2. </w:t>
            </w:r>
            <w:r w:rsidR="00C931EF" w:rsidRPr="00413976">
              <w:rPr>
                <w:rFonts w:ascii="Arial" w:hAnsi="Arial" w:cs="Arial"/>
                <w:color w:val="000000" w:themeColor="text1"/>
                <w:sz w:val="22"/>
                <w:szCs w:val="22"/>
              </w:rPr>
              <w:t>Wzmocnienie rozwiązań multimodalnych</w:t>
            </w:r>
            <w:r w:rsidRPr="00413976">
              <w:rPr>
                <w:rFonts w:ascii="Arial" w:hAnsi="Arial" w:cs="Arial"/>
                <w:color w:val="000000" w:themeColor="text1"/>
                <w:sz w:val="22"/>
                <w:szCs w:val="22"/>
              </w:rPr>
              <w:t>).</w:t>
            </w:r>
          </w:p>
        </w:tc>
      </w:tr>
      <w:tr w:rsidR="006F4FD2" w:rsidRPr="00413976" w14:paraId="2A3779CB" w14:textId="77777777" w:rsidTr="008276D6">
        <w:tc>
          <w:tcPr>
            <w:tcW w:w="1272" w:type="dxa"/>
          </w:tcPr>
          <w:p w14:paraId="6C28A932" w14:textId="77777777" w:rsidR="008276D6" w:rsidRPr="00413976" w:rsidRDefault="008276D6" w:rsidP="00413976">
            <w:pPr>
              <w:spacing w:line="276" w:lineRule="auto"/>
              <w:rPr>
                <w:rFonts w:ascii="Arial" w:hAnsi="Arial" w:cs="Arial"/>
                <w:color w:val="000000" w:themeColor="text1"/>
                <w:sz w:val="22"/>
                <w:szCs w:val="22"/>
              </w:rPr>
            </w:pPr>
            <w:r w:rsidRPr="00413976">
              <w:rPr>
                <w:rFonts w:ascii="Arial" w:hAnsi="Arial" w:cs="Arial"/>
                <w:color w:val="000000" w:themeColor="text1"/>
                <w:sz w:val="22"/>
                <w:szCs w:val="22"/>
              </w:rPr>
              <w:t>CP 3, ii</w:t>
            </w:r>
          </w:p>
        </w:tc>
        <w:tc>
          <w:tcPr>
            <w:tcW w:w="3205" w:type="dxa"/>
          </w:tcPr>
          <w:p w14:paraId="6EEFE59D"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Cyfryzacja sektora transportu</w:t>
            </w:r>
          </w:p>
        </w:tc>
        <w:tc>
          <w:tcPr>
            <w:tcW w:w="3238" w:type="dxa"/>
          </w:tcPr>
          <w:p w14:paraId="04489B05"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Projekty systemowe</w:t>
            </w:r>
          </w:p>
        </w:tc>
        <w:tc>
          <w:tcPr>
            <w:tcW w:w="3005" w:type="dxa"/>
          </w:tcPr>
          <w:p w14:paraId="706FC057" w14:textId="77777777"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Działania o charakterze regionalnym lub lokalnym</w:t>
            </w:r>
          </w:p>
        </w:tc>
        <w:tc>
          <w:tcPr>
            <w:tcW w:w="1324" w:type="dxa"/>
          </w:tcPr>
          <w:p w14:paraId="0A32CC49" w14:textId="6E87B5A5" w:rsidR="008276D6" w:rsidRPr="00413976" w:rsidRDefault="000C162E"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FEP </w:t>
            </w:r>
            <w:r w:rsidR="008276D6" w:rsidRPr="00413976">
              <w:rPr>
                <w:rFonts w:ascii="Arial" w:hAnsi="Arial" w:cs="Arial"/>
                <w:color w:val="000000" w:themeColor="text1"/>
                <w:sz w:val="22"/>
                <w:szCs w:val="22"/>
              </w:rPr>
              <w:t>2021-2027</w:t>
            </w:r>
          </w:p>
        </w:tc>
        <w:tc>
          <w:tcPr>
            <w:tcW w:w="3580" w:type="dxa"/>
          </w:tcPr>
          <w:p w14:paraId="59D3B79A" w14:textId="75113296" w:rsidR="008276D6" w:rsidRPr="00413976" w:rsidRDefault="008276D6" w:rsidP="00413976">
            <w:pPr>
              <w:spacing w:line="276" w:lineRule="auto"/>
              <w:jc w:val="center"/>
              <w:rPr>
                <w:rFonts w:ascii="Arial" w:hAnsi="Arial" w:cs="Arial"/>
                <w:color w:val="000000" w:themeColor="text1"/>
                <w:sz w:val="22"/>
                <w:szCs w:val="22"/>
              </w:rPr>
            </w:pPr>
            <w:r w:rsidRPr="00413976">
              <w:rPr>
                <w:rFonts w:ascii="Arial" w:hAnsi="Arial" w:cs="Arial"/>
                <w:color w:val="000000" w:themeColor="text1"/>
                <w:sz w:val="22"/>
                <w:szCs w:val="22"/>
              </w:rPr>
              <w:t xml:space="preserve">Działania polegające m.in. na wspieraniu realizacji inwestycji transportowych obejmujące również kanały technologiczne </w:t>
            </w:r>
            <w:r w:rsidR="00E875C3">
              <w:rPr>
                <w:rFonts w:ascii="Arial" w:hAnsi="Arial" w:cs="Arial"/>
                <w:color w:val="000000" w:themeColor="text1"/>
                <w:sz w:val="22"/>
                <w:szCs w:val="22"/>
              </w:rPr>
              <w:br/>
            </w:r>
            <w:r w:rsidRPr="00413976">
              <w:rPr>
                <w:rFonts w:ascii="Arial" w:hAnsi="Arial" w:cs="Arial"/>
                <w:color w:val="000000" w:themeColor="text1"/>
                <w:sz w:val="22"/>
                <w:szCs w:val="22"/>
              </w:rPr>
              <w:t xml:space="preserve">i infrastrukturę teletechniczną (rozwój społeczeństwa informacyjnego wraz z e-usługami oraz transmisją danych) (osiąganie założeń obecnych </w:t>
            </w:r>
            <w:r w:rsidR="00E875C3">
              <w:rPr>
                <w:rFonts w:ascii="Arial" w:hAnsi="Arial" w:cs="Arial"/>
                <w:color w:val="000000" w:themeColor="text1"/>
                <w:sz w:val="22"/>
                <w:szCs w:val="22"/>
              </w:rPr>
              <w:br/>
            </w:r>
            <w:r w:rsidRPr="00413976">
              <w:rPr>
                <w:rFonts w:ascii="Arial" w:hAnsi="Arial" w:cs="Arial"/>
                <w:color w:val="000000" w:themeColor="text1"/>
                <w:sz w:val="22"/>
                <w:szCs w:val="22"/>
              </w:rPr>
              <w:t xml:space="preserve">w ramach </w:t>
            </w:r>
            <w:r w:rsidR="00857354" w:rsidRPr="00413976">
              <w:rPr>
                <w:rFonts w:ascii="Arial" w:hAnsi="Arial" w:cs="Arial"/>
                <w:color w:val="000000" w:themeColor="text1"/>
                <w:sz w:val="22"/>
                <w:szCs w:val="22"/>
              </w:rPr>
              <w:t>c</w:t>
            </w:r>
            <w:r w:rsidR="00C931EF" w:rsidRPr="00413976">
              <w:rPr>
                <w:rFonts w:ascii="Arial" w:hAnsi="Arial" w:cs="Arial"/>
                <w:color w:val="000000" w:themeColor="text1"/>
                <w:sz w:val="22"/>
                <w:szCs w:val="22"/>
              </w:rPr>
              <w:t xml:space="preserve">elu horyzontalnego: </w:t>
            </w:r>
            <w:r w:rsidR="00E875C3">
              <w:rPr>
                <w:rFonts w:ascii="Arial" w:hAnsi="Arial" w:cs="Arial"/>
                <w:color w:val="000000" w:themeColor="text1"/>
                <w:sz w:val="22"/>
                <w:szCs w:val="22"/>
              </w:rPr>
              <w:br/>
            </w:r>
            <w:r w:rsidR="00101BFE" w:rsidRPr="00413976">
              <w:rPr>
                <w:rFonts w:ascii="Arial" w:hAnsi="Arial" w:cs="Arial"/>
                <w:color w:val="000000" w:themeColor="text1"/>
                <w:sz w:val="22"/>
                <w:szCs w:val="22"/>
              </w:rPr>
              <w:t xml:space="preserve">2. </w:t>
            </w:r>
            <w:r w:rsidR="00C931EF" w:rsidRPr="00413976">
              <w:rPr>
                <w:rFonts w:ascii="Arial" w:hAnsi="Arial" w:cs="Arial"/>
                <w:color w:val="000000" w:themeColor="text1"/>
                <w:sz w:val="22"/>
                <w:szCs w:val="22"/>
              </w:rPr>
              <w:t>Wzmocnienie rozwiązań multimodalnych).</w:t>
            </w:r>
          </w:p>
        </w:tc>
      </w:tr>
    </w:tbl>
    <w:p w14:paraId="7DA17288" w14:textId="5A354941" w:rsidR="006B0727" w:rsidRPr="009B78DA" w:rsidRDefault="006B0727" w:rsidP="00E875C3">
      <w:pPr>
        <w:spacing w:before="120" w:after="0" w:line="276" w:lineRule="auto"/>
        <w:rPr>
          <w:rFonts w:ascii="Arial" w:hAnsi="Arial" w:cs="Arial"/>
          <w:color w:val="000000" w:themeColor="text1"/>
          <w:sz w:val="22"/>
          <w:szCs w:val="22"/>
        </w:rPr>
      </w:pPr>
      <w:r w:rsidRPr="009B78DA">
        <w:rPr>
          <w:rFonts w:ascii="Arial" w:hAnsi="Arial" w:cs="Arial"/>
          <w:b/>
          <w:color w:val="000000" w:themeColor="text1"/>
          <w:sz w:val="22"/>
          <w:szCs w:val="22"/>
        </w:rPr>
        <w:t>*</w:t>
      </w:r>
      <w:r w:rsidRPr="009B78DA">
        <w:rPr>
          <w:rFonts w:ascii="Arial" w:hAnsi="Arial" w:cs="Arial"/>
          <w:color w:val="000000" w:themeColor="text1"/>
          <w:sz w:val="22"/>
          <w:szCs w:val="22"/>
        </w:rPr>
        <w:t xml:space="preserve"> Cele Polityki oraz zawarte w nich Cele Szczegółowe (na podstawie Linii Demarkacyjnej).</w:t>
      </w:r>
    </w:p>
    <w:p w14:paraId="35B3CADC" w14:textId="18A3B2E7" w:rsidR="007815EE" w:rsidRPr="009B78DA" w:rsidRDefault="006B0727" w:rsidP="00E875C3">
      <w:pPr>
        <w:spacing w:after="120" w:line="276" w:lineRule="auto"/>
        <w:rPr>
          <w:rFonts w:ascii="Arial" w:hAnsi="Arial" w:cs="Arial"/>
          <w:color w:val="000000" w:themeColor="text1"/>
          <w:sz w:val="22"/>
          <w:szCs w:val="22"/>
        </w:rPr>
      </w:pPr>
      <w:r w:rsidRPr="009B78DA">
        <w:rPr>
          <w:rFonts w:ascii="Arial" w:hAnsi="Arial" w:cs="Arial"/>
          <w:b/>
          <w:color w:val="000000" w:themeColor="text1"/>
          <w:sz w:val="22"/>
          <w:szCs w:val="22"/>
        </w:rPr>
        <w:t>**</w:t>
      </w:r>
      <w:r w:rsidR="00857354"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Drogi i pasy rowerowe również będą mogły stanowić element wspieranej w ramach Celu Polityki 3 infrastruktury transportowej, uzupełniać braki </w:t>
      </w:r>
      <w:r w:rsidR="008A751A" w:rsidRPr="009B78DA">
        <w:rPr>
          <w:rFonts w:ascii="Arial" w:hAnsi="Arial" w:cs="Arial"/>
          <w:color w:val="000000" w:themeColor="text1"/>
          <w:sz w:val="22"/>
          <w:szCs w:val="22"/>
        </w:rPr>
        <w:br/>
      </w:r>
      <w:r w:rsidRPr="009B78DA">
        <w:rPr>
          <w:rFonts w:ascii="Arial" w:hAnsi="Arial" w:cs="Arial"/>
          <w:color w:val="000000" w:themeColor="text1"/>
          <w:sz w:val="22"/>
          <w:szCs w:val="22"/>
        </w:rPr>
        <w:t>w infrastrukturze dla niezmotoryzowanych wzdłuż dróg lub stanowić element integrujący różne rodzaje/formy transportu. Przy czym wsparcie w ramach CP3 dotyczyć będzie wyłącznie projektów wynikających z planów transportowych o horyzoncie czasowym do roku 2030, odpowiadających za kierunek rozwoju transportu na szczeblu krajowym/regionalnym.</w:t>
      </w:r>
    </w:p>
    <w:p w14:paraId="6EE8F097" w14:textId="157A0F71" w:rsidR="00486D5C" w:rsidRPr="00E875C3" w:rsidRDefault="006B0727" w:rsidP="00E875C3">
      <w:pPr>
        <w:spacing w:after="120" w:line="276" w:lineRule="auto"/>
        <w:ind w:firstLine="709"/>
        <w:rPr>
          <w:rFonts w:ascii="Arial" w:hAnsi="Arial" w:cs="Arial"/>
          <w:color w:val="000000" w:themeColor="text1"/>
          <w:sz w:val="22"/>
          <w:szCs w:val="22"/>
        </w:rPr>
      </w:pPr>
      <w:bookmarkStart w:id="408" w:name="_Hlk92719955"/>
      <w:bookmarkStart w:id="409" w:name="_Hlk92701760"/>
      <w:r w:rsidRPr="009B78DA">
        <w:rPr>
          <w:rFonts w:ascii="Arial" w:hAnsi="Arial" w:cs="Arial"/>
          <w:color w:val="000000" w:themeColor="text1"/>
          <w:sz w:val="22"/>
          <w:szCs w:val="22"/>
        </w:rPr>
        <w:t xml:space="preserve">Należy dodać, że ze środków Unii Europejskiej dostępnych w ramach Krajowego Planu Odbudowy pochodzących z </w:t>
      </w:r>
      <w:r w:rsidRPr="009B78DA">
        <w:rPr>
          <w:rFonts w:ascii="Arial" w:hAnsi="Arial" w:cs="Arial"/>
          <w:i/>
          <w:color w:val="000000" w:themeColor="text1"/>
          <w:sz w:val="22"/>
          <w:szCs w:val="22"/>
        </w:rPr>
        <w:t>Instrumentu na rzecz Odbudowy</w:t>
      </w:r>
      <w:r w:rsidR="008A751A" w:rsidRPr="009B78DA">
        <w:rPr>
          <w:rFonts w:ascii="Arial" w:hAnsi="Arial" w:cs="Arial"/>
          <w:i/>
          <w:color w:val="000000" w:themeColor="text1"/>
          <w:sz w:val="22"/>
          <w:szCs w:val="22"/>
        </w:rPr>
        <w:br/>
      </w:r>
      <w:r w:rsidRPr="009B78DA">
        <w:rPr>
          <w:rFonts w:ascii="Arial" w:hAnsi="Arial" w:cs="Arial"/>
          <w:i/>
          <w:color w:val="000000" w:themeColor="text1"/>
          <w:sz w:val="22"/>
          <w:szCs w:val="22"/>
        </w:rPr>
        <w:t>i Zwiększenia Odporności</w:t>
      </w:r>
      <w:r w:rsidRPr="009B78DA">
        <w:rPr>
          <w:rFonts w:ascii="Arial" w:hAnsi="Arial" w:cs="Arial"/>
          <w:color w:val="000000" w:themeColor="text1"/>
          <w:sz w:val="22"/>
          <w:szCs w:val="22"/>
        </w:rPr>
        <w:t xml:space="preserve"> możliwe będzie finansowanie takich inwestycji jak: </w:t>
      </w:r>
      <w:r w:rsidR="00126313" w:rsidRPr="009B78DA">
        <w:rPr>
          <w:rFonts w:ascii="Arial" w:hAnsi="Arial" w:cs="Arial"/>
          <w:color w:val="000000" w:themeColor="text1"/>
          <w:sz w:val="22"/>
          <w:szCs w:val="22"/>
        </w:rPr>
        <w:t>zadania obwodnicowe na drogach krajowych</w:t>
      </w:r>
      <w:r w:rsidRPr="009B78DA">
        <w:rPr>
          <w:rFonts w:ascii="Arial" w:hAnsi="Arial" w:cs="Arial"/>
          <w:color w:val="000000" w:themeColor="text1"/>
          <w:sz w:val="22"/>
          <w:szCs w:val="22"/>
        </w:rPr>
        <w:t>. Z KPO przewiduje się także finansowanie zakupu taboru kolejowego, czy dotacje dla inwestycji dotyczących platform intermodalnych i mobilności bezzałogowej (np. dronów).</w:t>
      </w:r>
      <w:bookmarkEnd w:id="408"/>
      <w:bookmarkEnd w:id="409"/>
    </w:p>
    <w:p w14:paraId="4A049739" w14:textId="11E19B29" w:rsidR="00710BAC" w:rsidRPr="009B78DA" w:rsidRDefault="00710BAC" w:rsidP="00E875C3">
      <w:pPr>
        <w:pStyle w:val="Legenda"/>
        <w:keepNext/>
        <w:rPr>
          <w:rFonts w:ascii="Arial" w:hAnsi="Arial" w:cs="Arial"/>
          <w:i w:val="0"/>
          <w:color w:val="000000" w:themeColor="text1"/>
          <w:sz w:val="22"/>
          <w:szCs w:val="22"/>
        </w:rPr>
      </w:pPr>
      <w:bookmarkStart w:id="410" w:name="_Toc146785761"/>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Inne wybrane publiczne źródła finansowania realizacji PSRT WP oraz kategorie finansowanych inwestycji</w:t>
      </w:r>
      <w:bookmarkEnd w:id="410"/>
    </w:p>
    <w:tbl>
      <w:tblPr>
        <w:tblStyle w:val="Tabela-Siatka"/>
        <w:tblW w:w="0" w:type="auto"/>
        <w:jc w:val="center"/>
        <w:tblLook w:val="04A0" w:firstRow="1" w:lastRow="0" w:firstColumn="1" w:lastColumn="0" w:noHBand="0" w:noVBand="1"/>
        <w:tblCaption w:val="Inne wybrane publiczne źródła finansowania realizacji PSRT WP do 2030 r. oraz kategorie finansowanych inwestycji"/>
        <w:tblDescription w:val="Tabela zawiera Źródła wsparcia i Rodzaj inwestycji"/>
      </w:tblPr>
      <w:tblGrid>
        <w:gridCol w:w="5524"/>
        <w:gridCol w:w="9864"/>
      </w:tblGrid>
      <w:tr w:rsidR="006F4FD2" w:rsidRPr="009B78DA" w14:paraId="51003EBB" w14:textId="77777777" w:rsidTr="00E875C3">
        <w:trPr>
          <w:tblHeader/>
          <w:jc w:val="center"/>
        </w:trPr>
        <w:tc>
          <w:tcPr>
            <w:tcW w:w="5524" w:type="dxa"/>
            <w:shd w:val="clear" w:color="auto" w:fill="DEEAF6" w:themeFill="accent1" w:themeFillTint="33"/>
            <w:vAlign w:val="center"/>
          </w:tcPr>
          <w:p w14:paraId="48A15D83" w14:textId="77A41DFD" w:rsidR="007008B1" w:rsidRPr="009B78DA" w:rsidRDefault="00E875C3" w:rsidP="00E875C3">
            <w:pPr>
              <w:spacing w:before="60" w:after="60" w:line="276" w:lineRule="auto"/>
              <w:jc w:val="center"/>
              <w:rPr>
                <w:rFonts w:ascii="Arial" w:hAnsi="Arial" w:cs="Arial"/>
                <w:b/>
                <w:color w:val="000000" w:themeColor="text1"/>
                <w:sz w:val="22"/>
                <w:szCs w:val="22"/>
              </w:rPr>
            </w:pPr>
            <w:r>
              <w:rPr>
                <w:rFonts w:ascii="Arial" w:hAnsi="Arial" w:cs="Arial"/>
                <w:b/>
                <w:color w:val="000000" w:themeColor="text1"/>
                <w:sz w:val="22"/>
                <w:szCs w:val="22"/>
              </w:rPr>
              <w:t>Źródła wsparcia</w:t>
            </w:r>
          </w:p>
        </w:tc>
        <w:tc>
          <w:tcPr>
            <w:tcW w:w="9864" w:type="dxa"/>
            <w:shd w:val="clear" w:color="auto" w:fill="DEEAF6" w:themeFill="accent1" w:themeFillTint="33"/>
            <w:vAlign w:val="center"/>
          </w:tcPr>
          <w:p w14:paraId="718D3391" w14:textId="2E32DFBC" w:rsidR="006B0727" w:rsidRPr="009B78DA" w:rsidRDefault="006B0727" w:rsidP="00E875C3">
            <w:pPr>
              <w:spacing w:before="60" w:after="60"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Rodzaj inwestycji</w:t>
            </w:r>
          </w:p>
        </w:tc>
      </w:tr>
      <w:tr w:rsidR="006F4FD2" w:rsidRPr="009B78DA" w14:paraId="5ADA8E5E" w14:textId="77777777" w:rsidTr="00E875C3">
        <w:trPr>
          <w:jc w:val="center"/>
        </w:trPr>
        <w:tc>
          <w:tcPr>
            <w:tcW w:w="5524" w:type="dxa"/>
            <w:vAlign w:val="center"/>
          </w:tcPr>
          <w:p w14:paraId="11736BEB" w14:textId="77777777" w:rsidR="006B0727" w:rsidRPr="009B78DA" w:rsidRDefault="006B0727" w:rsidP="00E875C3">
            <w:pPr>
              <w:spacing w:before="60" w:after="60" w:line="276" w:lineRule="auto"/>
              <w:rPr>
                <w:rFonts w:ascii="Arial" w:hAnsi="Arial" w:cs="Arial"/>
                <w:b/>
                <w:i/>
                <w:color w:val="000000" w:themeColor="text1"/>
                <w:sz w:val="22"/>
                <w:szCs w:val="22"/>
              </w:rPr>
            </w:pPr>
            <w:r w:rsidRPr="009B78DA">
              <w:rPr>
                <w:rFonts w:ascii="Arial" w:hAnsi="Arial" w:cs="Arial"/>
                <w:b/>
                <w:i/>
                <w:color w:val="000000" w:themeColor="text1"/>
                <w:sz w:val="22"/>
                <w:szCs w:val="22"/>
              </w:rPr>
              <w:t>Program budowy 100 obwodnic na lata 2020 - 2030</w:t>
            </w:r>
          </w:p>
        </w:tc>
        <w:tc>
          <w:tcPr>
            <w:tcW w:w="9864" w:type="dxa"/>
            <w:vAlign w:val="center"/>
          </w:tcPr>
          <w:p w14:paraId="13FFE400" w14:textId="77777777" w:rsidR="006B0727" w:rsidRPr="009B78DA" w:rsidRDefault="006B0727" w:rsidP="00E875C3">
            <w:pPr>
              <w:spacing w:before="60" w:after="60" w:line="276" w:lineRule="auto"/>
              <w:rPr>
                <w:rFonts w:ascii="Arial" w:hAnsi="Arial" w:cs="Arial"/>
                <w:color w:val="000000" w:themeColor="text1"/>
                <w:sz w:val="22"/>
                <w:szCs w:val="22"/>
              </w:rPr>
            </w:pPr>
            <w:r w:rsidRPr="009B78DA">
              <w:rPr>
                <w:rFonts w:ascii="Arial" w:hAnsi="Arial" w:cs="Arial"/>
                <w:color w:val="000000" w:themeColor="text1"/>
                <w:sz w:val="22"/>
                <w:szCs w:val="22"/>
              </w:rPr>
              <w:t>Budowa obwodnic w ciągu dróg krajowych we wskazanych lokalizacjach</w:t>
            </w:r>
          </w:p>
        </w:tc>
      </w:tr>
      <w:tr w:rsidR="006F4FD2" w:rsidRPr="009B78DA" w14:paraId="674403A3" w14:textId="77777777" w:rsidTr="00E875C3">
        <w:trPr>
          <w:jc w:val="center"/>
        </w:trPr>
        <w:tc>
          <w:tcPr>
            <w:tcW w:w="5524" w:type="dxa"/>
            <w:vAlign w:val="center"/>
          </w:tcPr>
          <w:p w14:paraId="0D949919" w14:textId="77777777" w:rsidR="006B0727" w:rsidRPr="009B78DA" w:rsidRDefault="006B0727" w:rsidP="00E875C3">
            <w:pPr>
              <w:spacing w:before="60" w:after="60" w:line="276" w:lineRule="auto"/>
              <w:rPr>
                <w:rFonts w:ascii="Arial" w:hAnsi="Arial" w:cs="Arial"/>
                <w:b/>
                <w:i/>
                <w:color w:val="000000" w:themeColor="text1"/>
                <w:sz w:val="22"/>
                <w:szCs w:val="22"/>
              </w:rPr>
            </w:pPr>
            <w:r w:rsidRPr="009B78DA">
              <w:rPr>
                <w:rFonts w:ascii="Arial" w:hAnsi="Arial" w:cs="Arial"/>
                <w:b/>
                <w:i/>
                <w:color w:val="000000" w:themeColor="text1"/>
                <w:sz w:val="22"/>
                <w:szCs w:val="22"/>
              </w:rPr>
              <w:t>Program Mosty dla regionów</w:t>
            </w:r>
          </w:p>
        </w:tc>
        <w:tc>
          <w:tcPr>
            <w:tcW w:w="9864" w:type="dxa"/>
            <w:vAlign w:val="center"/>
          </w:tcPr>
          <w:p w14:paraId="18C20B9B" w14:textId="1A3A33C4" w:rsidR="006B0727" w:rsidRPr="009B78DA" w:rsidRDefault="006B0727" w:rsidP="00E875C3">
            <w:pPr>
              <w:spacing w:before="60" w:after="60" w:line="276" w:lineRule="auto"/>
              <w:rPr>
                <w:rFonts w:ascii="Arial" w:hAnsi="Arial" w:cs="Arial"/>
                <w:color w:val="000000" w:themeColor="text1"/>
                <w:sz w:val="22"/>
                <w:szCs w:val="22"/>
              </w:rPr>
            </w:pPr>
            <w:r w:rsidRPr="009B78DA">
              <w:rPr>
                <w:rFonts w:ascii="Arial" w:hAnsi="Arial" w:cs="Arial"/>
                <w:color w:val="000000" w:themeColor="text1"/>
                <w:sz w:val="22"/>
                <w:szCs w:val="22"/>
              </w:rPr>
              <w:t>Modernizacja istniejących oraz budowa nowych mostów we wskazanych lokalizacjach</w:t>
            </w:r>
          </w:p>
        </w:tc>
      </w:tr>
      <w:tr w:rsidR="006F4FD2" w:rsidRPr="009B78DA" w14:paraId="130F6B2C" w14:textId="77777777" w:rsidTr="00E875C3">
        <w:trPr>
          <w:jc w:val="center"/>
        </w:trPr>
        <w:tc>
          <w:tcPr>
            <w:tcW w:w="5524" w:type="dxa"/>
            <w:vAlign w:val="center"/>
          </w:tcPr>
          <w:p w14:paraId="3B5E0C64" w14:textId="7C110E2E" w:rsidR="008276D6" w:rsidRPr="009B78DA" w:rsidRDefault="008276D6" w:rsidP="00E875C3">
            <w:pPr>
              <w:spacing w:before="60" w:after="60" w:line="276" w:lineRule="auto"/>
              <w:rPr>
                <w:rFonts w:ascii="Arial" w:hAnsi="Arial" w:cs="Arial"/>
                <w:b/>
                <w:i/>
                <w:color w:val="000000" w:themeColor="text1"/>
                <w:sz w:val="22"/>
                <w:szCs w:val="22"/>
              </w:rPr>
            </w:pPr>
            <w:r w:rsidRPr="009B78DA">
              <w:rPr>
                <w:rFonts w:ascii="Arial" w:hAnsi="Arial" w:cs="Arial"/>
                <w:b/>
                <w:i/>
                <w:color w:val="000000" w:themeColor="text1"/>
                <w:sz w:val="22"/>
                <w:szCs w:val="22"/>
              </w:rPr>
              <w:t>Program Wzmocnienia Krajowej Sieci Drogowej do 2030 roku</w:t>
            </w:r>
          </w:p>
        </w:tc>
        <w:tc>
          <w:tcPr>
            <w:tcW w:w="9864" w:type="dxa"/>
            <w:vAlign w:val="center"/>
          </w:tcPr>
          <w:p w14:paraId="220E20DC" w14:textId="590D2730" w:rsidR="008276D6" w:rsidRPr="009B78DA" w:rsidRDefault="00AE7E05" w:rsidP="00E875C3">
            <w:pPr>
              <w:spacing w:before="60" w:after="60" w:line="276" w:lineRule="auto"/>
              <w:rPr>
                <w:rFonts w:ascii="Arial" w:hAnsi="Arial" w:cs="Arial"/>
                <w:color w:val="000000" w:themeColor="text1"/>
                <w:sz w:val="22"/>
                <w:szCs w:val="22"/>
              </w:rPr>
            </w:pPr>
            <w:r w:rsidRPr="009B78DA">
              <w:rPr>
                <w:rFonts w:ascii="Arial" w:hAnsi="Arial" w:cs="Arial"/>
                <w:color w:val="000000" w:themeColor="text1"/>
                <w:sz w:val="22"/>
                <w:szCs w:val="22"/>
              </w:rPr>
              <w:t>Wz</w:t>
            </w:r>
            <w:r w:rsidR="0079669C" w:rsidRPr="009B78DA">
              <w:rPr>
                <w:rFonts w:ascii="Arial" w:hAnsi="Arial" w:cs="Arial"/>
                <w:color w:val="000000" w:themeColor="text1"/>
                <w:sz w:val="22"/>
                <w:szCs w:val="22"/>
              </w:rPr>
              <w:t>mocnienie i k</w:t>
            </w:r>
            <w:r w:rsidR="008276D6" w:rsidRPr="009B78DA">
              <w:rPr>
                <w:rFonts w:ascii="Arial" w:hAnsi="Arial" w:cs="Arial"/>
                <w:color w:val="000000" w:themeColor="text1"/>
                <w:sz w:val="22"/>
                <w:szCs w:val="22"/>
              </w:rPr>
              <w:t>ompleksowe utrzymanie sieci dróg krajowych zarządzanych przez GDDKiA (utrzymanie strukturalne i bieżące)</w:t>
            </w:r>
            <w:r w:rsidR="0079669C" w:rsidRPr="009B78DA">
              <w:rPr>
                <w:rFonts w:ascii="Arial" w:hAnsi="Arial" w:cs="Arial"/>
                <w:color w:val="000000" w:themeColor="text1"/>
                <w:sz w:val="22"/>
                <w:szCs w:val="22"/>
              </w:rPr>
              <w:t>; wprowadzenie nowych rozwiązań – zastosowanie m.in. zielonych filtrów antysmogowych,</w:t>
            </w:r>
            <w:r w:rsidR="00126EBA" w:rsidRPr="009B78DA">
              <w:rPr>
                <w:rFonts w:ascii="Arial" w:hAnsi="Arial" w:cs="Arial"/>
                <w:color w:val="000000" w:themeColor="text1"/>
                <w:sz w:val="22"/>
                <w:szCs w:val="22"/>
              </w:rPr>
              <w:t xml:space="preserve"> OZE</w:t>
            </w:r>
            <w:r w:rsidR="0079669C" w:rsidRPr="009B78DA">
              <w:rPr>
                <w:rFonts w:ascii="Arial" w:hAnsi="Arial" w:cs="Arial"/>
                <w:color w:val="000000" w:themeColor="text1"/>
                <w:sz w:val="22"/>
                <w:szCs w:val="22"/>
              </w:rPr>
              <w:t xml:space="preserve">, infrastruktury </w:t>
            </w:r>
            <w:r w:rsidR="00126EBA" w:rsidRPr="009B78DA">
              <w:rPr>
                <w:rFonts w:ascii="Arial" w:hAnsi="Arial" w:cs="Arial"/>
                <w:color w:val="000000" w:themeColor="text1"/>
                <w:sz w:val="22"/>
                <w:szCs w:val="22"/>
              </w:rPr>
              <w:t>służącej</w:t>
            </w:r>
            <w:r w:rsidR="0079669C" w:rsidRPr="009B78DA">
              <w:rPr>
                <w:rFonts w:ascii="Arial" w:hAnsi="Arial" w:cs="Arial"/>
                <w:color w:val="000000" w:themeColor="text1"/>
                <w:sz w:val="22"/>
                <w:szCs w:val="22"/>
              </w:rPr>
              <w:t xml:space="preserve"> zapobiegani</w:t>
            </w:r>
            <w:r w:rsidR="00126EBA" w:rsidRPr="009B78DA">
              <w:rPr>
                <w:rFonts w:ascii="Arial" w:hAnsi="Arial" w:cs="Arial"/>
                <w:color w:val="000000" w:themeColor="text1"/>
                <w:sz w:val="22"/>
                <w:szCs w:val="22"/>
              </w:rPr>
              <w:t>u</w:t>
            </w:r>
            <w:r w:rsidR="0079669C" w:rsidRPr="009B78DA">
              <w:rPr>
                <w:rFonts w:ascii="Arial" w:hAnsi="Arial" w:cs="Arial"/>
                <w:color w:val="000000" w:themeColor="text1"/>
                <w:sz w:val="22"/>
                <w:szCs w:val="22"/>
              </w:rPr>
              <w:t xml:space="preserve"> skutkom suszy</w:t>
            </w:r>
          </w:p>
        </w:tc>
      </w:tr>
      <w:tr w:rsidR="00076484" w:rsidRPr="009B78DA" w14:paraId="13939F23" w14:textId="77777777" w:rsidTr="00E875C3">
        <w:trPr>
          <w:jc w:val="center"/>
        </w:trPr>
        <w:tc>
          <w:tcPr>
            <w:tcW w:w="5524" w:type="dxa"/>
            <w:vAlign w:val="center"/>
          </w:tcPr>
          <w:p w14:paraId="17BB1725" w14:textId="3559FFC9" w:rsidR="00076484" w:rsidRPr="009B78DA" w:rsidRDefault="00076484" w:rsidP="00E875C3">
            <w:pPr>
              <w:spacing w:before="60" w:after="60" w:line="276" w:lineRule="auto"/>
              <w:rPr>
                <w:rFonts w:ascii="Arial" w:hAnsi="Arial" w:cs="Arial"/>
                <w:b/>
                <w:i/>
                <w:color w:val="000000" w:themeColor="text1"/>
                <w:sz w:val="22"/>
                <w:szCs w:val="22"/>
              </w:rPr>
            </w:pPr>
            <w:r w:rsidRPr="009B78DA">
              <w:rPr>
                <w:rFonts w:ascii="Arial" w:hAnsi="Arial" w:cs="Arial"/>
                <w:b/>
                <w:i/>
                <w:color w:val="000000" w:themeColor="text1"/>
                <w:sz w:val="22"/>
                <w:szCs w:val="22"/>
              </w:rPr>
              <w:t>Rządowy Program Budowy Dróg Krajowych do 2030 r. (z perspektywą do 2033 r.)</w:t>
            </w:r>
          </w:p>
        </w:tc>
        <w:tc>
          <w:tcPr>
            <w:tcW w:w="9864" w:type="dxa"/>
            <w:vAlign w:val="center"/>
          </w:tcPr>
          <w:p w14:paraId="7F73ABD2" w14:textId="7FEA42AF" w:rsidR="00076484" w:rsidRPr="009B78DA" w:rsidRDefault="006A430D" w:rsidP="00E875C3">
            <w:pPr>
              <w:spacing w:before="60" w:after="60" w:line="276" w:lineRule="auto"/>
              <w:rPr>
                <w:rFonts w:ascii="Arial" w:hAnsi="Arial" w:cs="Arial"/>
                <w:color w:val="000000" w:themeColor="text1"/>
                <w:sz w:val="22"/>
                <w:szCs w:val="22"/>
              </w:rPr>
            </w:pPr>
            <w:r w:rsidRPr="009B78DA">
              <w:rPr>
                <w:rFonts w:ascii="Arial" w:hAnsi="Arial" w:cs="Arial"/>
                <w:color w:val="000000" w:themeColor="text1"/>
                <w:sz w:val="22"/>
                <w:szCs w:val="22"/>
              </w:rPr>
              <w:t>Realizacja polityki transportowej w zakresie budowy drogowej sieci TEN-T na terenie Polski oraz drogowych połączeń komplementarnych; tworzenie spójnej sieci dróg krajowych zapewniającej efektywne funkcjonowanie drogowego transportu osobowego i towarowego</w:t>
            </w:r>
          </w:p>
        </w:tc>
      </w:tr>
      <w:tr w:rsidR="006F4FD2" w:rsidRPr="009B78DA" w14:paraId="4C967AC4" w14:textId="77777777" w:rsidTr="00E875C3">
        <w:trPr>
          <w:jc w:val="center"/>
        </w:trPr>
        <w:tc>
          <w:tcPr>
            <w:tcW w:w="5524" w:type="dxa"/>
            <w:vAlign w:val="center"/>
          </w:tcPr>
          <w:p w14:paraId="0BD83A92" w14:textId="00D9AB30" w:rsidR="008276D6" w:rsidRPr="009B78DA" w:rsidRDefault="008276D6" w:rsidP="00E875C3">
            <w:pPr>
              <w:spacing w:before="60" w:after="60" w:line="276" w:lineRule="auto"/>
              <w:rPr>
                <w:rFonts w:ascii="Arial" w:hAnsi="Arial" w:cs="Arial"/>
                <w:b/>
                <w:i/>
                <w:color w:val="000000" w:themeColor="text1"/>
                <w:sz w:val="22"/>
                <w:szCs w:val="22"/>
              </w:rPr>
            </w:pPr>
            <w:r w:rsidRPr="009B78DA">
              <w:rPr>
                <w:rFonts w:ascii="Arial" w:hAnsi="Arial" w:cs="Arial"/>
                <w:b/>
                <w:i/>
                <w:color w:val="000000" w:themeColor="text1"/>
                <w:sz w:val="22"/>
                <w:szCs w:val="22"/>
              </w:rPr>
              <w:t>Rządowy Fundusz Polski Ład Program Inwestycji Strategicznych</w:t>
            </w:r>
          </w:p>
        </w:tc>
        <w:tc>
          <w:tcPr>
            <w:tcW w:w="9864" w:type="dxa"/>
            <w:vAlign w:val="center"/>
          </w:tcPr>
          <w:p w14:paraId="014B9B6E" w14:textId="15D28644" w:rsidR="008276D6" w:rsidRPr="009B78DA" w:rsidRDefault="008276D6" w:rsidP="00E875C3">
            <w:pPr>
              <w:spacing w:before="60" w:after="60" w:line="276" w:lineRule="auto"/>
              <w:rPr>
                <w:rFonts w:ascii="Arial" w:hAnsi="Arial" w:cs="Arial"/>
                <w:color w:val="000000" w:themeColor="text1"/>
                <w:sz w:val="22"/>
                <w:szCs w:val="22"/>
              </w:rPr>
            </w:pPr>
            <w:r w:rsidRPr="009B78DA">
              <w:rPr>
                <w:rFonts w:ascii="Arial" w:hAnsi="Arial" w:cs="Arial"/>
                <w:color w:val="000000" w:themeColor="text1"/>
                <w:sz w:val="22"/>
                <w:szCs w:val="22"/>
              </w:rPr>
              <w:t>Różnorakie kategorie inwestycji publicznych realizowanych przez JST w sferze transportu. Możliwość dofinasowania zadania i jego wysokość zależny od obszaru priorytetowego, w którym mieści się planowana inwestycja</w:t>
            </w:r>
          </w:p>
        </w:tc>
      </w:tr>
      <w:tr w:rsidR="006F4FD2" w:rsidRPr="009B78DA" w14:paraId="6F14715E" w14:textId="77777777" w:rsidTr="00E875C3">
        <w:trPr>
          <w:jc w:val="center"/>
        </w:trPr>
        <w:tc>
          <w:tcPr>
            <w:tcW w:w="5524" w:type="dxa"/>
            <w:vAlign w:val="center"/>
          </w:tcPr>
          <w:p w14:paraId="374C653F" w14:textId="4875958D" w:rsidR="006B0727" w:rsidRPr="009B78DA" w:rsidRDefault="006B0727" w:rsidP="00E875C3">
            <w:pPr>
              <w:spacing w:before="60" w:after="60" w:line="276" w:lineRule="auto"/>
              <w:rPr>
                <w:rFonts w:ascii="Arial" w:hAnsi="Arial" w:cs="Arial"/>
                <w:b/>
                <w:i/>
                <w:color w:val="000000" w:themeColor="text1"/>
                <w:sz w:val="22"/>
                <w:szCs w:val="22"/>
              </w:rPr>
            </w:pPr>
            <w:r w:rsidRPr="009B78DA">
              <w:rPr>
                <w:rFonts w:ascii="Arial" w:hAnsi="Arial" w:cs="Arial"/>
                <w:b/>
                <w:i/>
                <w:color w:val="000000" w:themeColor="text1"/>
                <w:sz w:val="22"/>
                <w:szCs w:val="22"/>
              </w:rPr>
              <w:t>Fundusz Przeciwdziałania COVID-19 dla jednostek samorządu terytorialnego (RFIL)</w:t>
            </w:r>
          </w:p>
        </w:tc>
        <w:tc>
          <w:tcPr>
            <w:tcW w:w="9864" w:type="dxa"/>
            <w:vAlign w:val="center"/>
          </w:tcPr>
          <w:p w14:paraId="08D50459" w14:textId="4158F399" w:rsidR="00161258" w:rsidRPr="009B78DA" w:rsidRDefault="006B0727" w:rsidP="00E875C3">
            <w:pPr>
              <w:spacing w:before="60" w:after="60" w:line="276" w:lineRule="auto"/>
              <w:rPr>
                <w:rFonts w:ascii="Arial" w:hAnsi="Arial" w:cs="Arial"/>
                <w:color w:val="000000" w:themeColor="text1"/>
                <w:sz w:val="22"/>
                <w:szCs w:val="22"/>
              </w:rPr>
            </w:pPr>
            <w:r w:rsidRPr="009B78DA">
              <w:rPr>
                <w:rFonts w:ascii="Arial" w:hAnsi="Arial" w:cs="Arial"/>
                <w:color w:val="000000" w:themeColor="text1"/>
                <w:sz w:val="22"/>
                <w:szCs w:val="22"/>
              </w:rPr>
              <w:t>Likwidacja szkód powodziowych na określonych drogach wojewódzkich oraz</w:t>
            </w:r>
            <w:r w:rsidR="00E875C3">
              <w:rPr>
                <w:rFonts w:ascii="Arial" w:hAnsi="Arial" w:cs="Arial"/>
                <w:color w:val="000000" w:themeColor="text1"/>
                <w:sz w:val="22"/>
                <w:szCs w:val="22"/>
              </w:rPr>
              <w:t xml:space="preserve"> obiektach mostowych i kładkach </w:t>
            </w:r>
            <w:r w:rsidR="00E875C3">
              <w:rPr>
                <w:rFonts w:ascii="Arial" w:hAnsi="Arial" w:cs="Arial"/>
                <w:color w:val="000000" w:themeColor="text1"/>
                <w:sz w:val="22"/>
                <w:szCs w:val="22"/>
              </w:rPr>
              <w:br/>
            </w:r>
            <w:r w:rsidR="00161258" w:rsidRPr="009B78DA">
              <w:rPr>
                <w:rFonts w:ascii="Arial" w:hAnsi="Arial" w:cs="Arial"/>
                <w:color w:val="000000" w:themeColor="text1"/>
                <w:sz w:val="22"/>
                <w:szCs w:val="22"/>
              </w:rPr>
              <w:t>Budowa węzła na autostrad</w:t>
            </w:r>
            <w:r w:rsidR="00932B3F" w:rsidRPr="009B78DA">
              <w:rPr>
                <w:rFonts w:ascii="Arial" w:hAnsi="Arial" w:cs="Arial"/>
                <w:color w:val="000000" w:themeColor="text1"/>
                <w:sz w:val="22"/>
                <w:szCs w:val="22"/>
              </w:rPr>
              <w:t>zie</w:t>
            </w:r>
            <w:r w:rsidR="00161258" w:rsidRPr="009B78DA">
              <w:rPr>
                <w:rFonts w:ascii="Arial" w:hAnsi="Arial" w:cs="Arial"/>
                <w:color w:val="000000" w:themeColor="text1"/>
                <w:sz w:val="22"/>
                <w:szCs w:val="22"/>
              </w:rPr>
              <w:t xml:space="preserve"> A4</w:t>
            </w:r>
          </w:p>
        </w:tc>
      </w:tr>
      <w:tr w:rsidR="006F4FD2" w:rsidRPr="009B78DA" w14:paraId="45FE670F" w14:textId="77777777" w:rsidTr="00E875C3">
        <w:trPr>
          <w:jc w:val="center"/>
        </w:trPr>
        <w:tc>
          <w:tcPr>
            <w:tcW w:w="5524" w:type="dxa"/>
            <w:vAlign w:val="center"/>
          </w:tcPr>
          <w:p w14:paraId="7E4E1556" w14:textId="77777777" w:rsidR="006B0727" w:rsidRPr="009B78DA" w:rsidRDefault="006B0727" w:rsidP="00E875C3">
            <w:pPr>
              <w:spacing w:before="60" w:after="60" w:line="276" w:lineRule="auto"/>
              <w:rPr>
                <w:rFonts w:ascii="Arial" w:hAnsi="Arial" w:cs="Arial"/>
                <w:b/>
                <w:i/>
                <w:color w:val="000000" w:themeColor="text1"/>
                <w:sz w:val="22"/>
                <w:szCs w:val="22"/>
              </w:rPr>
            </w:pPr>
            <w:r w:rsidRPr="009B78DA">
              <w:rPr>
                <w:rFonts w:ascii="Arial" w:hAnsi="Arial" w:cs="Arial"/>
                <w:b/>
                <w:i/>
                <w:color w:val="000000" w:themeColor="text1"/>
                <w:sz w:val="22"/>
                <w:szCs w:val="22"/>
              </w:rPr>
              <w:t>Program Uzupełniania Lokalnej i Regionalnej Infrastruktury Kolejowej – Kolej+ do 2028 r.</w:t>
            </w:r>
          </w:p>
        </w:tc>
        <w:tc>
          <w:tcPr>
            <w:tcW w:w="9864" w:type="dxa"/>
            <w:vAlign w:val="center"/>
          </w:tcPr>
          <w:p w14:paraId="14957D8E" w14:textId="58B68C46" w:rsidR="006B0727" w:rsidRPr="009B78DA" w:rsidRDefault="006B0727" w:rsidP="00E875C3">
            <w:pPr>
              <w:spacing w:before="60" w:after="60" w:line="276" w:lineRule="auto"/>
              <w:rPr>
                <w:rFonts w:ascii="Arial" w:hAnsi="Arial" w:cs="Arial"/>
                <w:color w:val="000000" w:themeColor="text1"/>
                <w:sz w:val="22"/>
                <w:szCs w:val="22"/>
              </w:rPr>
            </w:pPr>
            <w:r w:rsidRPr="009B78DA">
              <w:rPr>
                <w:rFonts w:ascii="Arial" w:hAnsi="Arial" w:cs="Arial"/>
                <w:color w:val="000000" w:themeColor="text1"/>
                <w:sz w:val="22"/>
                <w:szCs w:val="22"/>
              </w:rPr>
              <w:t>Rewitalizacja określonych linii kolejowych oraz budowa przystanków we wskazanej lokalizacji</w:t>
            </w:r>
          </w:p>
        </w:tc>
      </w:tr>
      <w:tr w:rsidR="006F4FD2" w:rsidRPr="009B78DA" w14:paraId="2F6E3806" w14:textId="77777777" w:rsidTr="00E875C3">
        <w:trPr>
          <w:jc w:val="center"/>
        </w:trPr>
        <w:tc>
          <w:tcPr>
            <w:tcW w:w="5524" w:type="dxa"/>
            <w:vAlign w:val="center"/>
          </w:tcPr>
          <w:p w14:paraId="4BC48650" w14:textId="77777777" w:rsidR="006B0727" w:rsidRPr="009B78DA" w:rsidRDefault="006B0727" w:rsidP="00E875C3">
            <w:pPr>
              <w:spacing w:before="60" w:after="60" w:line="276" w:lineRule="auto"/>
              <w:rPr>
                <w:rFonts w:ascii="Arial" w:hAnsi="Arial" w:cs="Arial"/>
                <w:b/>
                <w:i/>
                <w:color w:val="000000" w:themeColor="text1"/>
                <w:sz w:val="22"/>
                <w:szCs w:val="22"/>
              </w:rPr>
            </w:pPr>
            <w:r w:rsidRPr="009B78DA">
              <w:rPr>
                <w:rFonts w:ascii="Arial" w:hAnsi="Arial" w:cs="Arial"/>
                <w:b/>
                <w:i/>
                <w:color w:val="000000" w:themeColor="text1"/>
                <w:sz w:val="22"/>
                <w:szCs w:val="22"/>
              </w:rPr>
              <w:t>Program budowy 200 przystanków kolejowych</w:t>
            </w:r>
          </w:p>
        </w:tc>
        <w:tc>
          <w:tcPr>
            <w:tcW w:w="9864" w:type="dxa"/>
            <w:vAlign w:val="center"/>
          </w:tcPr>
          <w:p w14:paraId="4D617910" w14:textId="0C86092E" w:rsidR="006B0727" w:rsidRPr="009B78DA" w:rsidRDefault="006B0727" w:rsidP="00E875C3">
            <w:pPr>
              <w:spacing w:before="60" w:after="6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Budowa lub modernizacja przystanków w wybranych lokalizacjach dla ułatwienia korzystania </w:t>
            </w:r>
            <w:r w:rsidR="00E875C3">
              <w:rPr>
                <w:rFonts w:ascii="Arial" w:hAnsi="Arial" w:cs="Arial"/>
                <w:color w:val="000000" w:themeColor="text1"/>
                <w:sz w:val="22"/>
                <w:szCs w:val="22"/>
              </w:rPr>
              <w:br/>
            </w:r>
            <w:r w:rsidRPr="009B78DA">
              <w:rPr>
                <w:rFonts w:ascii="Arial" w:hAnsi="Arial" w:cs="Arial"/>
                <w:color w:val="000000" w:themeColor="text1"/>
                <w:sz w:val="22"/>
                <w:szCs w:val="22"/>
              </w:rPr>
              <w:t>z transportu kolejowego i wymazania tzw. białych plam komunikacyjnych</w:t>
            </w:r>
          </w:p>
        </w:tc>
      </w:tr>
    </w:tbl>
    <w:p w14:paraId="418D79D5" w14:textId="77777777" w:rsidR="00CB738C" w:rsidRPr="009B78DA" w:rsidRDefault="00CB738C" w:rsidP="00F45E35">
      <w:pPr>
        <w:pStyle w:val="Legenda"/>
        <w:keepNext/>
        <w:spacing w:before="240" w:after="0" w:line="276" w:lineRule="auto"/>
        <w:jc w:val="both"/>
        <w:rPr>
          <w:rFonts w:ascii="Arial" w:hAnsi="Arial" w:cs="Arial"/>
          <w:b/>
          <w:i w:val="0"/>
          <w:color w:val="000000" w:themeColor="text1"/>
          <w:sz w:val="22"/>
          <w:szCs w:val="22"/>
        </w:rPr>
        <w:sectPr w:rsidR="00CB738C" w:rsidRPr="009B78DA" w:rsidSect="003E73BC">
          <w:pgSz w:w="16838" w:h="11906" w:orient="landscape"/>
          <w:pgMar w:top="720" w:right="720" w:bottom="720" w:left="720" w:header="708" w:footer="708" w:gutter="0"/>
          <w:cols w:space="708"/>
          <w:docGrid w:linePitch="360"/>
        </w:sectPr>
      </w:pPr>
    </w:p>
    <w:p w14:paraId="7F920588" w14:textId="0987DBEA" w:rsidR="000A7F03" w:rsidRPr="009B78DA" w:rsidRDefault="000A7F03" w:rsidP="00FF5524">
      <w:pPr>
        <w:pStyle w:val="Legenda"/>
        <w:keepNext/>
        <w:rPr>
          <w:rFonts w:ascii="Arial" w:hAnsi="Arial" w:cs="Arial"/>
          <w:i w:val="0"/>
          <w:color w:val="000000" w:themeColor="text1"/>
          <w:sz w:val="22"/>
          <w:szCs w:val="22"/>
        </w:rPr>
      </w:pPr>
      <w:bookmarkStart w:id="411" w:name="_Toc146785762"/>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Prognozowana dynamika wzrostu kosztu nakładów dotyczących wojewódzkiej infrastruktury drogowej w perspektywie do 2030 r. w przeliczeniu na 1 km drogi wojewódzkiej w PLN</w:t>
      </w:r>
      <w:r w:rsidRPr="009B78DA">
        <w:rPr>
          <w:rStyle w:val="Odwoanieprzypisudolnego"/>
          <w:rFonts w:ascii="Arial" w:hAnsi="Arial" w:cs="Arial"/>
          <w:i w:val="0"/>
          <w:color w:val="000000" w:themeColor="text1"/>
          <w:sz w:val="22"/>
          <w:szCs w:val="22"/>
          <w:vertAlign w:val="baseline"/>
        </w:rPr>
        <w:t xml:space="preserve"> </w:t>
      </w:r>
      <w:r w:rsidRPr="009B78DA">
        <w:rPr>
          <w:rStyle w:val="Odwoanieprzypisudolnego"/>
          <w:rFonts w:ascii="Arial" w:hAnsi="Arial" w:cs="Arial"/>
          <w:i w:val="0"/>
          <w:color w:val="000000" w:themeColor="text1"/>
          <w:sz w:val="22"/>
          <w:szCs w:val="22"/>
        </w:rPr>
        <w:footnoteReference w:id="47"/>
      </w:r>
      <w:bookmarkEnd w:id="411"/>
    </w:p>
    <w:tbl>
      <w:tblPr>
        <w:tblStyle w:val="Tabela-Siatka1"/>
        <w:tblW w:w="5000" w:type="pct"/>
        <w:tblLook w:val="04A0" w:firstRow="1" w:lastRow="0" w:firstColumn="1" w:lastColumn="0" w:noHBand="0" w:noVBand="1"/>
        <w:tblCaption w:val="Tabela 32 Prognozowana dynamika wzrostu kosztu nakładów dotyczących wojewódzkiej infrastruktury drogowej w perspektywie do 2030 r. w przeliczeniu na 1 km drogi wojewódzkiej w PLN"/>
        <w:tblDescription w:val="Tabela zawiera Rok, Budowa nowych dróg o parametrach wymaganych przez UE (w PLN), Przebudowa dróg do parametrów wymaganych przez UE (w PLN), Koszt utrzymania (w PLN)"/>
      </w:tblPr>
      <w:tblGrid>
        <w:gridCol w:w="1298"/>
        <w:gridCol w:w="3108"/>
        <w:gridCol w:w="3271"/>
        <w:gridCol w:w="2779"/>
      </w:tblGrid>
      <w:tr w:rsidR="00CB738C" w:rsidRPr="00E875C3" w14:paraId="2A2E125E" w14:textId="77777777" w:rsidTr="00E875C3">
        <w:trPr>
          <w:trHeight w:val="829"/>
          <w:tblHeader/>
        </w:trPr>
        <w:tc>
          <w:tcPr>
            <w:tcW w:w="620" w:type="pct"/>
            <w:shd w:val="clear" w:color="auto" w:fill="DEEAF6" w:themeFill="accent1" w:themeFillTint="33"/>
            <w:vAlign w:val="center"/>
            <w:hideMark/>
          </w:tcPr>
          <w:p w14:paraId="1A03EE5A" w14:textId="77777777" w:rsidR="00CB738C" w:rsidRPr="00E875C3" w:rsidRDefault="00CB738C" w:rsidP="00E875C3">
            <w:pPr>
              <w:jc w:val="center"/>
              <w:rPr>
                <w:rFonts w:ascii="Arial" w:hAnsi="Arial" w:cs="Arial"/>
                <w:b/>
                <w:bCs/>
                <w:color w:val="000000" w:themeColor="text1"/>
                <w:sz w:val="22"/>
                <w:szCs w:val="22"/>
              </w:rPr>
            </w:pPr>
            <w:r w:rsidRPr="00E875C3">
              <w:rPr>
                <w:rFonts w:ascii="Arial" w:hAnsi="Arial" w:cs="Arial"/>
                <w:b/>
                <w:bCs/>
                <w:color w:val="000000" w:themeColor="text1"/>
                <w:sz w:val="22"/>
                <w:szCs w:val="22"/>
              </w:rPr>
              <w:t>Rok</w:t>
            </w:r>
          </w:p>
        </w:tc>
        <w:tc>
          <w:tcPr>
            <w:tcW w:w="1486" w:type="pct"/>
            <w:shd w:val="clear" w:color="auto" w:fill="DEEAF6" w:themeFill="accent1" w:themeFillTint="33"/>
            <w:vAlign w:val="center"/>
            <w:hideMark/>
          </w:tcPr>
          <w:p w14:paraId="23DBA918" w14:textId="3261628C" w:rsidR="00CB738C" w:rsidRPr="00E875C3" w:rsidRDefault="00CB738C" w:rsidP="00E875C3">
            <w:pPr>
              <w:jc w:val="center"/>
              <w:rPr>
                <w:rFonts w:ascii="Arial" w:hAnsi="Arial" w:cs="Arial"/>
                <w:b/>
                <w:bCs/>
                <w:color w:val="000000" w:themeColor="text1"/>
                <w:sz w:val="22"/>
                <w:szCs w:val="22"/>
              </w:rPr>
            </w:pPr>
            <w:r w:rsidRPr="00E875C3">
              <w:rPr>
                <w:rFonts w:ascii="Arial" w:hAnsi="Arial" w:cs="Arial"/>
                <w:b/>
                <w:bCs/>
                <w:color w:val="000000" w:themeColor="text1"/>
                <w:sz w:val="22"/>
                <w:szCs w:val="22"/>
              </w:rPr>
              <w:t xml:space="preserve">Budowa nowych dróg </w:t>
            </w:r>
            <w:r w:rsidR="00E875C3" w:rsidRPr="00E875C3">
              <w:rPr>
                <w:rFonts w:ascii="Arial" w:hAnsi="Arial" w:cs="Arial"/>
                <w:b/>
                <w:bCs/>
                <w:color w:val="000000" w:themeColor="text1"/>
                <w:sz w:val="22"/>
                <w:szCs w:val="22"/>
              </w:rPr>
              <w:br/>
            </w:r>
            <w:r w:rsidRPr="00E875C3">
              <w:rPr>
                <w:rFonts w:ascii="Arial" w:hAnsi="Arial" w:cs="Arial"/>
                <w:b/>
                <w:bCs/>
                <w:color w:val="000000" w:themeColor="text1"/>
                <w:sz w:val="22"/>
                <w:szCs w:val="22"/>
              </w:rPr>
              <w:t>o parametrach wymaganych przez UE (w PLN)</w:t>
            </w:r>
          </w:p>
        </w:tc>
        <w:tc>
          <w:tcPr>
            <w:tcW w:w="1564" w:type="pct"/>
            <w:shd w:val="clear" w:color="auto" w:fill="DEEAF6" w:themeFill="accent1" w:themeFillTint="33"/>
            <w:vAlign w:val="center"/>
            <w:hideMark/>
          </w:tcPr>
          <w:p w14:paraId="3CF2D29D" w14:textId="77777777" w:rsidR="00CB738C" w:rsidRPr="00E875C3" w:rsidRDefault="00CB738C" w:rsidP="00E875C3">
            <w:pPr>
              <w:jc w:val="center"/>
              <w:rPr>
                <w:rFonts w:ascii="Arial" w:hAnsi="Arial" w:cs="Arial"/>
                <w:b/>
                <w:bCs/>
                <w:color w:val="000000" w:themeColor="text1"/>
                <w:sz w:val="22"/>
                <w:szCs w:val="22"/>
              </w:rPr>
            </w:pPr>
            <w:r w:rsidRPr="00E875C3">
              <w:rPr>
                <w:rFonts w:ascii="Arial" w:hAnsi="Arial" w:cs="Arial"/>
                <w:b/>
                <w:bCs/>
                <w:color w:val="000000" w:themeColor="text1"/>
                <w:sz w:val="22"/>
                <w:szCs w:val="22"/>
              </w:rPr>
              <w:t>Przebudowa dróg do parametrów wymaganych przez UE (w PLN)</w:t>
            </w:r>
          </w:p>
        </w:tc>
        <w:tc>
          <w:tcPr>
            <w:tcW w:w="1329" w:type="pct"/>
            <w:shd w:val="clear" w:color="auto" w:fill="DEEAF6" w:themeFill="accent1" w:themeFillTint="33"/>
            <w:vAlign w:val="center"/>
            <w:hideMark/>
          </w:tcPr>
          <w:p w14:paraId="4A86A328" w14:textId="53FE58EB" w:rsidR="00CB738C" w:rsidRPr="00E875C3" w:rsidRDefault="00CB738C" w:rsidP="00E875C3">
            <w:pPr>
              <w:jc w:val="center"/>
              <w:rPr>
                <w:rFonts w:ascii="Arial" w:hAnsi="Arial" w:cs="Arial"/>
                <w:b/>
                <w:bCs/>
                <w:color w:val="000000" w:themeColor="text1"/>
                <w:sz w:val="22"/>
                <w:szCs w:val="22"/>
              </w:rPr>
            </w:pPr>
            <w:r w:rsidRPr="00E875C3">
              <w:rPr>
                <w:rFonts w:ascii="Arial" w:hAnsi="Arial" w:cs="Arial"/>
                <w:b/>
                <w:bCs/>
                <w:color w:val="000000" w:themeColor="text1"/>
                <w:sz w:val="22"/>
                <w:szCs w:val="22"/>
              </w:rPr>
              <w:t xml:space="preserve">Koszt utrzymania </w:t>
            </w:r>
            <w:r w:rsidR="00E875C3">
              <w:rPr>
                <w:rFonts w:ascii="Arial" w:hAnsi="Arial" w:cs="Arial"/>
                <w:b/>
                <w:bCs/>
                <w:color w:val="000000" w:themeColor="text1"/>
                <w:sz w:val="22"/>
                <w:szCs w:val="22"/>
              </w:rPr>
              <w:br/>
            </w:r>
            <w:r w:rsidRPr="00E875C3">
              <w:rPr>
                <w:rFonts w:ascii="Arial" w:hAnsi="Arial" w:cs="Arial"/>
                <w:b/>
                <w:bCs/>
                <w:color w:val="000000" w:themeColor="text1"/>
                <w:sz w:val="22"/>
                <w:szCs w:val="22"/>
              </w:rPr>
              <w:t>(w PLN)</w:t>
            </w:r>
          </w:p>
        </w:tc>
      </w:tr>
      <w:tr w:rsidR="00CB738C" w:rsidRPr="00E875C3" w14:paraId="1ED67F38" w14:textId="77777777" w:rsidTr="00E875C3">
        <w:trPr>
          <w:trHeight w:val="290"/>
        </w:trPr>
        <w:tc>
          <w:tcPr>
            <w:tcW w:w="620" w:type="pct"/>
            <w:vAlign w:val="center"/>
            <w:hideMark/>
          </w:tcPr>
          <w:p w14:paraId="44837C03"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2021</w:t>
            </w:r>
          </w:p>
        </w:tc>
        <w:tc>
          <w:tcPr>
            <w:tcW w:w="1486" w:type="pct"/>
            <w:vAlign w:val="center"/>
            <w:hideMark/>
          </w:tcPr>
          <w:p w14:paraId="03394D18"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11 500 000</w:t>
            </w:r>
          </w:p>
        </w:tc>
        <w:tc>
          <w:tcPr>
            <w:tcW w:w="1564" w:type="pct"/>
            <w:vAlign w:val="center"/>
            <w:hideMark/>
          </w:tcPr>
          <w:p w14:paraId="484F4891"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7 400 000</w:t>
            </w:r>
          </w:p>
        </w:tc>
        <w:tc>
          <w:tcPr>
            <w:tcW w:w="1329" w:type="pct"/>
            <w:vAlign w:val="center"/>
            <w:hideMark/>
          </w:tcPr>
          <w:p w14:paraId="249FBB05"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31 125</w:t>
            </w:r>
          </w:p>
        </w:tc>
      </w:tr>
      <w:tr w:rsidR="00CB738C" w:rsidRPr="00E875C3" w14:paraId="5E2EEA66" w14:textId="77777777" w:rsidTr="00E875C3">
        <w:trPr>
          <w:trHeight w:val="290"/>
        </w:trPr>
        <w:tc>
          <w:tcPr>
            <w:tcW w:w="620" w:type="pct"/>
            <w:vAlign w:val="center"/>
            <w:hideMark/>
          </w:tcPr>
          <w:p w14:paraId="25DB3700"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2022</w:t>
            </w:r>
          </w:p>
        </w:tc>
        <w:tc>
          <w:tcPr>
            <w:tcW w:w="1486" w:type="pct"/>
            <w:vAlign w:val="center"/>
            <w:hideMark/>
          </w:tcPr>
          <w:p w14:paraId="65D9C28E"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14 800 000</w:t>
            </w:r>
          </w:p>
        </w:tc>
        <w:tc>
          <w:tcPr>
            <w:tcW w:w="1564" w:type="pct"/>
            <w:vAlign w:val="center"/>
            <w:hideMark/>
          </w:tcPr>
          <w:p w14:paraId="6E09AD55"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10 500 000</w:t>
            </w:r>
          </w:p>
        </w:tc>
        <w:tc>
          <w:tcPr>
            <w:tcW w:w="1329" w:type="pct"/>
            <w:vAlign w:val="center"/>
            <w:hideMark/>
          </w:tcPr>
          <w:p w14:paraId="044B775D"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46 520</w:t>
            </w:r>
          </w:p>
        </w:tc>
      </w:tr>
      <w:tr w:rsidR="00CB738C" w:rsidRPr="00E875C3" w14:paraId="5F3943E0" w14:textId="77777777" w:rsidTr="00E875C3">
        <w:trPr>
          <w:trHeight w:val="290"/>
        </w:trPr>
        <w:tc>
          <w:tcPr>
            <w:tcW w:w="620" w:type="pct"/>
            <w:vAlign w:val="center"/>
            <w:hideMark/>
          </w:tcPr>
          <w:p w14:paraId="48E32D10"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2023</w:t>
            </w:r>
          </w:p>
        </w:tc>
        <w:tc>
          <w:tcPr>
            <w:tcW w:w="1486" w:type="pct"/>
            <w:vAlign w:val="center"/>
            <w:hideMark/>
          </w:tcPr>
          <w:p w14:paraId="4E4488C4"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16 561 200</w:t>
            </w:r>
          </w:p>
        </w:tc>
        <w:tc>
          <w:tcPr>
            <w:tcW w:w="1564" w:type="pct"/>
            <w:vAlign w:val="center"/>
            <w:hideMark/>
          </w:tcPr>
          <w:p w14:paraId="363FABC2"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11 749 500</w:t>
            </w:r>
          </w:p>
        </w:tc>
        <w:tc>
          <w:tcPr>
            <w:tcW w:w="1329" w:type="pct"/>
            <w:vAlign w:val="center"/>
            <w:hideMark/>
          </w:tcPr>
          <w:p w14:paraId="43AD022D"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57 592</w:t>
            </w:r>
          </w:p>
        </w:tc>
      </w:tr>
      <w:tr w:rsidR="00CB738C" w:rsidRPr="00E875C3" w14:paraId="261C6051" w14:textId="77777777" w:rsidTr="00E875C3">
        <w:trPr>
          <w:trHeight w:val="290"/>
        </w:trPr>
        <w:tc>
          <w:tcPr>
            <w:tcW w:w="620" w:type="pct"/>
            <w:vAlign w:val="center"/>
            <w:hideMark/>
          </w:tcPr>
          <w:p w14:paraId="32EDC5D0"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2024</w:t>
            </w:r>
          </w:p>
        </w:tc>
        <w:tc>
          <w:tcPr>
            <w:tcW w:w="1486" w:type="pct"/>
            <w:vAlign w:val="center"/>
            <w:hideMark/>
          </w:tcPr>
          <w:p w14:paraId="66CA8371"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17 505 188</w:t>
            </w:r>
          </w:p>
        </w:tc>
        <w:tc>
          <w:tcPr>
            <w:tcW w:w="1564" w:type="pct"/>
            <w:vAlign w:val="center"/>
            <w:hideMark/>
          </w:tcPr>
          <w:p w14:paraId="02217FD0"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12 419 222</w:t>
            </w:r>
          </w:p>
        </w:tc>
        <w:tc>
          <w:tcPr>
            <w:tcW w:w="1329" w:type="pct"/>
            <w:vAlign w:val="center"/>
            <w:hideMark/>
          </w:tcPr>
          <w:p w14:paraId="5A310868"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64 157</w:t>
            </w:r>
          </w:p>
        </w:tc>
      </w:tr>
      <w:tr w:rsidR="00CB738C" w:rsidRPr="00E875C3" w14:paraId="243C6EA2" w14:textId="77777777" w:rsidTr="00E875C3">
        <w:trPr>
          <w:trHeight w:val="290"/>
        </w:trPr>
        <w:tc>
          <w:tcPr>
            <w:tcW w:w="620" w:type="pct"/>
            <w:vAlign w:val="center"/>
            <w:hideMark/>
          </w:tcPr>
          <w:p w14:paraId="29A7C870"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2025</w:t>
            </w:r>
          </w:p>
        </w:tc>
        <w:tc>
          <w:tcPr>
            <w:tcW w:w="1486" w:type="pct"/>
            <w:vAlign w:val="center"/>
            <w:hideMark/>
          </w:tcPr>
          <w:p w14:paraId="24C12F54"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18 117 870</w:t>
            </w:r>
          </w:p>
        </w:tc>
        <w:tc>
          <w:tcPr>
            <w:tcW w:w="1564" w:type="pct"/>
            <w:vAlign w:val="center"/>
            <w:hideMark/>
          </w:tcPr>
          <w:p w14:paraId="22417DAA"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12 853 895</w:t>
            </w:r>
          </w:p>
        </w:tc>
        <w:tc>
          <w:tcPr>
            <w:tcW w:w="1329" w:type="pct"/>
            <w:vAlign w:val="center"/>
            <w:hideMark/>
          </w:tcPr>
          <w:p w14:paraId="457E958F"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68 648</w:t>
            </w:r>
          </w:p>
        </w:tc>
      </w:tr>
      <w:tr w:rsidR="00CB738C" w:rsidRPr="00E875C3" w14:paraId="58B1B2B7" w14:textId="77777777" w:rsidTr="00E875C3">
        <w:trPr>
          <w:trHeight w:val="290"/>
        </w:trPr>
        <w:tc>
          <w:tcPr>
            <w:tcW w:w="620" w:type="pct"/>
            <w:vAlign w:val="center"/>
            <w:hideMark/>
          </w:tcPr>
          <w:p w14:paraId="3D6D14F8"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2026</w:t>
            </w:r>
          </w:p>
        </w:tc>
        <w:tc>
          <w:tcPr>
            <w:tcW w:w="1486" w:type="pct"/>
            <w:vAlign w:val="center"/>
            <w:hideMark/>
          </w:tcPr>
          <w:p w14:paraId="1CCA38F3"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18 570 817</w:t>
            </w:r>
          </w:p>
        </w:tc>
        <w:tc>
          <w:tcPr>
            <w:tcW w:w="1564" w:type="pct"/>
            <w:vAlign w:val="center"/>
            <w:hideMark/>
          </w:tcPr>
          <w:p w14:paraId="14F7875D"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13 175 242</w:t>
            </w:r>
          </w:p>
        </w:tc>
        <w:tc>
          <w:tcPr>
            <w:tcW w:w="1329" w:type="pct"/>
            <w:vAlign w:val="center"/>
            <w:hideMark/>
          </w:tcPr>
          <w:p w14:paraId="7710C064"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72 080</w:t>
            </w:r>
          </w:p>
        </w:tc>
      </w:tr>
      <w:tr w:rsidR="00CB738C" w:rsidRPr="00E875C3" w14:paraId="2077222C" w14:textId="77777777" w:rsidTr="00E875C3">
        <w:trPr>
          <w:trHeight w:val="290"/>
        </w:trPr>
        <w:tc>
          <w:tcPr>
            <w:tcW w:w="620" w:type="pct"/>
            <w:vAlign w:val="center"/>
            <w:hideMark/>
          </w:tcPr>
          <w:p w14:paraId="3421F005"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2027</w:t>
            </w:r>
          </w:p>
        </w:tc>
        <w:tc>
          <w:tcPr>
            <w:tcW w:w="1486" w:type="pct"/>
            <w:vAlign w:val="center"/>
            <w:hideMark/>
          </w:tcPr>
          <w:p w14:paraId="1501CBFB"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19 035 087</w:t>
            </w:r>
          </w:p>
        </w:tc>
        <w:tc>
          <w:tcPr>
            <w:tcW w:w="1564" w:type="pct"/>
            <w:vAlign w:val="center"/>
            <w:hideMark/>
          </w:tcPr>
          <w:p w14:paraId="00FB1FB3"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13 504 623</w:t>
            </w:r>
          </w:p>
        </w:tc>
        <w:tc>
          <w:tcPr>
            <w:tcW w:w="1329" w:type="pct"/>
            <w:vAlign w:val="center"/>
            <w:hideMark/>
          </w:tcPr>
          <w:p w14:paraId="3CFBBC64"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75 684</w:t>
            </w:r>
          </w:p>
        </w:tc>
      </w:tr>
      <w:tr w:rsidR="00CB738C" w:rsidRPr="00E875C3" w14:paraId="0318E246" w14:textId="77777777" w:rsidTr="00E875C3">
        <w:trPr>
          <w:trHeight w:val="290"/>
        </w:trPr>
        <w:tc>
          <w:tcPr>
            <w:tcW w:w="620" w:type="pct"/>
            <w:vAlign w:val="center"/>
            <w:hideMark/>
          </w:tcPr>
          <w:p w14:paraId="1566A8C3"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2028</w:t>
            </w:r>
          </w:p>
        </w:tc>
        <w:tc>
          <w:tcPr>
            <w:tcW w:w="1486" w:type="pct"/>
            <w:vAlign w:val="center"/>
            <w:hideMark/>
          </w:tcPr>
          <w:p w14:paraId="1E64EBDA"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19 510 964</w:t>
            </w:r>
          </w:p>
        </w:tc>
        <w:tc>
          <w:tcPr>
            <w:tcW w:w="1564" w:type="pct"/>
            <w:vAlign w:val="center"/>
            <w:hideMark/>
          </w:tcPr>
          <w:p w14:paraId="20B8C7B7"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13 842 239</w:t>
            </w:r>
          </w:p>
        </w:tc>
        <w:tc>
          <w:tcPr>
            <w:tcW w:w="1329" w:type="pct"/>
            <w:vAlign w:val="center"/>
            <w:hideMark/>
          </w:tcPr>
          <w:p w14:paraId="6BD26FD3"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79 468</w:t>
            </w:r>
          </w:p>
        </w:tc>
      </w:tr>
      <w:tr w:rsidR="00CB738C" w:rsidRPr="00E875C3" w14:paraId="6B2C91E7" w14:textId="77777777" w:rsidTr="00E875C3">
        <w:trPr>
          <w:trHeight w:val="290"/>
        </w:trPr>
        <w:tc>
          <w:tcPr>
            <w:tcW w:w="620" w:type="pct"/>
            <w:vAlign w:val="center"/>
            <w:hideMark/>
          </w:tcPr>
          <w:p w14:paraId="6CAD4B34"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2029</w:t>
            </w:r>
          </w:p>
        </w:tc>
        <w:tc>
          <w:tcPr>
            <w:tcW w:w="1486" w:type="pct"/>
            <w:vAlign w:val="center"/>
            <w:hideMark/>
          </w:tcPr>
          <w:p w14:paraId="4F2AF770"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19 998 738</w:t>
            </w:r>
          </w:p>
        </w:tc>
        <w:tc>
          <w:tcPr>
            <w:tcW w:w="1564" w:type="pct"/>
            <w:vAlign w:val="center"/>
            <w:hideMark/>
          </w:tcPr>
          <w:p w14:paraId="3E6363AC"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14 188 295</w:t>
            </w:r>
          </w:p>
        </w:tc>
        <w:tc>
          <w:tcPr>
            <w:tcW w:w="1329" w:type="pct"/>
            <w:vAlign w:val="center"/>
            <w:hideMark/>
          </w:tcPr>
          <w:p w14:paraId="05F38B1D"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83 441</w:t>
            </w:r>
          </w:p>
        </w:tc>
      </w:tr>
      <w:tr w:rsidR="00CB738C" w:rsidRPr="00E875C3" w14:paraId="16118695" w14:textId="77777777" w:rsidTr="00E875C3">
        <w:trPr>
          <w:trHeight w:val="290"/>
        </w:trPr>
        <w:tc>
          <w:tcPr>
            <w:tcW w:w="620" w:type="pct"/>
            <w:vAlign w:val="center"/>
            <w:hideMark/>
          </w:tcPr>
          <w:p w14:paraId="27E637DE"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2030</w:t>
            </w:r>
          </w:p>
        </w:tc>
        <w:tc>
          <w:tcPr>
            <w:tcW w:w="1486" w:type="pct"/>
            <w:vAlign w:val="center"/>
            <w:hideMark/>
          </w:tcPr>
          <w:p w14:paraId="45F9F752"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20 498 706</w:t>
            </w:r>
          </w:p>
        </w:tc>
        <w:tc>
          <w:tcPr>
            <w:tcW w:w="1564" w:type="pct"/>
            <w:vAlign w:val="center"/>
            <w:hideMark/>
          </w:tcPr>
          <w:p w14:paraId="2191DD0F"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14 543 002</w:t>
            </w:r>
          </w:p>
        </w:tc>
        <w:tc>
          <w:tcPr>
            <w:tcW w:w="1329" w:type="pct"/>
            <w:vAlign w:val="center"/>
            <w:hideMark/>
          </w:tcPr>
          <w:p w14:paraId="73DA3AE0" w14:textId="77777777" w:rsidR="00CB738C" w:rsidRPr="00E875C3" w:rsidRDefault="00CB738C" w:rsidP="00E875C3">
            <w:pPr>
              <w:jc w:val="center"/>
              <w:rPr>
                <w:rFonts w:ascii="Arial" w:hAnsi="Arial" w:cs="Arial"/>
                <w:color w:val="000000" w:themeColor="text1"/>
                <w:sz w:val="22"/>
                <w:szCs w:val="22"/>
              </w:rPr>
            </w:pPr>
            <w:r w:rsidRPr="00E875C3">
              <w:rPr>
                <w:rFonts w:ascii="Arial" w:hAnsi="Arial" w:cs="Arial"/>
                <w:color w:val="000000" w:themeColor="text1"/>
                <w:sz w:val="22"/>
                <w:szCs w:val="22"/>
              </w:rPr>
              <w:t>87 613</w:t>
            </w:r>
          </w:p>
        </w:tc>
      </w:tr>
    </w:tbl>
    <w:p w14:paraId="77630A92" w14:textId="5DD1797B" w:rsidR="0042281B" w:rsidRPr="009B78DA" w:rsidRDefault="00CB738C" w:rsidP="00E875C3">
      <w:p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Opracowanie:</w:t>
      </w:r>
      <w:r w:rsidR="00590D96"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PZDW</w:t>
      </w:r>
    </w:p>
    <w:p w14:paraId="676DFBD4" w14:textId="09F87B7F" w:rsidR="000A7F03" w:rsidRPr="009B78DA" w:rsidRDefault="000A7F03" w:rsidP="00FF5524">
      <w:pPr>
        <w:pStyle w:val="Legenda"/>
        <w:keepNext/>
        <w:spacing w:before="120" w:after="120" w:line="276" w:lineRule="auto"/>
        <w:rPr>
          <w:rFonts w:ascii="Arial" w:hAnsi="Arial" w:cs="Arial"/>
          <w:i w:val="0"/>
          <w:color w:val="000000" w:themeColor="text1"/>
          <w:sz w:val="22"/>
          <w:szCs w:val="22"/>
        </w:rPr>
      </w:pPr>
      <w:bookmarkStart w:id="412" w:name="_Toc146785763"/>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Szacowany </w:t>
      </w:r>
      <w:r w:rsidRPr="009B78DA">
        <w:rPr>
          <w:rStyle w:val="Odwoanieprzypisudolnego"/>
          <w:rFonts w:ascii="Arial" w:hAnsi="Arial" w:cs="Arial"/>
          <w:i w:val="0"/>
          <w:color w:val="000000" w:themeColor="text1"/>
          <w:sz w:val="22"/>
          <w:szCs w:val="22"/>
          <w:vertAlign w:val="baseline"/>
        </w:rPr>
        <w:t>wzrost nakładów dotyczących wojewódzkiej infrastruktury drogowej w perspektywie do 2030 r. (w tys. PLN)</w:t>
      </w:r>
      <w:r w:rsidRPr="009B78DA">
        <w:rPr>
          <w:rStyle w:val="Odwoanieprzypisudolnego"/>
          <w:rFonts w:ascii="Arial" w:hAnsi="Arial" w:cs="Arial"/>
          <w:i w:val="0"/>
          <w:color w:val="000000" w:themeColor="text1"/>
          <w:sz w:val="22"/>
          <w:szCs w:val="22"/>
        </w:rPr>
        <w:footnoteReference w:id="48"/>
      </w:r>
      <w:r w:rsidRPr="009B78DA">
        <w:rPr>
          <w:rStyle w:val="Odwoanieprzypisudolnego"/>
          <w:rFonts w:ascii="Arial" w:hAnsi="Arial" w:cs="Arial"/>
          <w:i w:val="0"/>
          <w:color w:val="000000" w:themeColor="text1"/>
          <w:sz w:val="22"/>
          <w:szCs w:val="22"/>
          <w:vertAlign w:val="baseline"/>
        </w:rPr>
        <w:t>.</w:t>
      </w:r>
      <w:bookmarkEnd w:id="412"/>
    </w:p>
    <w:tbl>
      <w:tblPr>
        <w:tblStyle w:val="Tabela-Siatka1"/>
        <w:tblW w:w="5000" w:type="pct"/>
        <w:tblLook w:val="04A0" w:firstRow="1" w:lastRow="0" w:firstColumn="1" w:lastColumn="0" w:noHBand="0" w:noVBand="1"/>
        <w:tblCaption w:val="Tabela 33 Szacowany wzrost nakładów dotyczących wojewódzkiej infrastruktury drogowej w perspektywie do 2030 r. (w tys. PLN)"/>
        <w:tblDescription w:val="Tabela zawiera Rok, Budżet na wydatki drogowe majątkowe, Budżet na wydatki drogowe - bieżące"/>
      </w:tblPr>
      <w:tblGrid>
        <w:gridCol w:w="2524"/>
        <w:gridCol w:w="4251"/>
        <w:gridCol w:w="3681"/>
      </w:tblGrid>
      <w:tr w:rsidR="0042281B" w:rsidRPr="00E875C3" w14:paraId="67666686" w14:textId="77777777" w:rsidTr="00E94AFC">
        <w:trPr>
          <w:trHeight w:val="885"/>
          <w:tblHeader/>
        </w:trPr>
        <w:tc>
          <w:tcPr>
            <w:tcW w:w="1207" w:type="pct"/>
            <w:shd w:val="clear" w:color="auto" w:fill="DEEAF6" w:themeFill="accent1" w:themeFillTint="33"/>
            <w:vAlign w:val="center"/>
            <w:hideMark/>
          </w:tcPr>
          <w:p w14:paraId="06416CF3" w14:textId="77777777" w:rsidR="0042281B" w:rsidRPr="00E875C3" w:rsidRDefault="0042281B" w:rsidP="00E05355">
            <w:pPr>
              <w:jc w:val="center"/>
              <w:rPr>
                <w:rFonts w:ascii="Arial" w:hAnsi="Arial" w:cs="Arial"/>
                <w:b/>
                <w:color w:val="000000" w:themeColor="text1"/>
                <w:sz w:val="22"/>
                <w:szCs w:val="22"/>
              </w:rPr>
            </w:pPr>
            <w:r w:rsidRPr="00E875C3">
              <w:rPr>
                <w:rFonts w:ascii="Arial" w:hAnsi="Arial" w:cs="Arial"/>
                <w:b/>
                <w:color w:val="000000" w:themeColor="text1"/>
                <w:sz w:val="22"/>
                <w:szCs w:val="22"/>
              </w:rPr>
              <w:t>Rok</w:t>
            </w:r>
          </w:p>
        </w:tc>
        <w:tc>
          <w:tcPr>
            <w:tcW w:w="2033" w:type="pct"/>
            <w:shd w:val="clear" w:color="auto" w:fill="DEEAF6" w:themeFill="accent1" w:themeFillTint="33"/>
            <w:vAlign w:val="center"/>
            <w:hideMark/>
          </w:tcPr>
          <w:p w14:paraId="16FD4BF8" w14:textId="77777777" w:rsidR="0042281B" w:rsidRPr="00E875C3" w:rsidRDefault="0042281B" w:rsidP="00E05355">
            <w:pPr>
              <w:jc w:val="center"/>
              <w:rPr>
                <w:rFonts w:ascii="Arial" w:hAnsi="Arial" w:cs="Arial"/>
                <w:b/>
                <w:color w:val="000000" w:themeColor="text1"/>
                <w:sz w:val="22"/>
                <w:szCs w:val="22"/>
              </w:rPr>
            </w:pPr>
            <w:r w:rsidRPr="00E875C3">
              <w:rPr>
                <w:rFonts w:ascii="Arial" w:hAnsi="Arial" w:cs="Arial"/>
                <w:b/>
                <w:color w:val="000000" w:themeColor="text1"/>
                <w:sz w:val="22"/>
                <w:szCs w:val="22"/>
              </w:rPr>
              <w:t>Budżet na wydatki drogowe majątkowe</w:t>
            </w:r>
          </w:p>
        </w:tc>
        <w:tc>
          <w:tcPr>
            <w:tcW w:w="1760" w:type="pct"/>
            <w:shd w:val="clear" w:color="auto" w:fill="DEEAF6" w:themeFill="accent1" w:themeFillTint="33"/>
            <w:vAlign w:val="center"/>
            <w:hideMark/>
          </w:tcPr>
          <w:p w14:paraId="0E582A96" w14:textId="77777777" w:rsidR="0042281B" w:rsidRPr="00E875C3" w:rsidRDefault="0042281B" w:rsidP="00E05355">
            <w:pPr>
              <w:jc w:val="center"/>
              <w:rPr>
                <w:rFonts w:ascii="Arial" w:hAnsi="Arial" w:cs="Arial"/>
                <w:b/>
                <w:color w:val="000000" w:themeColor="text1"/>
                <w:sz w:val="22"/>
                <w:szCs w:val="22"/>
              </w:rPr>
            </w:pPr>
            <w:r w:rsidRPr="00E875C3">
              <w:rPr>
                <w:rFonts w:ascii="Arial" w:hAnsi="Arial" w:cs="Arial"/>
                <w:b/>
                <w:color w:val="000000" w:themeColor="text1"/>
                <w:sz w:val="22"/>
                <w:szCs w:val="22"/>
              </w:rPr>
              <w:t>Budżet na wydatki drogowe - bieżące</w:t>
            </w:r>
          </w:p>
        </w:tc>
      </w:tr>
      <w:tr w:rsidR="0042281B" w:rsidRPr="00E875C3" w14:paraId="39D87FAC" w14:textId="77777777" w:rsidTr="00E05355">
        <w:trPr>
          <w:trHeight w:val="296"/>
        </w:trPr>
        <w:tc>
          <w:tcPr>
            <w:tcW w:w="1207" w:type="pct"/>
            <w:vAlign w:val="center"/>
            <w:hideMark/>
          </w:tcPr>
          <w:p w14:paraId="5E781F0F"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2021*</w:t>
            </w:r>
          </w:p>
        </w:tc>
        <w:tc>
          <w:tcPr>
            <w:tcW w:w="2033" w:type="pct"/>
            <w:vAlign w:val="center"/>
            <w:hideMark/>
          </w:tcPr>
          <w:p w14:paraId="414C705F"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257 721,41</w:t>
            </w:r>
          </w:p>
        </w:tc>
        <w:tc>
          <w:tcPr>
            <w:tcW w:w="1760" w:type="pct"/>
            <w:vAlign w:val="center"/>
            <w:hideMark/>
          </w:tcPr>
          <w:p w14:paraId="2C7FB1E6"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71 740,05</w:t>
            </w:r>
          </w:p>
        </w:tc>
      </w:tr>
      <w:tr w:rsidR="0042281B" w:rsidRPr="00E875C3" w14:paraId="5B6F54DE" w14:textId="77777777" w:rsidTr="00E05355">
        <w:trPr>
          <w:trHeight w:val="296"/>
        </w:trPr>
        <w:tc>
          <w:tcPr>
            <w:tcW w:w="1207" w:type="pct"/>
            <w:vAlign w:val="center"/>
            <w:hideMark/>
          </w:tcPr>
          <w:p w14:paraId="41A6CF63"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2022*</w:t>
            </w:r>
          </w:p>
        </w:tc>
        <w:tc>
          <w:tcPr>
            <w:tcW w:w="2033" w:type="pct"/>
            <w:vAlign w:val="center"/>
            <w:hideMark/>
          </w:tcPr>
          <w:p w14:paraId="376EE401"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274 017,06</w:t>
            </w:r>
          </w:p>
        </w:tc>
        <w:tc>
          <w:tcPr>
            <w:tcW w:w="1760" w:type="pct"/>
            <w:vAlign w:val="center"/>
            <w:hideMark/>
          </w:tcPr>
          <w:p w14:paraId="342DC871"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79 384,00</w:t>
            </w:r>
          </w:p>
        </w:tc>
      </w:tr>
      <w:tr w:rsidR="0042281B" w:rsidRPr="00E875C3" w14:paraId="5C4090FC" w14:textId="77777777" w:rsidTr="00E05355">
        <w:trPr>
          <w:trHeight w:val="296"/>
        </w:trPr>
        <w:tc>
          <w:tcPr>
            <w:tcW w:w="1207" w:type="pct"/>
            <w:vAlign w:val="center"/>
            <w:hideMark/>
          </w:tcPr>
          <w:p w14:paraId="59179CDE"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2023**</w:t>
            </w:r>
          </w:p>
        </w:tc>
        <w:tc>
          <w:tcPr>
            <w:tcW w:w="2033" w:type="pct"/>
            <w:vAlign w:val="center"/>
            <w:hideMark/>
          </w:tcPr>
          <w:p w14:paraId="79E9D0C7"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301 418,77</w:t>
            </w:r>
          </w:p>
        </w:tc>
        <w:tc>
          <w:tcPr>
            <w:tcW w:w="1760" w:type="pct"/>
            <w:vAlign w:val="center"/>
            <w:hideMark/>
          </w:tcPr>
          <w:p w14:paraId="19FB6439"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87 322,40</w:t>
            </w:r>
          </w:p>
        </w:tc>
      </w:tr>
      <w:tr w:rsidR="0042281B" w:rsidRPr="00E875C3" w14:paraId="472F1A2A" w14:textId="77777777" w:rsidTr="00E05355">
        <w:trPr>
          <w:trHeight w:val="296"/>
        </w:trPr>
        <w:tc>
          <w:tcPr>
            <w:tcW w:w="1207" w:type="pct"/>
            <w:vAlign w:val="center"/>
            <w:hideMark/>
          </w:tcPr>
          <w:p w14:paraId="3406E8D1"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2024**</w:t>
            </w:r>
          </w:p>
        </w:tc>
        <w:tc>
          <w:tcPr>
            <w:tcW w:w="2033" w:type="pct"/>
            <w:vAlign w:val="center"/>
            <w:hideMark/>
          </w:tcPr>
          <w:p w14:paraId="081E6888"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331 560,64</w:t>
            </w:r>
          </w:p>
        </w:tc>
        <w:tc>
          <w:tcPr>
            <w:tcW w:w="1760" w:type="pct"/>
            <w:vAlign w:val="center"/>
            <w:hideMark/>
          </w:tcPr>
          <w:p w14:paraId="119CCB47"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96 054,64</w:t>
            </w:r>
          </w:p>
        </w:tc>
      </w:tr>
      <w:tr w:rsidR="0042281B" w:rsidRPr="00E875C3" w14:paraId="6B89DF16" w14:textId="77777777" w:rsidTr="00E05355">
        <w:trPr>
          <w:trHeight w:val="296"/>
        </w:trPr>
        <w:tc>
          <w:tcPr>
            <w:tcW w:w="1207" w:type="pct"/>
            <w:vAlign w:val="center"/>
            <w:hideMark/>
          </w:tcPr>
          <w:p w14:paraId="750BA003"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2025**</w:t>
            </w:r>
          </w:p>
        </w:tc>
        <w:tc>
          <w:tcPr>
            <w:tcW w:w="2033" w:type="pct"/>
            <w:vAlign w:val="center"/>
            <w:hideMark/>
          </w:tcPr>
          <w:p w14:paraId="5A067C5D"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364 716,71</w:t>
            </w:r>
          </w:p>
        </w:tc>
        <w:tc>
          <w:tcPr>
            <w:tcW w:w="1760" w:type="pct"/>
            <w:vAlign w:val="center"/>
            <w:hideMark/>
          </w:tcPr>
          <w:p w14:paraId="45DDDD91"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105 660,10</w:t>
            </w:r>
          </w:p>
        </w:tc>
      </w:tr>
      <w:tr w:rsidR="0042281B" w:rsidRPr="00E875C3" w14:paraId="2FFA5841" w14:textId="77777777" w:rsidTr="00E05355">
        <w:trPr>
          <w:trHeight w:val="296"/>
        </w:trPr>
        <w:tc>
          <w:tcPr>
            <w:tcW w:w="1207" w:type="pct"/>
            <w:vAlign w:val="center"/>
            <w:hideMark/>
          </w:tcPr>
          <w:p w14:paraId="23403FE9"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2026**</w:t>
            </w:r>
          </w:p>
        </w:tc>
        <w:tc>
          <w:tcPr>
            <w:tcW w:w="2033" w:type="pct"/>
            <w:vAlign w:val="center"/>
            <w:hideMark/>
          </w:tcPr>
          <w:p w14:paraId="72E09D4A"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401 188,38</w:t>
            </w:r>
          </w:p>
        </w:tc>
        <w:tc>
          <w:tcPr>
            <w:tcW w:w="1760" w:type="pct"/>
            <w:vAlign w:val="center"/>
            <w:hideMark/>
          </w:tcPr>
          <w:p w14:paraId="2DFF234F"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116 226,11</w:t>
            </w:r>
          </w:p>
        </w:tc>
      </w:tr>
      <w:tr w:rsidR="0042281B" w:rsidRPr="00E875C3" w14:paraId="697FBD16" w14:textId="77777777" w:rsidTr="00E05355">
        <w:trPr>
          <w:trHeight w:val="296"/>
        </w:trPr>
        <w:tc>
          <w:tcPr>
            <w:tcW w:w="1207" w:type="pct"/>
            <w:vAlign w:val="center"/>
            <w:hideMark/>
          </w:tcPr>
          <w:p w14:paraId="32188530"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2027**</w:t>
            </w:r>
          </w:p>
        </w:tc>
        <w:tc>
          <w:tcPr>
            <w:tcW w:w="2033" w:type="pct"/>
            <w:vAlign w:val="center"/>
            <w:hideMark/>
          </w:tcPr>
          <w:p w14:paraId="71BA5887"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441 307,22</w:t>
            </w:r>
          </w:p>
        </w:tc>
        <w:tc>
          <w:tcPr>
            <w:tcW w:w="1760" w:type="pct"/>
            <w:vAlign w:val="center"/>
            <w:hideMark/>
          </w:tcPr>
          <w:p w14:paraId="14E327EF"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127 848,72</w:t>
            </w:r>
          </w:p>
        </w:tc>
      </w:tr>
      <w:tr w:rsidR="0042281B" w:rsidRPr="00E875C3" w14:paraId="2CD53375" w14:textId="77777777" w:rsidTr="00E05355">
        <w:trPr>
          <w:trHeight w:val="296"/>
        </w:trPr>
        <w:tc>
          <w:tcPr>
            <w:tcW w:w="1207" w:type="pct"/>
            <w:vAlign w:val="center"/>
            <w:hideMark/>
          </w:tcPr>
          <w:p w14:paraId="6485D6D9"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2028**</w:t>
            </w:r>
          </w:p>
        </w:tc>
        <w:tc>
          <w:tcPr>
            <w:tcW w:w="2033" w:type="pct"/>
            <w:vAlign w:val="center"/>
            <w:hideMark/>
          </w:tcPr>
          <w:p w14:paraId="7D902536"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485 437,94</w:t>
            </w:r>
          </w:p>
        </w:tc>
        <w:tc>
          <w:tcPr>
            <w:tcW w:w="1760" w:type="pct"/>
            <w:vAlign w:val="center"/>
            <w:hideMark/>
          </w:tcPr>
          <w:p w14:paraId="1DF0756A"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140 633,60</w:t>
            </w:r>
          </w:p>
        </w:tc>
      </w:tr>
      <w:tr w:rsidR="0042281B" w:rsidRPr="00E875C3" w14:paraId="4ACB26A6" w14:textId="77777777" w:rsidTr="00E05355">
        <w:trPr>
          <w:trHeight w:val="296"/>
        </w:trPr>
        <w:tc>
          <w:tcPr>
            <w:tcW w:w="1207" w:type="pct"/>
            <w:vAlign w:val="center"/>
            <w:hideMark/>
          </w:tcPr>
          <w:p w14:paraId="0A23E214"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2029**</w:t>
            </w:r>
          </w:p>
        </w:tc>
        <w:tc>
          <w:tcPr>
            <w:tcW w:w="2033" w:type="pct"/>
            <w:vAlign w:val="center"/>
            <w:hideMark/>
          </w:tcPr>
          <w:p w14:paraId="1DA4D330"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533 981,73</w:t>
            </w:r>
          </w:p>
        </w:tc>
        <w:tc>
          <w:tcPr>
            <w:tcW w:w="1760" w:type="pct"/>
            <w:vAlign w:val="center"/>
            <w:hideMark/>
          </w:tcPr>
          <w:p w14:paraId="57469B92"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154 696,96</w:t>
            </w:r>
          </w:p>
        </w:tc>
      </w:tr>
      <w:tr w:rsidR="0042281B" w:rsidRPr="00E875C3" w14:paraId="16F6D3F5" w14:textId="77777777" w:rsidTr="00E05355">
        <w:trPr>
          <w:trHeight w:val="296"/>
        </w:trPr>
        <w:tc>
          <w:tcPr>
            <w:tcW w:w="1207" w:type="pct"/>
            <w:vAlign w:val="center"/>
            <w:hideMark/>
          </w:tcPr>
          <w:p w14:paraId="6E969CBF"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2030**</w:t>
            </w:r>
          </w:p>
        </w:tc>
        <w:tc>
          <w:tcPr>
            <w:tcW w:w="2033" w:type="pct"/>
            <w:vAlign w:val="center"/>
            <w:hideMark/>
          </w:tcPr>
          <w:p w14:paraId="2308418D"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587 379,90</w:t>
            </w:r>
          </w:p>
        </w:tc>
        <w:tc>
          <w:tcPr>
            <w:tcW w:w="1760" w:type="pct"/>
            <w:vAlign w:val="center"/>
            <w:hideMark/>
          </w:tcPr>
          <w:p w14:paraId="0EC782EF" w14:textId="77777777" w:rsidR="0042281B" w:rsidRPr="00E875C3" w:rsidRDefault="0042281B" w:rsidP="00E05355">
            <w:pPr>
              <w:jc w:val="center"/>
              <w:rPr>
                <w:rFonts w:ascii="Arial" w:hAnsi="Arial" w:cs="Arial"/>
                <w:color w:val="000000" w:themeColor="text1"/>
                <w:sz w:val="22"/>
                <w:szCs w:val="22"/>
              </w:rPr>
            </w:pPr>
            <w:r w:rsidRPr="00E875C3">
              <w:rPr>
                <w:rFonts w:ascii="Arial" w:hAnsi="Arial" w:cs="Arial"/>
                <w:color w:val="000000" w:themeColor="text1"/>
                <w:sz w:val="22"/>
                <w:szCs w:val="22"/>
              </w:rPr>
              <w:t>170 166,65</w:t>
            </w:r>
          </w:p>
        </w:tc>
      </w:tr>
      <w:tr w:rsidR="0042281B" w:rsidRPr="00E875C3" w14:paraId="4A09C834" w14:textId="77777777" w:rsidTr="00E05355">
        <w:trPr>
          <w:trHeight w:val="296"/>
        </w:trPr>
        <w:tc>
          <w:tcPr>
            <w:tcW w:w="1207" w:type="pct"/>
            <w:vAlign w:val="center"/>
            <w:hideMark/>
          </w:tcPr>
          <w:p w14:paraId="162E1C46" w14:textId="77777777" w:rsidR="0042281B" w:rsidRPr="00E875C3" w:rsidRDefault="0042281B" w:rsidP="00E05355">
            <w:pPr>
              <w:jc w:val="center"/>
              <w:rPr>
                <w:rFonts w:ascii="Arial" w:hAnsi="Arial" w:cs="Arial"/>
                <w:b/>
                <w:bCs/>
                <w:color w:val="000000" w:themeColor="text1"/>
                <w:sz w:val="22"/>
                <w:szCs w:val="22"/>
              </w:rPr>
            </w:pPr>
            <w:r w:rsidRPr="00E875C3">
              <w:rPr>
                <w:rFonts w:ascii="Arial" w:hAnsi="Arial" w:cs="Arial"/>
                <w:b/>
                <w:bCs/>
                <w:color w:val="000000" w:themeColor="text1"/>
                <w:sz w:val="22"/>
                <w:szCs w:val="22"/>
              </w:rPr>
              <w:t>SUMA</w:t>
            </w:r>
          </w:p>
        </w:tc>
        <w:tc>
          <w:tcPr>
            <w:tcW w:w="2033" w:type="pct"/>
            <w:vAlign w:val="center"/>
            <w:hideMark/>
          </w:tcPr>
          <w:p w14:paraId="01FF5ABD" w14:textId="77777777" w:rsidR="0042281B" w:rsidRPr="00E875C3" w:rsidRDefault="0042281B" w:rsidP="00E05355">
            <w:pPr>
              <w:jc w:val="center"/>
              <w:rPr>
                <w:rFonts w:ascii="Arial" w:hAnsi="Arial" w:cs="Arial"/>
                <w:b/>
                <w:bCs/>
                <w:color w:val="000000" w:themeColor="text1"/>
                <w:sz w:val="22"/>
                <w:szCs w:val="22"/>
              </w:rPr>
            </w:pPr>
            <w:r w:rsidRPr="00E875C3">
              <w:rPr>
                <w:rFonts w:ascii="Arial" w:hAnsi="Arial" w:cs="Arial"/>
                <w:b/>
                <w:bCs/>
                <w:color w:val="000000" w:themeColor="text1"/>
                <w:sz w:val="22"/>
                <w:szCs w:val="22"/>
              </w:rPr>
              <w:t>3 978 729,76</w:t>
            </w:r>
          </w:p>
        </w:tc>
        <w:tc>
          <w:tcPr>
            <w:tcW w:w="1760" w:type="pct"/>
            <w:vAlign w:val="center"/>
            <w:hideMark/>
          </w:tcPr>
          <w:p w14:paraId="3C48A5B4" w14:textId="77777777" w:rsidR="0042281B" w:rsidRPr="00E875C3" w:rsidRDefault="0042281B" w:rsidP="00E05355">
            <w:pPr>
              <w:jc w:val="center"/>
              <w:rPr>
                <w:rFonts w:ascii="Arial" w:hAnsi="Arial" w:cs="Arial"/>
                <w:b/>
                <w:bCs/>
                <w:color w:val="000000" w:themeColor="text1"/>
                <w:sz w:val="22"/>
                <w:szCs w:val="22"/>
              </w:rPr>
            </w:pPr>
            <w:r w:rsidRPr="00E875C3">
              <w:rPr>
                <w:rFonts w:ascii="Arial" w:hAnsi="Arial" w:cs="Arial"/>
                <w:b/>
                <w:bCs/>
                <w:color w:val="000000" w:themeColor="text1"/>
                <w:sz w:val="22"/>
                <w:szCs w:val="22"/>
              </w:rPr>
              <w:t>1 149 733,23</w:t>
            </w:r>
          </w:p>
        </w:tc>
      </w:tr>
    </w:tbl>
    <w:p w14:paraId="6C9B3B82" w14:textId="59C501C1" w:rsidR="006B3242" w:rsidRPr="009B78DA" w:rsidRDefault="006B3242" w:rsidP="00E875C3">
      <w:p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 Dane za lata 2021 oraz 2022 stanowią wartości rzeczywiste pochodzące ze sprawozdań z wykonanego budżetu województwa za konkretny rok.</w:t>
      </w:r>
    </w:p>
    <w:p w14:paraId="1A209446" w14:textId="7D336F43" w:rsidR="006B3242" w:rsidRPr="009B78DA" w:rsidRDefault="006B3242" w:rsidP="00E875C3">
      <w:p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 Uwaga! Dane dotyczące lat 2023-2030 są oparte wyłącznie na szacunkach i nie mogą tworzyć wykładni dla ostatecznej puli środków przewidzianej na wspomniane zadania</w:t>
      </w:r>
      <w:r w:rsidR="005C5B06"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Prognozowane wartości dla lat 2023-2030 stanowią wyliczenia polegające na corocznym zwiększaniu puli środków o 10% względem roku poprzedzającego po przyjęciu </w:t>
      </w:r>
      <w:r w:rsidR="005C5B06" w:rsidRPr="009B78DA">
        <w:rPr>
          <w:rFonts w:ascii="Arial" w:hAnsi="Arial" w:cs="Arial"/>
          <w:color w:val="000000" w:themeColor="text1"/>
          <w:sz w:val="22"/>
          <w:szCs w:val="22"/>
        </w:rPr>
        <w:t xml:space="preserve">wydatków z </w:t>
      </w:r>
      <w:r w:rsidRPr="009B78DA">
        <w:rPr>
          <w:rFonts w:ascii="Arial" w:hAnsi="Arial" w:cs="Arial"/>
          <w:color w:val="000000" w:themeColor="text1"/>
          <w:sz w:val="22"/>
          <w:szCs w:val="22"/>
        </w:rPr>
        <w:t>roku 2022 r. za</w:t>
      </w:r>
      <w:r w:rsidR="005C5B06" w:rsidRPr="009B78DA">
        <w:rPr>
          <w:rFonts w:ascii="Arial" w:hAnsi="Arial" w:cs="Arial"/>
          <w:color w:val="000000" w:themeColor="text1"/>
          <w:sz w:val="22"/>
          <w:szCs w:val="22"/>
        </w:rPr>
        <w:t xml:space="preserve"> wartość</w:t>
      </w:r>
      <w:r w:rsidRPr="009B78DA">
        <w:rPr>
          <w:rFonts w:ascii="Arial" w:hAnsi="Arial" w:cs="Arial"/>
          <w:color w:val="000000" w:themeColor="text1"/>
          <w:sz w:val="22"/>
          <w:szCs w:val="22"/>
        </w:rPr>
        <w:t xml:space="preserve"> bazow</w:t>
      </w:r>
      <w:r w:rsidR="005C5B06" w:rsidRPr="009B78DA">
        <w:rPr>
          <w:rFonts w:ascii="Arial" w:hAnsi="Arial" w:cs="Arial"/>
          <w:color w:val="000000" w:themeColor="text1"/>
          <w:sz w:val="22"/>
          <w:szCs w:val="22"/>
        </w:rPr>
        <w:t>ą</w:t>
      </w:r>
      <w:r w:rsidRPr="009B78DA">
        <w:rPr>
          <w:rFonts w:ascii="Arial" w:hAnsi="Arial" w:cs="Arial"/>
          <w:color w:val="000000" w:themeColor="text1"/>
          <w:sz w:val="22"/>
          <w:szCs w:val="22"/>
        </w:rPr>
        <w:t>.</w:t>
      </w:r>
    </w:p>
    <w:p w14:paraId="167D37E9" w14:textId="6E5125C1" w:rsidR="00554FCC" w:rsidRPr="009B78DA" w:rsidRDefault="00554FCC" w:rsidP="00FF5524">
      <w:pPr>
        <w:pStyle w:val="Legenda"/>
        <w:keepNext/>
        <w:rPr>
          <w:rFonts w:ascii="Arial" w:hAnsi="Arial" w:cs="Arial"/>
          <w:i w:val="0"/>
          <w:color w:val="000000" w:themeColor="text1"/>
          <w:sz w:val="22"/>
          <w:szCs w:val="22"/>
        </w:rPr>
      </w:pPr>
      <w:bookmarkStart w:id="413" w:name="_Toc146785764"/>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Prognozowana dynamika wzrostu kosztu nakładów dotyczących pozostałej infrastruktury drogowej (szczebla krajowego i lokalnego) na obszarze województwa podkarpackiego w perspektywie do 2030 r. (w tys. PLN)</w:t>
      </w:r>
      <w:r w:rsidRPr="009B78DA">
        <w:rPr>
          <w:rStyle w:val="Odwoanieprzypisudolnego"/>
          <w:rFonts w:ascii="Arial" w:hAnsi="Arial" w:cs="Arial"/>
          <w:i w:val="0"/>
          <w:color w:val="000000" w:themeColor="text1"/>
          <w:sz w:val="22"/>
          <w:szCs w:val="22"/>
          <w:vertAlign w:val="baseline"/>
        </w:rPr>
        <w:t xml:space="preserve"> </w:t>
      </w:r>
      <w:r w:rsidRPr="009B78DA">
        <w:rPr>
          <w:rStyle w:val="Odwoanieprzypisudolnego"/>
          <w:rFonts w:ascii="Arial" w:hAnsi="Arial" w:cs="Arial"/>
          <w:i w:val="0"/>
          <w:color w:val="000000" w:themeColor="text1"/>
          <w:sz w:val="22"/>
          <w:szCs w:val="22"/>
        </w:rPr>
        <w:footnoteReference w:id="49"/>
      </w:r>
      <w:bookmarkEnd w:id="413"/>
    </w:p>
    <w:tbl>
      <w:tblPr>
        <w:tblStyle w:val="Tabela-Siatka1"/>
        <w:tblW w:w="5000" w:type="pct"/>
        <w:tblLayout w:type="fixed"/>
        <w:tblLook w:val="04A0" w:firstRow="1" w:lastRow="0" w:firstColumn="1" w:lastColumn="0" w:noHBand="0" w:noVBand="1"/>
        <w:tblCaption w:val="Tabela 34 Prognozowana dynamika wzrostu kosztu nakładów dotyczących pozostałej infrastruktury drogowej (szczebla krajowego i lokalnego) na obszarze województwa podkarpackiego w perspektywie do 2030 r. (w tys. PLN)"/>
        <w:tblDescription w:val="Tabela zawiera Rok, Budowa nowych dróg o parametrach wymaganych przez UE w tym: krajowe i lokalne*, Przebudowa/ rozbudowa dróg zgodnie z parametrami wymaganymi przez UE w tym: krajowe i lokalne*, Koszt utrzymania w tym: krajowe i lokalne*&#10;"/>
      </w:tblPr>
      <w:tblGrid>
        <w:gridCol w:w="845"/>
        <w:gridCol w:w="1625"/>
        <w:gridCol w:w="1723"/>
        <w:gridCol w:w="1721"/>
        <w:gridCol w:w="1311"/>
        <w:gridCol w:w="1560"/>
        <w:gridCol w:w="1671"/>
      </w:tblGrid>
      <w:tr w:rsidR="00590D96" w:rsidRPr="004D6D83" w14:paraId="66ECAE2A" w14:textId="77777777" w:rsidTr="00E94AFC">
        <w:trPr>
          <w:trHeight w:val="1550"/>
          <w:tblHeader/>
        </w:trPr>
        <w:tc>
          <w:tcPr>
            <w:tcW w:w="404" w:type="pct"/>
            <w:shd w:val="clear" w:color="auto" w:fill="BDD6EE" w:themeFill="accent1" w:themeFillTint="66"/>
            <w:vAlign w:val="center"/>
            <w:hideMark/>
          </w:tcPr>
          <w:p w14:paraId="44F7B992" w14:textId="22BC5096" w:rsidR="00590D96" w:rsidRPr="004D6D83" w:rsidRDefault="00590D96" w:rsidP="00E94AFC">
            <w:pPr>
              <w:jc w:val="center"/>
              <w:rPr>
                <w:rFonts w:ascii="Arial" w:hAnsi="Arial" w:cs="Arial"/>
                <w:color w:val="000000" w:themeColor="text1"/>
                <w:sz w:val="22"/>
                <w:szCs w:val="22"/>
              </w:rPr>
            </w:pPr>
          </w:p>
        </w:tc>
        <w:tc>
          <w:tcPr>
            <w:tcW w:w="1601" w:type="pct"/>
            <w:gridSpan w:val="2"/>
            <w:shd w:val="clear" w:color="auto" w:fill="BDD6EE" w:themeFill="accent1" w:themeFillTint="66"/>
            <w:vAlign w:val="center"/>
            <w:hideMark/>
          </w:tcPr>
          <w:p w14:paraId="6E96F9EA" w14:textId="77777777"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Budowa nowych dróg o parametrach wymaganych przez UE</w:t>
            </w:r>
          </w:p>
        </w:tc>
        <w:tc>
          <w:tcPr>
            <w:tcW w:w="1450" w:type="pct"/>
            <w:gridSpan w:val="2"/>
            <w:shd w:val="clear" w:color="auto" w:fill="BDD6EE" w:themeFill="accent1" w:themeFillTint="66"/>
            <w:vAlign w:val="center"/>
            <w:hideMark/>
          </w:tcPr>
          <w:p w14:paraId="30FE8B15" w14:textId="6655237B"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 xml:space="preserve">Przebudowa/ rozbudowa dróg zgodnie </w:t>
            </w:r>
            <w:r w:rsidR="00B2585D">
              <w:rPr>
                <w:rFonts w:ascii="Arial" w:hAnsi="Arial" w:cs="Arial"/>
                <w:b/>
                <w:bCs/>
                <w:color w:val="000000" w:themeColor="text1"/>
                <w:sz w:val="22"/>
                <w:szCs w:val="22"/>
              </w:rPr>
              <w:br/>
            </w:r>
            <w:r w:rsidRPr="004D6D83">
              <w:rPr>
                <w:rFonts w:ascii="Arial" w:hAnsi="Arial" w:cs="Arial"/>
                <w:b/>
                <w:bCs/>
                <w:color w:val="000000" w:themeColor="text1"/>
                <w:sz w:val="22"/>
                <w:szCs w:val="22"/>
              </w:rPr>
              <w:t>z parametrami wymaganymi przez UE</w:t>
            </w:r>
          </w:p>
        </w:tc>
        <w:tc>
          <w:tcPr>
            <w:tcW w:w="1545" w:type="pct"/>
            <w:gridSpan w:val="2"/>
            <w:shd w:val="clear" w:color="auto" w:fill="BDD6EE" w:themeFill="accent1" w:themeFillTint="66"/>
            <w:vAlign w:val="center"/>
            <w:hideMark/>
          </w:tcPr>
          <w:p w14:paraId="302A6EE2" w14:textId="2D6C605D"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Koszt utrzymania</w:t>
            </w:r>
          </w:p>
        </w:tc>
      </w:tr>
      <w:tr w:rsidR="00590D96" w:rsidRPr="004D6D83" w14:paraId="531FD2CA" w14:textId="77777777" w:rsidTr="00E94AFC">
        <w:trPr>
          <w:trHeight w:val="584"/>
          <w:tblHeader/>
        </w:trPr>
        <w:tc>
          <w:tcPr>
            <w:tcW w:w="404" w:type="pct"/>
            <w:shd w:val="clear" w:color="auto" w:fill="DEEAF6" w:themeFill="accent1" w:themeFillTint="33"/>
            <w:vAlign w:val="center"/>
            <w:hideMark/>
          </w:tcPr>
          <w:p w14:paraId="20E267D6" w14:textId="77777777"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Rok</w:t>
            </w:r>
          </w:p>
        </w:tc>
        <w:tc>
          <w:tcPr>
            <w:tcW w:w="777" w:type="pct"/>
            <w:shd w:val="clear" w:color="auto" w:fill="DEEAF6" w:themeFill="accent1" w:themeFillTint="33"/>
            <w:vAlign w:val="center"/>
            <w:hideMark/>
          </w:tcPr>
          <w:p w14:paraId="28B649C5" w14:textId="4400B9E5"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krajowe</w:t>
            </w:r>
          </w:p>
        </w:tc>
        <w:tc>
          <w:tcPr>
            <w:tcW w:w="824" w:type="pct"/>
            <w:shd w:val="clear" w:color="auto" w:fill="DEEAF6" w:themeFill="accent1" w:themeFillTint="33"/>
            <w:vAlign w:val="center"/>
            <w:hideMark/>
          </w:tcPr>
          <w:p w14:paraId="7438D9EA" w14:textId="77777777"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lokalne*</w:t>
            </w:r>
          </w:p>
        </w:tc>
        <w:tc>
          <w:tcPr>
            <w:tcW w:w="823" w:type="pct"/>
            <w:shd w:val="clear" w:color="auto" w:fill="DEEAF6" w:themeFill="accent1" w:themeFillTint="33"/>
            <w:vAlign w:val="center"/>
            <w:hideMark/>
          </w:tcPr>
          <w:p w14:paraId="440CCD8F" w14:textId="6AE857A3"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krajowe</w:t>
            </w:r>
          </w:p>
        </w:tc>
        <w:tc>
          <w:tcPr>
            <w:tcW w:w="627" w:type="pct"/>
            <w:shd w:val="clear" w:color="auto" w:fill="DEEAF6" w:themeFill="accent1" w:themeFillTint="33"/>
            <w:vAlign w:val="center"/>
            <w:hideMark/>
          </w:tcPr>
          <w:p w14:paraId="3A36C1FD" w14:textId="77777777"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lokalne*</w:t>
            </w:r>
          </w:p>
        </w:tc>
        <w:tc>
          <w:tcPr>
            <w:tcW w:w="746" w:type="pct"/>
            <w:shd w:val="clear" w:color="auto" w:fill="DEEAF6" w:themeFill="accent1" w:themeFillTint="33"/>
            <w:vAlign w:val="center"/>
            <w:hideMark/>
          </w:tcPr>
          <w:p w14:paraId="61BCD4FC" w14:textId="6E76F30F"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krajowe</w:t>
            </w:r>
          </w:p>
        </w:tc>
        <w:tc>
          <w:tcPr>
            <w:tcW w:w="800" w:type="pct"/>
            <w:shd w:val="clear" w:color="auto" w:fill="DEEAF6" w:themeFill="accent1" w:themeFillTint="33"/>
            <w:vAlign w:val="center"/>
            <w:hideMark/>
          </w:tcPr>
          <w:p w14:paraId="2443ABBA" w14:textId="77777777"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lokalne*</w:t>
            </w:r>
          </w:p>
        </w:tc>
      </w:tr>
      <w:tr w:rsidR="00590D96" w:rsidRPr="004D6D83" w14:paraId="523A8D83" w14:textId="77777777" w:rsidTr="00E94AFC">
        <w:trPr>
          <w:trHeight w:val="584"/>
        </w:trPr>
        <w:tc>
          <w:tcPr>
            <w:tcW w:w="404" w:type="pct"/>
            <w:vAlign w:val="center"/>
            <w:hideMark/>
          </w:tcPr>
          <w:p w14:paraId="06E66F85"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2021</w:t>
            </w:r>
          </w:p>
        </w:tc>
        <w:tc>
          <w:tcPr>
            <w:tcW w:w="777" w:type="pct"/>
            <w:noWrap/>
            <w:vAlign w:val="center"/>
            <w:hideMark/>
          </w:tcPr>
          <w:p w14:paraId="5150F684"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842 902,00</w:t>
            </w:r>
          </w:p>
        </w:tc>
        <w:tc>
          <w:tcPr>
            <w:tcW w:w="824" w:type="pct"/>
            <w:vAlign w:val="center"/>
            <w:hideMark/>
          </w:tcPr>
          <w:p w14:paraId="2A0DFE72"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644 723,10</w:t>
            </w:r>
          </w:p>
        </w:tc>
        <w:tc>
          <w:tcPr>
            <w:tcW w:w="823" w:type="pct"/>
            <w:vAlign w:val="center"/>
            <w:hideMark/>
          </w:tcPr>
          <w:p w14:paraId="75E722BE"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84 273,00</w:t>
            </w:r>
          </w:p>
        </w:tc>
        <w:tc>
          <w:tcPr>
            <w:tcW w:w="627" w:type="pct"/>
            <w:vAlign w:val="center"/>
            <w:hideMark/>
          </w:tcPr>
          <w:p w14:paraId="3F2CD03B"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w:t>
            </w:r>
          </w:p>
        </w:tc>
        <w:tc>
          <w:tcPr>
            <w:tcW w:w="746" w:type="pct"/>
            <w:vAlign w:val="center"/>
            <w:hideMark/>
          </w:tcPr>
          <w:p w14:paraId="353D2EFE"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151 000,00</w:t>
            </w:r>
          </w:p>
        </w:tc>
        <w:tc>
          <w:tcPr>
            <w:tcW w:w="800" w:type="pct"/>
            <w:vAlign w:val="center"/>
            <w:hideMark/>
          </w:tcPr>
          <w:p w14:paraId="07408BA9"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356 075,27</w:t>
            </w:r>
          </w:p>
        </w:tc>
      </w:tr>
      <w:tr w:rsidR="00590D96" w:rsidRPr="004D6D83" w14:paraId="465A8CEB" w14:textId="77777777" w:rsidTr="00E94AFC">
        <w:trPr>
          <w:trHeight w:val="584"/>
        </w:trPr>
        <w:tc>
          <w:tcPr>
            <w:tcW w:w="404" w:type="pct"/>
            <w:vAlign w:val="center"/>
            <w:hideMark/>
          </w:tcPr>
          <w:p w14:paraId="2B53C07E"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2022</w:t>
            </w:r>
          </w:p>
        </w:tc>
        <w:tc>
          <w:tcPr>
            <w:tcW w:w="777" w:type="pct"/>
            <w:noWrap/>
            <w:vAlign w:val="center"/>
            <w:hideMark/>
          </w:tcPr>
          <w:p w14:paraId="470C7CD0"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637 580,00</w:t>
            </w:r>
          </w:p>
        </w:tc>
        <w:tc>
          <w:tcPr>
            <w:tcW w:w="824" w:type="pct"/>
            <w:vAlign w:val="center"/>
            <w:hideMark/>
          </w:tcPr>
          <w:p w14:paraId="451D05A3"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695 590,19</w:t>
            </w:r>
          </w:p>
        </w:tc>
        <w:tc>
          <w:tcPr>
            <w:tcW w:w="823" w:type="pct"/>
            <w:vAlign w:val="center"/>
            <w:hideMark/>
          </w:tcPr>
          <w:p w14:paraId="056E2266"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46 894,00</w:t>
            </w:r>
          </w:p>
        </w:tc>
        <w:tc>
          <w:tcPr>
            <w:tcW w:w="627" w:type="pct"/>
            <w:vAlign w:val="center"/>
            <w:hideMark/>
          </w:tcPr>
          <w:p w14:paraId="6D2A50E9"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w:t>
            </w:r>
          </w:p>
        </w:tc>
        <w:tc>
          <w:tcPr>
            <w:tcW w:w="746" w:type="pct"/>
            <w:vAlign w:val="center"/>
            <w:hideMark/>
          </w:tcPr>
          <w:p w14:paraId="0B6EDAC8"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163 000,00</w:t>
            </w:r>
          </w:p>
        </w:tc>
        <w:tc>
          <w:tcPr>
            <w:tcW w:w="800" w:type="pct"/>
            <w:vAlign w:val="center"/>
            <w:hideMark/>
          </w:tcPr>
          <w:p w14:paraId="36CBDFEE"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383 454,49</w:t>
            </w:r>
          </w:p>
        </w:tc>
      </w:tr>
      <w:tr w:rsidR="00590D96" w:rsidRPr="004D6D83" w14:paraId="0F1F26B1" w14:textId="77777777" w:rsidTr="00E94AFC">
        <w:trPr>
          <w:trHeight w:val="584"/>
        </w:trPr>
        <w:tc>
          <w:tcPr>
            <w:tcW w:w="404" w:type="pct"/>
            <w:vAlign w:val="center"/>
            <w:hideMark/>
          </w:tcPr>
          <w:p w14:paraId="1ADCFCF3"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2023</w:t>
            </w:r>
          </w:p>
        </w:tc>
        <w:tc>
          <w:tcPr>
            <w:tcW w:w="777" w:type="pct"/>
            <w:noWrap/>
            <w:vAlign w:val="center"/>
            <w:hideMark/>
          </w:tcPr>
          <w:p w14:paraId="2AE0A722"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1 242 435,00</w:t>
            </w:r>
          </w:p>
        </w:tc>
        <w:tc>
          <w:tcPr>
            <w:tcW w:w="824" w:type="pct"/>
            <w:vAlign w:val="center"/>
            <w:hideMark/>
          </w:tcPr>
          <w:p w14:paraId="07788751"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746 457,28</w:t>
            </w:r>
          </w:p>
        </w:tc>
        <w:tc>
          <w:tcPr>
            <w:tcW w:w="823" w:type="pct"/>
            <w:vAlign w:val="center"/>
            <w:hideMark/>
          </w:tcPr>
          <w:p w14:paraId="35EBD83D"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32 995,00</w:t>
            </w:r>
          </w:p>
        </w:tc>
        <w:tc>
          <w:tcPr>
            <w:tcW w:w="627" w:type="pct"/>
            <w:vAlign w:val="center"/>
            <w:hideMark/>
          </w:tcPr>
          <w:p w14:paraId="33D35D46"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w:t>
            </w:r>
          </w:p>
        </w:tc>
        <w:tc>
          <w:tcPr>
            <w:tcW w:w="746" w:type="pct"/>
            <w:vAlign w:val="center"/>
            <w:hideMark/>
          </w:tcPr>
          <w:p w14:paraId="4EAE1A59"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199 000,00</w:t>
            </w:r>
          </w:p>
        </w:tc>
        <w:tc>
          <w:tcPr>
            <w:tcW w:w="800" w:type="pct"/>
            <w:vAlign w:val="center"/>
            <w:hideMark/>
          </w:tcPr>
          <w:p w14:paraId="0835B2F5"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410 833,72</w:t>
            </w:r>
          </w:p>
        </w:tc>
      </w:tr>
      <w:tr w:rsidR="00590D96" w:rsidRPr="004D6D83" w14:paraId="4253BCE7" w14:textId="77777777" w:rsidTr="00E94AFC">
        <w:trPr>
          <w:trHeight w:val="584"/>
        </w:trPr>
        <w:tc>
          <w:tcPr>
            <w:tcW w:w="404" w:type="pct"/>
            <w:vAlign w:val="center"/>
            <w:hideMark/>
          </w:tcPr>
          <w:p w14:paraId="391C04EE"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2024</w:t>
            </w:r>
          </w:p>
        </w:tc>
        <w:tc>
          <w:tcPr>
            <w:tcW w:w="777" w:type="pct"/>
            <w:noWrap/>
            <w:vAlign w:val="center"/>
            <w:hideMark/>
          </w:tcPr>
          <w:p w14:paraId="02F5F3E2"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2 259 063,00</w:t>
            </w:r>
          </w:p>
        </w:tc>
        <w:tc>
          <w:tcPr>
            <w:tcW w:w="824" w:type="pct"/>
            <w:vAlign w:val="center"/>
            <w:hideMark/>
          </w:tcPr>
          <w:p w14:paraId="3099DB47"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797 324,37</w:t>
            </w:r>
          </w:p>
        </w:tc>
        <w:tc>
          <w:tcPr>
            <w:tcW w:w="823" w:type="pct"/>
            <w:vAlign w:val="center"/>
            <w:hideMark/>
          </w:tcPr>
          <w:p w14:paraId="197DF2C9"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135 139,00</w:t>
            </w:r>
          </w:p>
        </w:tc>
        <w:tc>
          <w:tcPr>
            <w:tcW w:w="627" w:type="pct"/>
            <w:vAlign w:val="center"/>
            <w:hideMark/>
          </w:tcPr>
          <w:p w14:paraId="0FD7D826"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w:t>
            </w:r>
          </w:p>
        </w:tc>
        <w:tc>
          <w:tcPr>
            <w:tcW w:w="746" w:type="pct"/>
            <w:vAlign w:val="center"/>
            <w:hideMark/>
          </w:tcPr>
          <w:p w14:paraId="668BD616"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213 581,62</w:t>
            </w:r>
          </w:p>
        </w:tc>
        <w:tc>
          <w:tcPr>
            <w:tcW w:w="800" w:type="pct"/>
            <w:vAlign w:val="center"/>
            <w:hideMark/>
          </w:tcPr>
          <w:p w14:paraId="1DA0F13F"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438 212,94</w:t>
            </w:r>
          </w:p>
        </w:tc>
      </w:tr>
      <w:tr w:rsidR="00590D96" w:rsidRPr="004D6D83" w14:paraId="59FD7D26" w14:textId="77777777" w:rsidTr="00E94AFC">
        <w:trPr>
          <w:trHeight w:val="584"/>
        </w:trPr>
        <w:tc>
          <w:tcPr>
            <w:tcW w:w="404" w:type="pct"/>
            <w:vAlign w:val="center"/>
            <w:hideMark/>
          </w:tcPr>
          <w:p w14:paraId="2182BA8B"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2025</w:t>
            </w:r>
          </w:p>
        </w:tc>
        <w:tc>
          <w:tcPr>
            <w:tcW w:w="777" w:type="pct"/>
            <w:noWrap/>
            <w:vAlign w:val="center"/>
            <w:hideMark/>
          </w:tcPr>
          <w:p w14:paraId="2F3B2B0F"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2 935 226,00</w:t>
            </w:r>
          </w:p>
        </w:tc>
        <w:tc>
          <w:tcPr>
            <w:tcW w:w="824" w:type="pct"/>
            <w:vAlign w:val="center"/>
            <w:hideMark/>
          </w:tcPr>
          <w:p w14:paraId="0BEF99A5"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848 191,47</w:t>
            </w:r>
          </w:p>
        </w:tc>
        <w:tc>
          <w:tcPr>
            <w:tcW w:w="823" w:type="pct"/>
            <w:vAlign w:val="center"/>
            <w:hideMark/>
          </w:tcPr>
          <w:p w14:paraId="01E61574"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135 673,00</w:t>
            </w:r>
          </w:p>
        </w:tc>
        <w:tc>
          <w:tcPr>
            <w:tcW w:w="627" w:type="pct"/>
            <w:vAlign w:val="center"/>
            <w:hideMark/>
          </w:tcPr>
          <w:p w14:paraId="72D1B3B1"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w:t>
            </w:r>
          </w:p>
        </w:tc>
        <w:tc>
          <w:tcPr>
            <w:tcW w:w="746" w:type="pct"/>
            <w:vAlign w:val="center"/>
            <w:hideMark/>
          </w:tcPr>
          <w:p w14:paraId="71E7821D"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228 163,24</w:t>
            </w:r>
          </w:p>
        </w:tc>
        <w:tc>
          <w:tcPr>
            <w:tcW w:w="800" w:type="pct"/>
            <w:vAlign w:val="center"/>
            <w:hideMark/>
          </w:tcPr>
          <w:p w14:paraId="59778A32"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465 592,17</w:t>
            </w:r>
          </w:p>
        </w:tc>
      </w:tr>
      <w:tr w:rsidR="00590D96" w:rsidRPr="004D6D83" w14:paraId="36624D78" w14:textId="77777777" w:rsidTr="00E94AFC">
        <w:trPr>
          <w:trHeight w:val="584"/>
        </w:trPr>
        <w:tc>
          <w:tcPr>
            <w:tcW w:w="404" w:type="pct"/>
            <w:vAlign w:val="center"/>
            <w:hideMark/>
          </w:tcPr>
          <w:p w14:paraId="6CB7049A"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2026</w:t>
            </w:r>
          </w:p>
        </w:tc>
        <w:tc>
          <w:tcPr>
            <w:tcW w:w="777" w:type="pct"/>
            <w:noWrap/>
            <w:vAlign w:val="center"/>
            <w:hideMark/>
          </w:tcPr>
          <w:p w14:paraId="44387411"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2 713 257,00</w:t>
            </w:r>
          </w:p>
        </w:tc>
        <w:tc>
          <w:tcPr>
            <w:tcW w:w="824" w:type="pct"/>
            <w:vAlign w:val="center"/>
            <w:hideMark/>
          </w:tcPr>
          <w:p w14:paraId="44C98E36"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899 058,56</w:t>
            </w:r>
          </w:p>
        </w:tc>
        <w:tc>
          <w:tcPr>
            <w:tcW w:w="823" w:type="pct"/>
            <w:vAlign w:val="center"/>
            <w:hideMark/>
          </w:tcPr>
          <w:p w14:paraId="036185E3"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59 934,00</w:t>
            </w:r>
          </w:p>
        </w:tc>
        <w:tc>
          <w:tcPr>
            <w:tcW w:w="627" w:type="pct"/>
            <w:vAlign w:val="center"/>
            <w:hideMark/>
          </w:tcPr>
          <w:p w14:paraId="4F5A07E4"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w:t>
            </w:r>
          </w:p>
        </w:tc>
        <w:tc>
          <w:tcPr>
            <w:tcW w:w="746" w:type="pct"/>
            <w:vAlign w:val="center"/>
            <w:hideMark/>
          </w:tcPr>
          <w:p w14:paraId="4BED9908"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242 744,86</w:t>
            </w:r>
          </w:p>
        </w:tc>
        <w:tc>
          <w:tcPr>
            <w:tcW w:w="800" w:type="pct"/>
            <w:vAlign w:val="center"/>
            <w:hideMark/>
          </w:tcPr>
          <w:p w14:paraId="7514B4A0"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492 971,39</w:t>
            </w:r>
          </w:p>
        </w:tc>
      </w:tr>
      <w:tr w:rsidR="00590D96" w:rsidRPr="004D6D83" w14:paraId="55F8DE66" w14:textId="77777777" w:rsidTr="00E94AFC">
        <w:trPr>
          <w:trHeight w:val="584"/>
        </w:trPr>
        <w:tc>
          <w:tcPr>
            <w:tcW w:w="404" w:type="pct"/>
            <w:vAlign w:val="center"/>
            <w:hideMark/>
          </w:tcPr>
          <w:p w14:paraId="7442CB6F"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2027</w:t>
            </w:r>
          </w:p>
        </w:tc>
        <w:tc>
          <w:tcPr>
            <w:tcW w:w="777" w:type="pct"/>
            <w:noWrap/>
            <w:vAlign w:val="center"/>
            <w:hideMark/>
          </w:tcPr>
          <w:p w14:paraId="41834F2B"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3 516 807,00</w:t>
            </w:r>
          </w:p>
        </w:tc>
        <w:tc>
          <w:tcPr>
            <w:tcW w:w="824" w:type="pct"/>
            <w:vAlign w:val="center"/>
            <w:hideMark/>
          </w:tcPr>
          <w:p w14:paraId="6581098C"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949 925,65</w:t>
            </w:r>
          </w:p>
        </w:tc>
        <w:tc>
          <w:tcPr>
            <w:tcW w:w="823" w:type="pct"/>
            <w:vAlign w:val="center"/>
            <w:hideMark/>
          </w:tcPr>
          <w:p w14:paraId="22583367"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7 890,00</w:t>
            </w:r>
          </w:p>
        </w:tc>
        <w:tc>
          <w:tcPr>
            <w:tcW w:w="627" w:type="pct"/>
            <w:vAlign w:val="center"/>
            <w:hideMark/>
          </w:tcPr>
          <w:p w14:paraId="2CB8AD58"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w:t>
            </w:r>
          </w:p>
        </w:tc>
        <w:tc>
          <w:tcPr>
            <w:tcW w:w="746" w:type="pct"/>
            <w:vAlign w:val="center"/>
            <w:hideMark/>
          </w:tcPr>
          <w:p w14:paraId="43DEC1EA"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257 326,48</w:t>
            </w:r>
          </w:p>
        </w:tc>
        <w:tc>
          <w:tcPr>
            <w:tcW w:w="800" w:type="pct"/>
            <w:vAlign w:val="center"/>
            <w:hideMark/>
          </w:tcPr>
          <w:p w14:paraId="53C209A5"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520 350,62</w:t>
            </w:r>
          </w:p>
        </w:tc>
      </w:tr>
      <w:tr w:rsidR="00590D96" w:rsidRPr="004D6D83" w14:paraId="2703AB7F" w14:textId="77777777" w:rsidTr="00E94AFC">
        <w:trPr>
          <w:trHeight w:val="584"/>
        </w:trPr>
        <w:tc>
          <w:tcPr>
            <w:tcW w:w="404" w:type="pct"/>
            <w:vAlign w:val="center"/>
            <w:hideMark/>
          </w:tcPr>
          <w:p w14:paraId="4778D8A1"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2028</w:t>
            </w:r>
          </w:p>
        </w:tc>
        <w:tc>
          <w:tcPr>
            <w:tcW w:w="777" w:type="pct"/>
            <w:noWrap/>
            <w:vAlign w:val="center"/>
            <w:hideMark/>
          </w:tcPr>
          <w:p w14:paraId="021B6FB5"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3 375 048,00</w:t>
            </w:r>
          </w:p>
        </w:tc>
        <w:tc>
          <w:tcPr>
            <w:tcW w:w="824" w:type="pct"/>
            <w:vAlign w:val="center"/>
            <w:hideMark/>
          </w:tcPr>
          <w:p w14:paraId="719936B6"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1 000 792,74</w:t>
            </w:r>
          </w:p>
        </w:tc>
        <w:tc>
          <w:tcPr>
            <w:tcW w:w="823" w:type="pct"/>
            <w:vAlign w:val="center"/>
            <w:hideMark/>
          </w:tcPr>
          <w:p w14:paraId="1DD4DAA9"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14 030,00</w:t>
            </w:r>
          </w:p>
        </w:tc>
        <w:tc>
          <w:tcPr>
            <w:tcW w:w="627" w:type="pct"/>
            <w:vAlign w:val="center"/>
            <w:hideMark/>
          </w:tcPr>
          <w:p w14:paraId="09D5373A"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w:t>
            </w:r>
          </w:p>
        </w:tc>
        <w:tc>
          <w:tcPr>
            <w:tcW w:w="746" w:type="pct"/>
            <w:vAlign w:val="center"/>
            <w:hideMark/>
          </w:tcPr>
          <w:p w14:paraId="53B45787"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271 908,10</w:t>
            </w:r>
          </w:p>
        </w:tc>
        <w:tc>
          <w:tcPr>
            <w:tcW w:w="800" w:type="pct"/>
            <w:vAlign w:val="center"/>
            <w:hideMark/>
          </w:tcPr>
          <w:p w14:paraId="488EBD5E"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547 729,84</w:t>
            </w:r>
          </w:p>
        </w:tc>
      </w:tr>
      <w:tr w:rsidR="00590D96" w:rsidRPr="004D6D83" w14:paraId="54FA2B9A" w14:textId="77777777" w:rsidTr="00E94AFC">
        <w:trPr>
          <w:trHeight w:val="584"/>
        </w:trPr>
        <w:tc>
          <w:tcPr>
            <w:tcW w:w="404" w:type="pct"/>
            <w:vAlign w:val="center"/>
            <w:hideMark/>
          </w:tcPr>
          <w:p w14:paraId="52D6F3A3"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2029</w:t>
            </w:r>
          </w:p>
        </w:tc>
        <w:tc>
          <w:tcPr>
            <w:tcW w:w="777" w:type="pct"/>
            <w:noWrap/>
            <w:vAlign w:val="center"/>
            <w:hideMark/>
          </w:tcPr>
          <w:p w14:paraId="1B4D9F84"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3 250 902,00</w:t>
            </w:r>
          </w:p>
        </w:tc>
        <w:tc>
          <w:tcPr>
            <w:tcW w:w="824" w:type="pct"/>
            <w:vAlign w:val="center"/>
            <w:hideMark/>
          </w:tcPr>
          <w:p w14:paraId="0BED42A1"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1 051 659,83</w:t>
            </w:r>
          </w:p>
        </w:tc>
        <w:tc>
          <w:tcPr>
            <w:tcW w:w="823" w:type="pct"/>
            <w:vAlign w:val="center"/>
            <w:hideMark/>
          </w:tcPr>
          <w:p w14:paraId="2821CC64"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126 959,00</w:t>
            </w:r>
          </w:p>
        </w:tc>
        <w:tc>
          <w:tcPr>
            <w:tcW w:w="627" w:type="pct"/>
            <w:vAlign w:val="center"/>
            <w:hideMark/>
          </w:tcPr>
          <w:p w14:paraId="33AAF11F"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w:t>
            </w:r>
          </w:p>
        </w:tc>
        <w:tc>
          <w:tcPr>
            <w:tcW w:w="746" w:type="pct"/>
            <w:vAlign w:val="center"/>
            <w:hideMark/>
          </w:tcPr>
          <w:p w14:paraId="3FF0EF1B"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286 489,72</w:t>
            </w:r>
          </w:p>
        </w:tc>
        <w:tc>
          <w:tcPr>
            <w:tcW w:w="800" w:type="pct"/>
            <w:vAlign w:val="center"/>
            <w:hideMark/>
          </w:tcPr>
          <w:p w14:paraId="1911A52B"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575 109,07</w:t>
            </w:r>
          </w:p>
        </w:tc>
      </w:tr>
      <w:tr w:rsidR="00590D96" w:rsidRPr="004D6D83" w14:paraId="6E670287" w14:textId="77777777" w:rsidTr="00E94AFC">
        <w:trPr>
          <w:trHeight w:val="584"/>
        </w:trPr>
        <w:tc>
          <w:tcPr>
            <w:tcW w:w="404" w:type="pct"/>
            <w:vAlign w:val="center"/>
            <w:hideMark/>
          </w:tcPr>
          <w:p w14:paraId="1C6789A4"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2030</w:t>
            </w:r>
          </w:p>
        </w:tc>
        <w:tc>
          <w:tcPr>
            <w:tcW w:w="777" w:type="pct"/>
            <w:noWrap/>
            <w:vAlign w:val="center"/>
            <w:hideMark/>
          </w:tcPr>
          <w:p w14:paraId="4B18121F"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459 216,00</w:t>
            </w:r>
          </w:p>
        </w:tc>
        <w:tc>
          <w:tcPr>
            <w:tcW w:w="824" w:type="pct"/>
            <w:vAlign w:val="center"/>
            <w:hideMark/>
          </w:tcPr>
          <w:p w14:paraId="757C1C48"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1 102 526,93</w:t>
            </w:r>
          </w:p>
        </w:tc>
        <w:tc>
          <w:tcPr>
            <w:tcW w:w="823" w:type="pct"/>
            <w:vAlign w:val="center"/>
            <w:hideMark/>
          </w:tcPr>
          <w:p w14:paraId="3555DB03"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326 165,00</w:t>
            </w:r>
          </w:p>
        </w:tc>
        <w:tc>
          <w:tcPr>
            <w:tcW w:w="627" w:type="pct"/>
            <w:vAlign w:val="center"/>
            <w:hideMark/>
          </w:tcPr>
          <w:p w14:paraId="39BFC873"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w:t>
            </w:r>
          </w:p>
        </w:tc>
        <w:tc>
          <w:tcPr>
            <w:tcW w:w="746" w:type="pct"/>
            <w:vAlign w:val="center"/>
            <w:hideMark/>
          </w:tcPr>
          <w:p w14:paraId="0D79ACC3"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301 071,34</w:t>
            </w:r>
          </w:p>
        </w:tc>
        <w:tc>
          <w:tcPr>
            <w:tcW w:w="800" w:type="pct"/>
            <w:vAlign w:val="center"/>
            <w:hideMark/>
          </w:tcPr>
          <w:p w14:paraId="0FE5652C" w14:textId="77777777" w:rsidR="00590D96" w:rsidRPr="004D6D83" w:rsidRDefault="00590D96" w:rsidP="00E94AFC">
            <w:pPr>
              <w:jc w:val="center"/>
              <w:rPr>
                <w:rFonts w:ascii="Arial" w:hAnsi="Arial" w:cs="Arial"/>
                <w:color w:val="000000" w:themeColor="text1"/>
                <w:sz w:val="22"/>
                <w:szCs w:val="22"/>
              </w:rPr>
            </w:pPr>
            <w:r w:rsidRPr="004D6D83">
              <w:rPr>
                <w:rFonts w:ascii="Arial" w:hAnsi="Arial" w:cs="Arial"/>
                <w:color w:val="000000" w:themeColor="text1"/>
                <w:sz w:val="22"/>
                <w:szCs w:val="22"/>
              </w:rPr>
              <w:t>602 488,29</w:t>
            </w:r>
          </w:p>
        </w:tc>
      </w:tr>
      <w:tr w:rsidR="00590D96" w:rsidRPr="004D6D83" w14:paraId="7AC3B384" w14:textId="77777777" w:rsidTr="00E94AFC">
        <w:trPr>
          <w:trHeight w:val="584"/>
        </w:trPr>
        <w:tc>
          <w:tcPr>
            <w:tcW w:w="404" w:type="pct"/>
            <w:vAlign w:val="center"/>
            <w:hideMark/>
          </w:tcPr>
          <w:p w14:paraId="00D8E211" w14:textId="77777777"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SUMA</w:t>
            </w:r>
          </w:p>
        </w:tc>
        <w:tc>
          <w:tcPr>
            <w:tcW w:w="777" w:type="pct"/>
            <w:vAlign w:val="center"/>
            <w:hideMark/>
          </w:tcPr>
          <w:p w14:paraId="1B6564BE" w14:textId="77777777"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21 232 436,00</w:t>
            </w:r>
          </w:p>
        </w:tc>
        <w:tc>
          <w:tcPr>
            <w:tcW w:w="824" w:type="pct"/>
            <w:vAlign w:val="center"/>
            <w:hideMark/>
          </w:tcPr>
          <w:p w14:paraId="1BD69A34" w14:textId="77777777"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8 736 250,12</w:t>
            </w:r>
          </w:p>
        </w:tc>
        <w:tc>
          <w:tcPr>
            <w:tcW w:w="823" w:type="pct"/>
            <w:vAlign w:val="center"/>
            <w:hideMark/>
          </w:tcPr>
          <w:p w14:paraId="12E67F51" w14:textId="77777777"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969 952,00</w:t>
            </w:r>
          </w:p>
        </w:tc>
        <w:tc>
          <w:tcPr>
            <w:tcW w:w="627" w:type="pct"/>
            <w:vAlign w:val="center"/>
            <w:hideMark/>
          </w:tcPr>
          <w:p w14:paraId="2FAF0E05" w14:textId="6457878C" w:rsidR="00590D96" w:rsidRPr="004D6D83" w:rsidRDefault="00590D96" w:rsidP="00E94AFC">
            <w:pPr>
              <w:jc w:val="center"/>
              <w:rPr>
                <w:rFonts w:ascii="Arial" w:hAnsi="Arial" w:cs="Arial"/>
                <w:b/>
                <w:bCs/>
                <w:color w:val="000000" w:themeColor="text1"/>
                <w:sz w:val="22"/>
                <w:szCs w:val="22"/>
              </w:rPr>
            </w:pPr>
          </w:p>
        </w:tc>
        <w:tc>
          <w:tcPr>
            <w:tcW w:w="746" w:type="pct"/>
            <w:vAlign w:val="center"/>
            <w:hideMark/>
          </w:tcPr>
          <w:p w14:paraId="69B9B1DD" w14:textId="77777777"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2 314 285,36</w:t>
            </w:r>
          </w:p>
        </w:tc>
        <w:tc>
          <w:tcPr>
            <w:tcW w:w="800" w:type="pct"/>
            <w:vAlign w:val="center"/>
            <w:hideMark/>
          </w:tcPr>
          <w:p w14:paraId="13E95DE4" w14:textId="77777777" w:rsidR="00590D96" w:rsidRPr="004D6D83" w:rsidRDefault="00590D96" w:rsidP="00E94AFC">
            <w:pPr>
              <w:jc w:val="center"/>
              <w:rPr>
                <w:rFonts w:ascii="Arial" w:hAnsi="Arial" w:cs="Arial"/>
                <w:b/>
                <w:bCs/>
                <w:color w:val="000000" w:themeColor="text1"/>
                <w:sz w:val="22"/>
                <w:szCs w:val="22"/>
              </w:rPr>
            </w:pPr>
            <w:r w:rsidRPr="004D6D83">
              <w:rPr>
                <w:rFonts w:ascii="Arial" w:hAnsi="Arial" w:cs="Arial"/>
                <w:b/>
                <w:bCs/>
                <w:color w:val="000000" w:themeColor="text1"/>
                <w:sz w:val="22"/>
                <w:szCs w:val="22"/>
              </w:rPr>
              <w:t>4 792 817,81</w:t>
            </w:r>
          </w:p>
        </w:tc>
      </w:tr>
    </w:tbl>
    <w:p w14:paraId="43EF6D0B" w14:textId="654AEA9C" w:rsidR="00590D96" w:rsidRPr="009B78DA" w:rsidRDefault="00590D96" w:rsidP="00F45E35">
      <w:pPr>
        <w:spacing w:after="0" w:line="276" w:lineRule="auto"/>
        <w:jc w:val="both"/>
        <w:rPr>
          <w:rFonts w:ascii="Arial" w:hAnsi="Arial" w:cs="Arial"/>
          <w:color w:val="000000" w:themeColor="text1"/>
          <w:sz w:val="22"/>
          <w:szCs w:val="22"/>
        </w:rPr>
        <w:sectPr w:rsidR="00590D96" w:rsidRPr="009B78DA" w:rsidSect="00CB738C">
          <w:pgSz w:w="11906" w:h="16838"/>
          <w:pgMar w:top="720" w:right="720" w:bottom="720" w:left="720" w:header="708" w:footer="708" w:gutter="0"/>
          <w:cols w:space="708"/>
          <w:docGrid w:linePitch="360"/>
        </w:sectPr>
      </w:pPr>
    </w:p>
    <w:p w14:paraId="7821A308" w14:textId="0C8E0E17" w:rsidR="00826C55" w:rsidRPr="009B78DA" w:rsidRDefault="00826C55" w:rsidP="00AA231F">
      <w:pPr>
        <w:pStyle w:val="Legenda"/>
        <w:keepNext/>
        <w:rPr>
          <w:rFonts w:ascii="Arial" w:hAnsi="Arial" w:cs="Arial"/>
          <w:i w:val="0"/>
          <w:color w:val="000000" w:themeColor="text1"/>
          <w:sz w:val="22"/>
          <w:szCs w:val="22"/>
        </w:rPr>
      </w:pPr>
      <w:bookmarkStart w:id="414" w:name="_Toc146785765"/>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Przybliżone łączne koszty utrzymania letniego i zimowego infrastruktury rowerowej znajdującej się na obszarze Rejonów Dróg Wojewódzkich </w:t>
      </w:r>
      <w:r w:rsidR="00AA231F">
        <w:rPr>
          <w:rFonts w:ascii="Arial" w:hAnsi="Arial" w:cs="Arial"/>
          <w:i w:val="0"/>
          <w:color w:val="000000" w:themeColor="text1"/>
          <w:sz w:val="22"/>
          <w:szCs w:val="22"/>
        </w:rPr>
        <w:br/>
      </w:r>
      <w:r w:rsidRPr="009B78DA">
        <w:rPr>
          <w:rFonts w:ascii="Arial" w:hAnsi="Arial" w:cs="Arial"/>
          <w:i w:val="0"/>
          <w:color w:val="000000" w:themeColor="text1"/>
          <w:sz w:val="22"/>
          <w:szCs w:val="22"/>
        </w:rPr>
        <w:t>w perspektywie na lata 2020-2030*</w:t>
      </w:r>
      <w:bookmarkEnd w:id="414"/>
    </w:p>
    <w:tbl>
      <w:tblPr>
        <w:tblStyle w:val="Tabela-Siatka"/>
        <w:tblW w:w="5000" w:type="pct"/>
        <w:tblLook w:val="04A0" w:firstRow="1" w:lastRow="0" w:firstColumn="1" w:lastColumn="0" w:noHBand="0" w:noVBand="1"/>
        <w:tblCaption w:val="Tabela 35 Przybliżone łączne koszty utrzymania letniego i zimowego infrastruktury rowerowej znajdującej się na obszarze Rejonów Dróg Wojewódzkich"/>
        <w:tblDescription w:val="Tabela zawiera Rejon Dróg Wojewódzkich, Długość istniejącej infrastruktury rowerowej (w km), Koszty utrzymania w latach (w PLN brutto):2020, 2021, 2022, 2023, 2024*, 2025*, 2026*, 2027*, 2028*, 2029*, 2030*&#10;"/>
      </w:tblPr>
      <w:tblGrid>
        <w:gridCol w:w="1468"/>
        <w:gridCol w:w="1398"/>
        <w:gridCol w:w="1075"/>
        <w:gridCol w:w="1074"/>
        <w:gridCol w:w="1074"/>
        <w:gridCol w:w="1175"/>
        <w:gridCol w:w="1074"/>
        <w:gridCol w:w="1175"/>
        <w:gridCol w:w="1175"/>
        <w:gridCol w:w="1175"/>
        <w:gridCol w:w="1175"/>
        <w:gridCol w:w="1175"/>
        <w:gridCol w:w="1175"/>
      </w:tblGrid>
      <w:tr w:rsidR="00AD7215" w:rsidRPr="00AA231F" w14:paraId="5424B81A" w14:textId="77777777" w:rsidTr="00AA231F">
        <w:trPr>
          <w:trHeight w:val="479"/>
          <w:tblHeader/>
        </w:trPr>
        <w:tc>
          <w:tcPr>
            <w:tcW w:w="480" w:type="pct"/>
            <w:vMerge w:val="restart"/>
            <w:shd w:val="clear" w:color="auto" w:fill="BDD6EE" w:themeFill="accent1" w:themeFillTint="66"/>
            <w:vAlign w:val="center"/>
            <w:hideMark/>
          </w:tcPr>
          <w:p w14:paraId="16CE7FAD" w14:textId="75332181"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Rejon Dróg Wojewódzkich</w:t>
            </w:r>
          </w:p>
        </w:tc>
        <w:tc>
          <w:tcPr>
            <w:tcW w:w="456" w:type="pct"/>
            <w:vMerge w:val="restart"/>
            <w:shd w:val="clear" w:color="auto" w:fill="BDD6EE" w:themeFill="accent1" w:themeFillTint="66"/>
            <w:vAlign w:val="center"/>
            <w:hideMark/>
          </w:tcPr>
          <w:p w14:paraId="78199086" w14:textId="77777777" w:rsidR="009358CF"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 xml:space="preserve">Długość istniejącej infrastruktury rowerowej </w:t>
            </w:r>
          </w:p>
          <w:p w14:paraId="0B04DD54" w14:textId="4FE7ADB8"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(w km)</w:t>
            </w:r>
          </w:p>
        </w:tc>
        <w:tc>
          <w:tcPr>
            <w:tcW w:w="4064" w:type="pct"/>
            <w:gridSpan w:val="11"/>
            <w:shd w:val="clear" w:color="auto" w:fill="BDD6EE" w:themeFill="accent1" w:themeFillTint="66"/>
            <w:vAlign w:val="center"/>
            <w:hideMark/>
          </w:tcPr>
          <w:p w14:paraId="54AB8BF2"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Koszty utrzymania w latach (w PLN brutto):</w:t>
            </w:r>
          </w:p>
        </w:tc>
      </w:tr>
      <w:tr w:rsidR="00AD7215" w:rsidRPr="00AA231F" w14:paraId="53FC5E07" w14:textId="77777777" w:rsidTr="00AA231F">
        <w:trPr>
          <w:trHeight w:val="747"/>
          <w:tblHeader/>
        </w:trPr>
        <w:tc>
          <w:tcPr>
            <w:tcW w:w="480" w:type="pct"/>
            <w:vMerge/>
            <w:shd w:val="clear" w:color="auto" w:fill="BDD6EE" w:themeFill="accent1" w:themeFillTint="66"/>
            <w:vAlign w:val="center"/>
            <w:hideMark/>
          </w:tcPr>
          <w:p w14:paraId="1FB79A95" w14:textId="77777777" w:rsidR="00A77979" w:rsidRPr="00AA231F" w:rsidRDefault="00A77979" w:rsidP="00AA231F">
            <w:pPr>
              <w:spacing w:line="276" w:lineRule="auto"/>
              <w:jc w:val="center"/>
              <w:rPr>
                <w:rFonts w:ascii="Arial" w:hAnsi="Arial" w:cs="Arial"/>
                <w:b/>
                <w:color w:val="000000" w:themeColor="text1"/>
                <w:sz w:val="21"/>
                <w:szCs w:val="21"/>
              </w:rPr>
            </w:pPr>
          </w:p>
        </w:tc>
        <w:tc>
          <w:tcPr>
            <w:tcW w:w="456" w:type="pct"/>
            <w:vMerge/>
            <w:shd w:val="clear" w:color="auto" w:fill="BDD6EE" w:themeFill="accent1" w:themeFillTint="66"/>
            <w:vAlign w:val="center"/>
            <w:hideMark/>
          </w:tcPr>
          <w:p w14:paraId="61B21780" w14:textId="77777777" w:rsidR="00A77979" w:rsidRPr="00AA231F" w:rsidRDefault="00A77979" w:rsidP="00AA231F">
            <w:pPr>
              <w:spacing w:line="276" w:lineRule="auto"/>
              <w:jc w:val="center"/>
              <w:rPr>
                <w:rFonts w:ascii="Arial" w:hAnsi="Arial" w:cs="Arial"/>
                <w:b/>
                <w:color w:val="000000" w:themeColor="text1"/>
                <w:sz w:val="21"/>
                <w:szCs w:val="21"/>
              </w:rPr>
            </w:pPr>
          </w:p>
        </w:tc>
        <w:tc>
          <w:tcPr>
            <w:tcW w:w="348" w:type="pct"/>
            <w:shd w:val="clear" w:color="auto" w:fill="DEEAF6" w:themeFill="accent1" w:themeFillTint="33"/>
            <w:vAlign w:val="center"/>
            <w:hideMark/>
          </w:tcPr>
          <w:p w14:paraId="083C6D62"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2020</w:t>
            </w:r>
          </w:p>
        </w:tc>
        <w:tc>
          <w:tcPr>
            <w:tcW w:w="348" w:type="pct"/>
            <w:shd w:val="clear" w:color="auto" w:fill="DEEAF6" w:themeFill="accent1" w:themeFillTint="33"/>
            <w:vAlign w:val="center"/>
            <w:hideMark/>
          </w:tcPr>
          <w:p w14:paraId="113D00F3"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2021</w:t>
            </w:r>
          </w:p>
        </w:tc>
        <w:tc>
          <w:tcPr>
            <w:tcW w:w="348" w:type="pct"/>
            <w:shd w:val="clear" w:color="auto" w:fill="DEEAF6" w:themeFill="accent1" w:themeFillTint="33"/>
            <w:vAlign w:val="center"/>
            <w:hideMark/>
          </w:tcPr>
          <w:p w14:paraId="6C5A3487"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2022</w:t>
            </w:r>
          </w:p>
        </w:tc>
        <w:tc>
          <w:tcPr>
            <w:tcW w:w="382" w:type="pct"/>
            <w:shd w:val="clear" w:color="auto" w:fill="DEEAF6" w:themeFill="accent1" w:themeFillTint="33"/>
            <w:vAlign w:val="center"/>
            <w:hideMark/>
          </w:tcPr>
          <w:p w14:paraId="5B9E1F78"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2023</w:t>
            </w:r>
          </w:p>
        </w:tc>
        <w:tc>
          <w:tcPr>
            <w:tcW w:w="348" w:type="pct"/>
            <w:shd w:val="clear" w:color="auto" w:fill="DEEAF6" w:themeFill="accent1" w:themeFillTint="33"/>
            <w:vAlign w:val="center"/>
            <w:hideMark/>
          </w:tcPr>
          <w:p w14:paraId="5C2A2552"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2024*</w:t>
            </w:r>
          </w:p>
        </w:tc>
        <w:tc>
          <w:tcPr>
            <w:tcW w:w="382" w:type="pct"/>
            <w:shd w:val="clear" w:color="auto" w:fill="DEEAF6" w:themeFill="accent1" w:themeFillTint="33"/>
            <w:vAlign w:val="center"/>
            <w:hideMark/>
          </w:tcPr>
          <w:p w14:paraId="57E695C0"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2025*</w:t>
            </w:r>
          </w:p>
        </w:tc>
        <w:tc>
          <w:tcPr>
            <w:tcW w:w="382" w:type="pct"/>
            <w:shd w:val="clear" w:color="auto" w:fill="DEEAF6" w:themeFill="accent1" w:themeFillTint="33"/>
            <w:vAlign w:val="center"/>
            <w:hideMark/>
          </w:tcPr>
          <w:p w14:paraId="440BD438"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2026*</w:t>
            </w:r>
          </w:p>
        </w:tc>
        <w:tc>
          <w:tcPr>
            <w:tcW w:w="382" w:type="pct"/>
            <w:shd w:val="clear" w:color="auto" w:fill="DEEAF6" w:themeFill="accent1" w:themeFillTint="33"/>
            <w:vAlign w:val="center"/>
            <w:hideMark/>
          </w:tcPr>
          <w:p w14:paraId="14D950A6"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2027*</w:t>
            </w:r>
          </w:p>
        </w:tc>
        <w:tc>
          <w:tcPr>
            <w:tcW w:w="382" w:type="pct"/>
            <w:shd w:val="clear" w:color="auto" w:fill="DEEAF6" w:themeFill="accent1" w:themeFillTint="33"/>
            <w:vAlign w:val="center"/>
            <w:hideMark/>
          </w:tcPr>
          <w:p w14:paraId="6FF79DC9"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2028*</w:t>
            </w:r>
          </w:p>
        </w:tc>
        <w:tc>
          <w:tcPr>
            <w:tcW w:w="382" w:type="pct"/>
            <w:shd w:val="clear" w:color="auto" w:fill="DEEAF6" w:themeFill="accent1" w:themeFillTint="33"/>
            <w:vAlign w:val="center"/>
            <w:hideMark/>
          </w:tcPr>
          <w:p w14:paraId="096D0BAE"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2029*</w:t>
            </w:r>
          </w:p>
        </w:tc>
        <w:tc>
          <w:tcPr>
            <w:tcW w:w="382" w:type="pct"/>
            <w:shd w:val="clear" w:color="auto" w:fill="DEEAF6" w:themeFill="accent1" w:themeFillTint="33"/>
            <w:vAlign w:val="center"/>
            <w:hideMark/>
          </w:tcPr>
          <w:p w14:paraId="3765B5CD" w14:textId="77777777" w:rsidR="00A77979" w:rsidRPr="00AA231F" w:rsidRDefault="00A77979" w:rsidP="00AA231F">
            <w:pPr>
              <w:spacing w:line="276" w:lineRule="auto"/>
              <w:jc w:val="center"/>
              <w:rPr>
                <w:rFonts w:ascii="Arial" w:hAnsi="Arial" w:cs="Arial"/>
                <w:b/>
                <w:color w:val="000000" w:themeColor="text1"/>
                <w:sz w:val="21"/>
                <w:szCs w:val="21"/>
              </w:rPr>
            </w:pPr>
            <w:r w:rsidRPr="00AA231F">
              <w:rPr>
                <w:rFonts w:ascii="Arial" w:hAnsi="Arial" w:cs="Arial"/>
                <w:b/>
                <w:color w:val="000000" w:themeColor="text1"/>
                <w:sz w:val="21"/>
                <w:szCs w:val="21"/>
              </w:rPr>
              <w:t>2030*</w:t>
            </w:r>
          </w:p>
        </w:tc>
      </w:tr>
      <w:tr w:rsidR="00AD7215" w:rsidRPr="00AA231F" w14:paraId="4FBC6E0D" w14:textId="77777777" w:rsidTr="00AA231F">
        <w:trPr>
          <w:trHeight w:val="479"/>
        </w:trPr>
        <w:tc>
          <w:tcPr>
            <w:tcW w:w="480" w:type="pct"/>
            <w:vAlign w:val="center"/>
            <w:hideMark/>
          </w:tcPr>
          <w:p w14:paraId="13B0033E" w14:textId="77777777" w:rsidR="00A77979" w:rsidRPr="00AA231F" w:rsidRDefault="00A77979" w:rsidP="00AA231F">
            <w:pPr>
              <w:spacing w:line="276" w:lineRule="auto"/>
              <w:rPr>
                <w:rFonts w:ascii="Arial" w:hAnsi="Arial" w:cs="Arial"/>
                <w:b/>
                <w:color w:val="000000" w:themeColor="text1"/>
                <w:sz w:val="21"/>
                <w:szCs w:val="21"/>
              </w:rPr>
            </w:pPr>
            <w:r w:rsidRPr="00AA231F">
              <w:rPr>
                <w:rFonts w:ascii="Arial" w:hAnsi="Arial" w:cs="Arial"/>
                <w:b/>
                <w:color w:val="000000" w:themeColor="text1"/>
                <w:sz w:val="21"/>
                <w:szCs w:val="21"/>
              </w:rPr>
              <w:t>Jarosław</w:t>
            </w:r>
          </w:p>
        </w:tc>
        <w:tc>
          <w:tcPr>
            <w:tcW w:w="456" w:type="pct"/>
            <w:shd w:val="clear" w:color="auto" w:fill="DEEAF6" w:themeFill="accent1" w:themeFillTint="33"/>
            <w:vAlign w:val="center"/>
            <w:hideMark/>
          </w:tcPr>
          <w:p w14:paraId="62792D0D"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10,46</w:t>
            </w:r>
          </w:p>
        </w:tc>
        <w:tc>
          <w:tcPr>
            <w:tcW w:w="348" w:type="pct"/>
            <w:vAlign w:val="center"/>
            <w:hideMark/>
          </w:tcPr>
          <w:p w14:paraId="5DC22928"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54942,50</w:t>
            </w:r>
          </w:p>
        </w:tc>
        <w:tc>
          <w:tcPr>
            <w:tcW w:w="348" w:type="pct"/>
            <w:vAlign w:val="center"/>
            <w:hideMark/>
          </w:tcPr>
          <w:p w14:paraId="7CB1D0C6"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111656,50</w:t>
            </w:r>
          </w:p>
        </w:tc>
        <w:tc>
          <w:tcPr>
            <w:tcW w:w="348" w:type="pct"/>
            <w:vAlign w:val="center"/>
            <w:hideMark/>
          </w:tcPr>
          <w:p w14:paraId="4CA335B0"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122960,20</w:t>
            </w:r>
          </w:p>
        </w:tc>
        <w:tc>
          <w:tcPr>
            <w:tcW w:w="382" w:type="pct"/>
            <w:vAlign w:val="center"/>
            <w:hideMark/>
          </w:tcPr>
          <w:p w14:paraId="2C4F8139"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135256,22</w:t>
            </w:r>
          </w:p>
        </w:tc>
        <w:tc>
          <w:tcPr>
            <w:tcW w:w="348" w:type="pct"/>
            <w:vAlign w:val="center"/>
            <w:hideMark/>
          </w:tcPr>
          <w:p w14:paraId="011D2AD9"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148781,84</w:t>
            </w:r>
          </w:p>
        </w:tc>
        <w:tc>
          <w:tcPr>
            <w:tcW w:w="382" w:type="pct"/>
            <w:vAlign w:val="center"/>
            <w:hideMark/>
          </w:tcPr>
          <w:p w14:paraId="570170B7"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163660,03</w:t>
            </w:r>
          </w:p>
        </w:tc>
        <w:tc>
          <w:tcPr>
            <w:tcW w:w="382" w:type="pct"/>
            <w:vAlign w:val="center"/>
            <w:hideMark/>
          </w:tcPr>
          <w:p w14:paraId="6D4E0AEC"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180026,03</w:t>
            </w:r>
          </w:p>
        </w:tc>
        <w:tc>
          <w:tcPr>
            <w:tcW w:w="382" w:type="pct"/>
            <w:vAlign w:val="center"/>
            <w:hideMark/>
          </w:tcPr>
          <w:p w14:paraId="6606015C"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198028,63</w:t>
            </w:r>
          </w:p>
        </w:tc>
        <w:tc>
          <w:tcPr>
            <w:tcW w:w="382" w:type="pct"/>
            <w:vAlign w:val="center"/>
            <w:hideMark/>
          </w:tcPr>
          <w:p w14:paraId="0F6F098E"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217831,49</w:t>
            </w:r>
          </w:p>
        </w:tc>
        <w:tc>
          <w:tcPr>
            <w:tcW w:w="382" w:type="pct"/>
            <w:vAlign w:val="center"/>
            <w:hideMark/>
          </w:tcPr>
          <w:p w14:paraId="31CE4BFA"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239619,25</w:t>
            </w:r>
          </w:p>
        </w:tc>
        <w:tc>
          <w:tcPr>
            <w:tcW w:w="382" w:type="pct"/>
            <w:vAlign w:val="center"/>
            <w:hideMark/>
          </w:tcPr>
          <w:p w14:paraId="524582EC"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263581,18</w:t>
            </w:r>
          </w:p>
        </w:tc>
      </w:tr>
      <w:tr w:rsidR="00AD7215" w:rsidRPr="00AA231F" w14:paraId="0DA9CE09" w14:textId="77777777" w:rsidTr="00AA231F">
        <w:trPr>
          <w:trHeight w:val="479"/>
        </w:trPr>
        <w:tc>
          <w:tcPr>
            <w:tcW w:w="480" w:type="pct"/>
            <w:vAlign w:val="center"/>
            <w:hideMark/>
          </w:tcPr>
          <w:p w14:paraId="0AD6CC28" w14:textId="77777777" w:rsidR="00A77979" w:rsidRPr="00AA231F" w:rsidRDefault="00A77979" w:rsidP="00AA231F">
            <w:pPr>
              <w:spacing w:line="276" w:lineRule="auto"/>
              <w:rPr>
                <w:rFonts w:ascii="Arial" w:hAnsi="Arial" w:cs="Arial"/>
                <w:b/>
                <w:color w:val="000000" w:themeColor="text1"/>
                <w:sz w:val="21"/>
                <w:szCs w:val="21"/>
              </w:rPr>
            </w:pPr>
            <w:r w:rsidRPr="00AA231F">
              <w:rPr>
                <w:rFonts w:ascii="Arial" w:hAnsi="Arial" w:cs="Arial"/>
                <w:b/>
                <w:color w:val="000000" w:themeColor="text1"/>
                <w:sz w:val="21"/>
                <w:szCs w:val="21"/>
              </w:rPr>
              <w:t>Jasło</w:t>
            </w:r>
          </w:p>
        </w:tc>
        <w:tc>
          <w:tcPr>
            <w:tcW w:w="456" w:type="pct"/>
            <w:shd w:val="clear" w:color="auto" w:fill="DEEAF6" w:themeFill="accent1" w:themeFillTint="33"/>
            <w:vAlign w:val="center"/>
            <w:hideMark/>
          </w:tcPr>
          <w:p w14:paraId="6D62CF6E"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3,93</w:t>
            </w:r>
          </w:p>
        </w:tc>
        <w:tc>
          <w:tcPr>
            <w:tcW w:w="348" w:type="pct"/>
            <w:vAlign w:val="center"/>
            <w:hideMark/>
          </w:tcPr>
          <w:p w14:paraId="02BC91F2"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3203,17</w:t>
            </w:r>
          </w:p>
        </w:tc>
        <w:tc>
          <w:tcPr>
            <w:tcW w:w="348" w:type="pct"/>
            <w:vAlign w:val="center"/>
            <w:hideMark/>
          </w:tcPr>
          <w:p w14:paraId="1737A272"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30988,06</w:t>
            </w:r>
          </w:p>
        </w:tc>
        <w:tc>
          <w:tcPr>
            <w:tcW w:w="348" w:type="pct"/>
            <w:vAlign w:val="center"/>
            <w:hideMark/>
          </w:tcPr>
          <w:p w14:paraId="4C5FA55D"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46332,02</w:t>
            </w:r>
          </w:p>
        </w:tc>
        <w:tc>
          <w:tcPr>
            <w:tcW w:w="382" w:type="pct"/>
            <w:vAlign w:val="center"/>
            <w:hideMark/>
          </w:tcPr>
          <w:p w14:paraId="0C57C93D"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50995,96</w:t>
            </w:r>
          </w:p>
        </w:tc>
        <w:tc>
          <w:tcPr>
            <w:tcW w:w="348" w:type="pct"/>
            <w:vAlign w:val="center"/>
            <w:hideMark/>
          </w:tcPr>
          <w:p w14:paraId="1ECFE495"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56095,55</w:t>
            </w:r>
          </w:p>
        </w:tc>
        <w:tc>
          <w:tcPr>
            <w:tcW w:w="382" w:type="pct"/>
            <w:vAlign w:val="center"/>
            <w:hideMark/>
          </w:tcPr>
          <w:p w14:paraId="2880DD2E"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61705,12</w:t>
            </w:r>
          </w:p>
        </w:tc>
        <w:tc>
          <w:tcPr>
            <w:tcW w:w="382" w:type="pct"/>
            <w:vAlign w:val="center"/>
            <w:hideMark/>
          </w:tcPr>
          <w:p w14:paraId="72B1F843"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67875,65</w:t>
            </w:r>
          </w:p>
        </w:tc>
        <w:tc>
          <w:tcPr>
            <w:tcW w:w="382" w:type="pct"/>
            <w:vAlign w:val="center"/>
            <w:hideMark/>
          </w:tcPr>
          <w:p w14:paraId="308E1847"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74663,22</w:t>
            </w:r>
          </w:p>
        </w:tc>
        <w:tc>
          <w:tcPr>
            <w:tcW w:w="382" w:type="pct"/>
            <w:vAlign w:val="center"/>
            <w:hideMark/>
          </w:tcPr>
          <w:p w14:paraId="56463209"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729926,05</w:t>
            </w:r>
          </w:p>
        </w:tc>
        <w:tc>
          <w:tcPr>
            <w:tcW w:w="382" w:type="pct"/>
            <w:vAlign w:val="center"/>
            <w:hideMark/>
          </w:tcPr>
          <w:p w14:paraId="5DFA5FBB"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802918,68</w:t>
            </w:r>
          </w:p>
        </w:tc>
        <w:tc>
          <w:tcPr>
            <w:tcW w:w="382" w:type="pct"/>
            <w:vAlign w:val="center"/>
            <w:hideMark/>
          </w:tcPr>
          <w:p w14:paraId="69376851"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883210,56</w:t>
            </w:r>
          </w:p>
        </w:tc>
      </w:tr>
      <w:tr w:rsidR="00AD7215" w:rsidRPr="00AA231F" w14:paraId="50A997D2" w14:textId="77777777" w:rsidTr="00AA231F">
        <w:trPr>
          <w:trHeight w:val="479"/>
        </w:trPr>
        <w:tc>
          <w:tcPr>
            <w:tcW w:w="480" w:type="pct"/>
            <w:vAlign w:val="center"/>
            <w:hideMark/>
          </w:tcPr>
          <w:p w14:paraId="4651E43E" w14:textId="77777777" w:rsidR="00A77979" w:rsidRPr="00AA231F" w:rsidRDefault="00A77979" w:rsidP="00AA231F">
            <w:pPr>
              <w:spacing w:line="276" w:lineRule="auto"/>
              <w:rPr>
                <w:rFonts w:ascii="Arial" w:hAnsi="Arial" w:cs="Arial"/>
                <w:b/>
                <w:color w:val="000000" w:themeColor="text1"/>
                <w:sz w:val="21"/>
                <w:szCs w:val="21"/>
              </w:rPr>
            </w:pPr>
            <w:r w:rsidRPr="00AA231F">
              <w:rPr>
                <w:rFonts w:ascii="Arial" w:hAnsi="Arial" w:cs="Arial"/>
                <w:b/>
                <w:color w:val="000000" w:themeColor="text1"/>
                <w:sz w:val="21"/>
                <w:szCs w:val="21"/>
              </w:rPr>
              <w:t>Lubaczów</w:t>
            </w:r>
          </w:p>
        </w:tc>
        <w:tc>
          <w:tcPr>
            <w:tcW w:w="456" w:type="pct"/>
            <w:shd w:val="clear" w:color="auto" w:fill="DEEAF6" w:themeFill="accent1" w:themeFillTint="33"/>
            <w:vAlign w:val="center"/>
            <w:hideMark/>
          </w:tcPr>
          <w:p w14:paraId="4EAE0879"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8,81</w:t>
            </w:r>
          </w:p>
        </w:tc>
        <w:tc>
          <w:tcPr>
            <w:tcW w:w="348" w:type="pct"/>
            <w:vAlign w:val="center"/>
            <w:hideMark/>
          </w:tcPr>
          <w:p w14:paraId="0587DDA8"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7290,86</w:t>
            </w:r>
          </w:p>
        </w:tc>
        <w:tc>
          <w:tcPr>
            <w:tcW w:w="348" w:type="pct"/>
            <w:vAlign w:val="center"/>
            <w:hideMark/>
          </w:tcPr>
          <w:p w14:paraId="484F2563"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26460,86</w:t>
            </w:r>
          </w:p>
        </w:tc>
        <w:tc>
          <w:tcPr>
            <w:tcW w:w="348" w:type="pct"/>
            <w:vAlign w:val="center"/>
            <w:hideMark/>
          </w:tcPr>
          <w:p w14:paraId="1F5A1903"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14040,86</w:t>
            </w:r>
          </w:p>
        </w:tc>
        <w:tc>
          <w:tcPr>
            <w:tcW w:w="382" w:type="pct"/>
            <w:vAlign w:val="center"/>
            <w:hideMark/>
          </w:tcPr>
          <w:p w14:paraId="5E7E5DF5"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30335,95</w:t>
            </w:r>
          </w:p>
        </w:tc>
        <w:tc>
          <w:tcPr>
            <w:tcW w:w="348" w:type="pct"/>
            <w:vAlign w:val="center"/>
            <w:hideMark/>
          </w:tcPr>
          <w:p w14:paraId="30E75FFD"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33369,55</w:t>
            </w:r>
          </w:p>
        </w:tc>
        <w:tc>
          <w:tcPr>
            <w:tcW w:w="382" w:type="pct"/>
            <w:vAlign w:val="center"/>
            <w:hideMark/>
          </w:tcPr>
          <w:p w14:paraId="375A3A89"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36706,50</w:t>
            </w:r>
          </w:p>
        </w:tc>
        <w:tc>
          <w:tcPr>
            <w:tcW w:w="382" w:type="pct"/>
            <w:vAlign w:val="center"/>
            <w:hideMark/>
          </w:tcPr>
          <w:p w14:paraId="1B847A81"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40377,15</w:t>
            </w:r>
          </w:p>
        </w:tc>
        <w:tc>
          <w:tcPr>
            <w:tcW w:w="382" w:type="pct"/>
            <w:vAlign w:val="center"/>
            <w:hideMark/>
          </w:tcPr>
          <w:p w14:paraId="445C6D72"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44414,86</w:t>
            </w:r>
          </w:p>
        </w:tc>
        <w:tc>
          <w:tcPr>
            <w:tcW w:w="382" w:type="pct"/>
            <w:vAlign w:val="center"/>
            <w:hideMark/>
          </w:tcPr>
          <w:p w14:paraId="28DF8C4D"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48856,35</w:t>
            </w:r>
          </w:p>
        </w:tc>
        <w:tc>
          <w:tcPr>
            <w:tcW w:w="382" w:type="pct"/>
            <w:vAlign w:val="center"/>
            <w:hideMark/>
          </w:tcPr>
          <w:p w14:paraId="2316304E"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53741,99</w:t>
            </w:r>
          </w:p>
        </w:tc>
        <w:tc>
          <w:tcPr>
            <w:tcW w:w="382" w:type="pct"/>
            <w:vAlign w:val="center"/>
            <w:hideMark/>
          </w:tcPr>
          <w:p w14:paraId="2547DB02"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59116,19</w:t>
            </w:r>
          </w:p>
        </w:tc>
      </w:tr>
      <w:tr w:rsidR="00AD7215" w:rsidRPr="00AA231F" w14:paraId="0B370159" w14:textId="77777777" w:rsidTr="00AA231F">
        <w:trPr>
          <w:trHeight w:val="479"/>
        </w:trPr>
        <w:tc>
          <w:tcPr>
            <w:tcW w:w="480" w:type="pct"/>
            <w:vAlign w:val="center"/>
            <w:hideMark/>
          </w:tcPr>
          <w:p w14:paraId="153220B1" w14:textId="77777777" w:rsidR="00A77979" w:rsidRPr="00AA231F" w:rsidRDefault="00A77979" w:rsidP="00AA231F">
            <w:pPr>
              <w:spacing w:line="276" w:lineRule="auto"/>
              <w:rPr>
                <w:rFonts w:ascii="Arial" w:hAnsi="Arial" w:cs="Arial"/>
                <w:b/>
                <w:color w:val="000000" w:themeColor="text1"/>
                <w:sz w:val="21"/>
                <w:szCs w:val="21"/>
              </w:rPr>
            </w:pPr>
            <w:r w:rsidRPr="00AA231F">
              <w:rPr>
                <w:rFonts w:ascii="Arial" w:hAnsi="Arial" w:cs="Arial"/>
                <w:b/>
                <w:color w:val="000000" w:themeColor="text1"/>
                <w:sz w:val="21"/>
                <w:szCs w:val="21"/>
              </w:rPr>
              <w:t>Łańcut</w:t>
            </w:r>
          </w:p>
        </w:tc>
        <w:tc>
          <w:tcPr>
            <w:tcW w:w="456" w:type="pct"/>
            <w:shd w:val="clear" w:color="auto" w:fill="DEEAF6" w:themeFill="accent1" w:themeFillTint="33"/>
            <w:vAlign w:val="center"/>
            <w:hideMark/>
          </w:tcPr>
          <w:p w14:paraId="3F1CF221"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10,44</w:t>
            </w:r>
          </w:p>
        </w:tc>
        <w:tc>
          <w:tcPr>
            <w:tcW w:w="348" w:type="pct"/>
            <w:vAlign w:val="center"/>
            <w:hideMark/>
          </w:tcPr>
          <w:p w14:paraId="5481AEEF"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16490,46</w:t>
            </w:r>
          </w:p>
        </w:tc>
        <w:tc>
          <w:tcPr>
            <w:tcW w:w="348" w:type="pct"/>
            <w:vAlign w:val="center"/>
            <w:hideMark/>
          </w:tcPr>
          <w:p w14:paraId="0E20E397"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16490,46</w:t>
            </w:r>
          </w:p>
        </w:tc>
        <w:tc>
          <w:tcPr>
            <w:tcW w:w="348" w:type="pct"/>
            <w:vAlign w:val="center"/>
            <w:hideMark/>
          </w:tcPr>
          <w:p w14:paraId="1EC7C663"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16490,46</w:t>
            </w:r>
          </w:p>
        </w:tc>
        <w:tc>
          <w:tcPr>
            <w:tcW w:w="382" w:type="pct"/>
            <w:vAlign w:val="center"/>
            <w:hideMark/>
          </w:tcPr>
          <w:p w14:paraId="71129615"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17857,71</w:t>
            </w:r>
          </w:p>
        </w:tc>
        <w:tc>
          <w:tcPr>
            <w:tcW w:w="348" w:type="pct"/>
            <w:vAlign w:val="center"/>
            <w:hideMark/>
          </w:tcPr>
          <w:p w14:paraId="7114A6D3"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19643,48</w:t>
            </w:r>
          </w:p>
        </w:tc>
        <w:tc>
          <w:tcPr>
            <w:tcW w:w="382" w:type="pct"/>
            <w:vAlign w:val="center"/>
            <w:hideMark/>
          </w:tcPr>
          <w:p w14:paraId="4050EEF4"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21607,83</w:t>
            </w:r>
          </w:p>
        </w:tc>
        <w:tc>
          <w:tcPr>
            <w:tcW w:w="382" w:type="pct"/>
            <w:vAlign w:val="center"/>
            <w:hideMark/>
          </w:tcPr>
          <w:p w14:paraId="7BEBDBAE"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23768,61</w:t>
            </w:r>
          </w:p>
        </w:tc>
        <w:tc>
          <w:tcPr>
            <w:tcW w:w="382" w:type="pct"/>
            <w:vAlign w:val="center"/>
            <w:hideMark/>
          </w:tcPr>
          <w:p w14:paraId="2257A8A2"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26145,47</w:t>
            </w:r>
          </w:p>
        </w:tc>
        <w:tc>
          <w:tcPr>
            <w:tcW w:w="382" w:type="pct"/>
            <w:vAlign w:val="center"/>
            <w:hideMark/>
          </w:tcPr>
          <w:p w14:paraId="17ED2399"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28760,02</w:t>
            </w:r>
          </w:p>
        </w:tc>
        <w:tc>
          <w:tcPr>
            <w:tcW w:w="382" w:type="pct"/>
            <w:vAlign w:val="center"/>
            <w:hideMark/>
          </w:tcPr>
          <w:p w14:paraId="7F7B68C3"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31636,02</w:t>
            </w:r>
          </w:p>
        </w:tc>
        <w:tc>
          <w:tcPr>
            <w:tcW w:w="382" w:type="pct"/>
            <w:vAlign w:val="center"/>
            <w:hideMark/>
          </w:tcPr>
          <w:p w14:paraId="3C6F0C48"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34799,62</w:t>
            </w:r>
          </w:p>
        </w:tc>
      </w:tr>
      <w:tr w:rsidR="00AD7215" w:rsidRPr="00AA231F" w14:paraId="6A4DB5E2" w14:textId="77777777" w:rsidTr="00AA231F">
        <w:trPr>
          <w:trHeight w:val="479"/>
        </w:trPr>
        <w:tc>
          <w:tcPr>
            <w:tcW w:w="480" w:type="pct"/>
            <w:vAlign w:val="center"/>
            <w:hideMark/>
          </w:tcPr>
          <w:p w14:paraId="583B68FB" w14:textId="77777777" w:rsidR="00A77979" w:rsidRPr="00AA231F" w:rsidRDefault="00A77979" w:rsidP="00AA231F">
            <w:pPr>
              <w:spacing w:line="276" w:lineRule="auto"/>
              <w:rPr>
                <w:rFonts w:ascii="Arial" w:hAnsi="Arial" w:cs="Arial"/>
                <w:b/>
                <w:color w:val="000000" w:themeColor="text1"/>
                <w:sz w:val="21"/>
                <w:szCs w:val="21"/>
              </w:rPr>
            </w:pPr>
            <w:r w:rsidRPr="00AA231F">
              <w:rPr>
                <w:rFonts w:ascii="Arial" w:hAnsi="Arial" w:cs="Arial"/>
                <w:b/>
                <w:color w:val="000000" w:themeColor="text1"/>
                <w:sz w:val="21"/>
                <w:szCs w:val="21"/>
              </w:rPr>
              <w:t>Mielec</w:t>
            </w:r>
          </w:p>
        </w:tc>
        <w:tc>
          <w:tcPr>
            <w:tcW w:w="456" w:type="pct"/>
            <w:shd w:val="clear" w:color="auto" w:fill="DEEAF6" w:themeFill="accent1" w:themeFillTint="33"/>
            <w:vAlign w:val="center"/>
            <w:hideMark/>
          </w:tcPr>
          <w:p w14:paraId="7A37411E"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17,80</w:t>
            </w:r>
          </w:p>
        </w:tc>
        <w:tc>
          <w:tcPr>
            <w:tcW w:w="348" w:type="pct"/>
            <w:vAlign w:val="center"/>
            <w:hideMark/>
          </w:tcPr>
          <w:p w14:paraId="34CA173B" w14:textId="71A90815"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1240,00</w:t>
            </w:r>
            <w:r w:rsidR="004E5299" w:rsidRPr="00AA231F">
              <w:rPr>
                <w:rFonts w:ascii="Arial" w:hAnsi="Arial" w:cs="Arial"/>
                <w:color w:val="000000" w:themeColor="text1"/>
                <w:sz w:val="21"/>
                <w:szCs w:val="21"/>
              </w:rPr>
              <w:t>**</w:t>
            </w:r>
          </w:p>
        </w:tc>
        <w:tc>
          <w:tcPr>
            <w:tcW w:w="348" w:type="pct"/>
            <w:vAlign w:val="center"/>
            <w:hideMark/>
          </w:tcPr>
          <w:p w14:paraId="47EA0BAC"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36350,00</w:t>
            </w:r>
          </w:p>
        </w:tc>
        <w:tc>
          <w:tcPr>
            <w:tcW w:w="348" w:type="pct"/>
            <w:vAlign w:val="center"/>
            <w:hideMark/>
          </w:tcPr>
          <w:p w14:paraId="78CEAC22"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35330,00</w:t>
            </w:r>
          </w:p>
        </w:tc>
        <w:tc>
          <w:tcPr>
            <w:tcW w:w="382" w:type="pct"/>
            <w:vAlign w:val="center"/>
            <w:hideMark/>
          </w:tcPr>
          <w:p w14:paraId="2BAE8EB6"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27630,00</w:t>
            </w:r>
          </w:p>
        </w:tc>
        <w:tc>
          <w:tcPr>
            <w:tcW w:w="348" w:type="pct"/>
            <w:vAlign w:val="center"/>
            <w:hideMark/>
          </w:tcPr>
          <w:p w14:paraId="62A5A76B"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30393,00</w:t>
            </w:r>
          </w:p>
        </w:tc>
        <w:tc>
          <w:tcPr>
            <w:tcW w:w="382" w:type="pct"/>
            <w:vAlign w:val="center"/>
            <w:hideMark/>
          </w:tcPr>
          <w:p w14:paraId="0814A2C5"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33432,30</w:t>
            </w:r>
          </w:p>
        </w:tc>
        <w:tc>
          <w:tcPr>
            <w:tcW w:w="382" w:type="pct"/>
            <w:vAlign w:val="center"/>
            <w:hideMark/>
          </w:tcPr>
          <w:p w14:paraId="1AB50C73"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36775,53</w:t>
            </w:r>
          </w:p>
        </w:tc>
        <w:tc>
          <w:tcPr>
            <w:tcW w:w="382" w:type="pct"/>
            <w:vAlign w:val="center"/>
            <w:hideMark/>
          </w:tcPr>
          <w:p w14:paraId="2EAB6A0D"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40453,08</w:t>
            </w:r>
          </w:p>
        </w:tc>
        <w:tc>
          <w:tcPr>
            <w:tcW w:w="382" w:type="pct"/>
            <w:vAlign w:val="center"/>
            <w:hideMark/>
          </w:tcPr>
          <w:p w14:paraId="01103923"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44498,39</w:t>
            </w:r>
          </w:p>
        </w:tc>
        <w:tc>
          <w:tcPr>
            <w:tcW w:w="382" w:type="pct"/>
            <w:vAlign w:val="center"/>
            <w:hideMark/>
          </w:tcPr>
          <w:p w14:paraId="666CA0F8"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48948,23</w:t>
            </w:r>
          </w:p>
        </w:tc>
        <w:tc>
          <w:tcPr>
            <w:tcW w:w="382" w:type="pct"/>
            <w:vAlign w:val="center"/>
            <w:hideMark/>
          </w:tcPr>
          <w:p w14:paraId="70683F35"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53843,05</w:t>
            </w:r>
          </w:p>
        </w:tc>
      </w:tr>
      <w:tr w:rsidR="00AD7215" w:rsidRPr="00AA231F" w14:paraId="5E40D2DA" w14:textId="77777777" w:rsidTr="00AA231F">
        <w:trPr>
          <w:trHeight w:val="479"/>
        </w:trPr>
        <w:tc>
          <w:tcPr>
            <w:tcW w:w="480" w:type="pct"/>
            <w:vAlign w:val="center"/>
            <w:hideMark/>
          </w:tcPr>
          <w:p w14:paraId="42479304" w14:textId="77777777" w:rsidR="00A77979" w:rsidRPr="00AA231F" w:rsidRDefault="00A77979" w:rsidP="00AA231F">
            <w:pPr>
              <w:spacing w:line="276" w:lineRule="auto"/>
              <w:rPr>
                <w:rFonts w:ascii="Arial" w:hAnsi="Arial" w:cs="Arial"/>
                <w:b/>
                <w:color w:val="000000" w:themeColor="text1"/>
                <w:sz w:val="21"/>
                <w:szCs w:val="21"/>
              </w:rPr>
            </w:pPr>
            <w:r w:rsidRPr="00AA231F">
              <w:rPr>
                <w:rFonts w:ascii="Arial" w:hAnsi="Arial" w:cs="Arial"/>
                <w:b/>
                <w:color w:val="000000" w:themeColor="text1"/>
                <w:sz w:val="21"/>
                <w:szCs w:val="21"/>
              </w:rPr>
              <w:t>Rymanów</w:t>
            </w:r>
          </w:p>
        </w:tc>
        <w:tc>
          <w:tcPr>
            <w:tcW w:w="456" w:type="pct"/>
            <w:shd w:val="clear" w:color="auto" w:fill="DEEAF6" w:themeFill="accent1" w:themeFillTint="33"/>
            <w:vAlign w:val="center"/>
            <w:hideMark/>
          </w:tcPr>
          <w:p w14:paraId="4EDFDA37"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6,30</w:t>
            </w:r>
          </w:p>
        </w:tc>
        <w:tc>
          <w:tcPr>
            <w:tcW w:w="348" w:type="pct"/>
            <w:vAlign w:val="center"/>
            <w:hideMark/>
          </w:tcPr>
          <w:p w14:paraId="7CC3610B"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26000,00</w:t>
            </w:r>
          </w:p>
        </w:tc>
        <w:tc>
          <w:tcPr>
            <w:tcW w:w="348" w:type="pct"/>
            <w:vAlign w:val="center"/>
            <w:hideMark/>
          </w:tcPr>
          <w:p w14:paraId="6E6EE6DE"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56200,00</w:t>
            </w:r>
          </w:p>
        </w:tc>
        <w:tc>
          <w:tcPr>
            <w:tcW w:w="348" w:type="pct"/>
            <w:vAlign w:val="center"/>
            <w:hideMark/>
          </w:tcPr>
          <w:p w14:paraId="2F9BC6DD"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45300,00</w:t>
            </w:r>
          </w:p>
        </w:tc>
        <w:tc>
          <w:tcPr>
            <w:tcW w:w="382" w:type="pct"/>
            <w:vAlign w:val="center"/>
            <w:hideMark/>
          </w:tcPr>
          <w:p w14:paraId="0628DBA3"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56700,00</w:t>
            </w:r>
          </w:p>
        </w:tc>
        <w:tc>
          <w:tcPr>
            <w:tcW w:w="348" w:type="pct"/>
            <w:vAlign w:val="center"/>
            <w:hideMark/>
          </w:tcPr>
          <w:p w14:paraId="687EBD66"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69900,00</w:t>
            </w:r>
          </w:p>
        </w:tc>
        <w:tc>
          <w:tcPr>
            <w:tcW w:w="382" w:type="pct"/>
            <w:vAlign w:val="center"/>
            <w:hideMark/>
          </w:tcPr>
          <w:p w14:paraId="6134F34E"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76890,00</w:t>
            </w:r>
          </w:p>
        </w:tc>
        <w:tc>
          <w:tcPr>
            <w:tcW w:w="382" w:type="pct"/>
            <w:vAlign w:val="center"/>
            <w:hideMark/>
          </w:tcPr>
          <w:p w14:paraId="4766DDD6"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84579,00</w:t>
            </w:r>
          </w:p>
        </w:tc>
        <w:tc>
          <w:tcPr>
            <w:tcW w:w="382" w:type="pct"/>
            <w:vAlign w:val="center"/>
            <w:hideMark/>
          </w:tcPr>
          <w:p w14:paraId="5059472A"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93036,90</w:t>
            </w:r>
          </w:p>
        </w:tc>
        <w:tc>
          <w:tcPr>
            <w:tcW w:w="382" w:type="pct"/>
            <w:vAlign w:val="center"/>
            <w:hideMark/>
          </w:tcPr>
          <w:p w14:paraId="0C0BE9BB"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102299,69</w:t>
            </w:r>
          </w:p>
        </w:tc>
        <w:tc>
          <w:tcPr>
            <w:tcW w:w="382" w:type="pct"/>
            <w:vAlign w:val="center"/>
            <w:hideMark/>
          </w:tcPr>
          <w:p w14:paraId="40126BBF"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112529,66</w:t>
            </w:r>
          </w:p>
        </w:tc>
        <w:tc>
          <w:tcPr>
            <w:tcW w:w="382" w:type="pct"/>
            <w:vAlign w:val="center"/>
            <w:hideMark/>
          </w:tcPr>
          <w:p w14:paraId="1DBC5CCC"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123782,62</w:t>
            </w:r>
          </w:p>
        </w:tc>
      </w:tr>
      <w:tr w:rsidR="00AD7215" w:rsidRPr="00AA231F" w14:paraId="381BB676" w14:textId="77777777" w:rsidTr="00AA231F">
        <w:trPr>
          <w:trHeight w:val="479"/>
        </w:trPr>
        <w:tc>
          <w:tcPr>
            <w:tcW w:w="480" w:type="pct"/>
            <w:vAlign w:val="center"/>
            <w:hideMark/>
          </w:tcPr>
          <w:p w14:paraId="77E5DFBE" w14:textId="77777777" w:rsidR="00A77979" w:rsidRPr="00AA231F" w:rsidRDefault="00A77979" w:rsidP="00AA231F">
            <w:pPr>
              <w:spacing w:line="276" w:lineRule="auto"/>
              <w:rPr>
                <w:rFonts w:ascii="Arial" w:hAnsi="Arial" w:cs="Arial"/>
                <w:b/>
                <w:color w:val="000000" w:themeColor="text1"/>
                <w:sz w:val="21"/>
                <w:szCs w:val="21"/>
              </w:rPr>
            </w:pPr>
            <w:r w:rsidRPr="00AA231F">
              <w:rPr>
                <w:rFonts w:ascii="Arial" w:hAnsi="Arial" w:cs="Arial"/>
                <w:b/>
                <w:color w:val="000000" w:themeColor="text1"/>
                <w:sz w:val="21"/>
                <w:szCs w:val="21"/>
              </w:rPr>
              <w:t>Stalowa Wola</w:t>
            </w:r>
          </w:p>
        </w:tc>
        <w:tc>
          <w:tcPr>
            <w:tcW w:w="456" w:type="pct"/>
            <w:shd w:val="clear" w:color="auto" w:fill="DEEAF6" w:themeFill="accent1" w:themeFillTint="33"/>
            <w:vAlign w:val="center"/>
            <w:hideMark/>
          </w:tcPr>
          <w:p w14:paraId="48C5611A"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52,05</w:t>
            </w:r>
          </w:p>
        </w:tc>
        <w:tc>
          <w:tcPr>
            <w:tcW w:w="348" w:type="pct"/>
            <w:vAlign w:val="center"/>
            <w:hideMark/>
          </w:tcPr>
          <w:p w14:paraId="572AFDA2"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107488,49</w:t>
            </w:r>
          </w:p>
        </w:tc>
        <w:tc>
          <w:tcPr>
            <w:tcW w:w="348" w:type="pct"/>
            <w:vAlign w:val="center"/>
            <w:hideMark/>
          </w:tcPr>
          <w:p w14:paraId="27510BDE"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164744,07</w:t>
            </w:r>
          </w:p>
        </w:tc>
        <w:tc>
          <w:tcPr>
            <w:tcW w:w="348" w:type="pct"/>
            <w:vAlign w:val="center"/>
            <w:hideMark/>
          </w:tcPr>
          <w:p w14:paraId="6B40F938"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204390,89</w:t>
            </w:r>
          </w:p>
        </w:tc>
        <w:tc>
          <w:tcPr>
            <w:tcW w:w="382" w:type="pct"/>
            <w:vAlign w:val="center"/>
            <w:hideMark/>
          </w:tcPr>
          <w:p w14:paraId="36A5D4AD"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1722863,43</w:t>
            </w:r>
          </w:p>
        </w:tc>
        <w:tc>
          <w:tcPr>
            <w:tcW w:w="348" w:type="pct"/>
            <w:vAlign w:val="center"/>
            <w:hideMark/>
          </w:tcPr>
          <w:p w14:paraId="12DCCA17"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569914,65</w:t>
            </w:r>
          </w:p>
        </w:tc>
        <w:tc>
          <w:tcPr>
            <w:tcW w:w="382" w:type="pct"/>
            <w:vAlign w:val="center"/>
            <w:hideMark/>
          </w:tcPr>
          <w:p w14:paraId="3B4194A5"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626906,12</w:t>
            </w:r>
          </w:p>
        </w:tc>
        <w:tc>
          <w:tcPr>
            <w:tcW w:w="382" w:type="pct"/>
            <w:vAlign w:val="center"/>
            <w:hideMark/>
          </w:tcPr>
          <w:p w14:paraId="5DF051EF"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689596,73</w:t>
            </w:r>
          </w:p>
        </w:tc>
        <w:tc>
          <w:tcPr>
            <w:tcW w:w="382" w:type="pct"/>
            <w:vAlign w:val="center"/>
            <w:hideMark/>
          </w:tcPr>
          <w:p w14:paraId="67842F6A"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758556,40</w:t>
            </w:r>
          </w:p>
        </w:tc>
        <w:tc>
          <w:tcPr>
            <w:tcW w:w="382" w:type="pct"/>
            <w:vAlign w:val="center"/>
            <w:hideMark/>
          </w:tcPr>
          <w:p w14:paraId="551BDD6F"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834412,04</w:t>
            </w:r>
          </w:p>
        </w:tc>
        <w:tc>
          <w:tcPr>
            <w:tcW w:w="382" w:type="pct"/>
            <w:vAlign w:val="center"/>
            <w:hideMark/>
          </w:tcPr>
          <w:p w14:paraId="290AC2B1"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917853,24</w:t>
            </w:r>
          </w:p>
        </w:tc>
        <w:tc>
          <w:tcPr>
            <w:tcW w:w="382" w:type="pct"/>
            <w:vAlign w:val="center"/>
            <w:hideMark/>
          </w:tcPr>
          <w:p w14:paraId="1CDBD233"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1009638,57</w:t>
            </w:r>
          </w:p>
        </w:tc>
      </w:tr>
      <w:tr w:rsidR="00AD7215" w:rsidRPr="00AA231F" w14:paraId="490CE0CF" w14:textId="77777777" w:rsidTr="00AA231F">
        <w:trPr>
          <w:trHeight w:val="479"/>
        </w:trPr>
        <w:tc>
          <w:tcPr>
            <w:tcW w:w="480" w:type="pct"/>
            <w:vAlign w:val="center"/>
            <w:hideMark/>
          </w:tcPr>
          <w:p w14:paraId="1A338EBB" w14:textId="77777777" w:rsidR="00A77979" w:rsidRPr="00AA231F" w:rsidRDefault="00A77979" w:rsidP="00AA231F">
            <w:pPr>
              <w:spacing w:line="276" w:lineRule="auto"/>
              <w:rPr>
                <w:rFonts w:ascii="Arial" w:hAnsi="Arial" w:cs="Arial"/>
                <w:b/>
                <w:color w:val="000000" w:themeColor="text1"/>
                <w:sz w:val="21"/>
                <w:szCs w:val="21"/>
              </w:rPr>
            </w:pPr>
            <w:r w:rsidRPr="00AA231F">
              <w:rPr>
                <w:rFonts w:ascii="Arial" w:hAnsi="Arial" w:cs="Arial"/>
                <w:b/>
                <w:color w:val="000000" w:themeColor="text1"/>
                <w:sz w:val="21"/>
                <w:szCs w:val="21"/>
              </w:rPr>
              <w:t>Ustrzyki Dolne</w:t>
            </w:r>
          </w:p>
        </w:tc>
        <w:tc>
          <w:tcPr>
            <w:tcW w:w="456" w:type="pct"/>
            <w:shd w:val="clear" w:color="auto" w:fill="DEEAF6" w:themeFill="accent1" w:themeFillTint="33"/>
            <w:vAlign w:val="center"/>
            <w:hideMark/>
          </w:tcPr>
          <w:p w14:paraId="46F768CF"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0,23</w:t>
            </w:r>
          </w:p>
        </w:tc>
        <w:tc>
          <w:tcPr>
            <w:tcW w:w="348" w:type="pct"/>
            <w:vAlign w:val="center"/>
            <w:hideMark/>
          </w:tcPr>
          <w:p w14:paraId="1C7CB4FA"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72,90</w:t>
            </w:r>
          </w:p>
        </w:tc>
        <w:tc>
          <w:tcPr>
            <w:tcW w:w="348" w:type="pct"/>
            <w:vAlign w:val="center"/>
            <w:hideMark/>
          </w:tcPr>
          <w:p w14:paraId="7737A43F"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182,25</w:t>
            </w:r>
          </w:p>
        </w:tc>
        <w:tc>
          <w:tcPr>
            <w:tcW w:w="348" w:type="pct"/>
            <w:vAlign w:val="center"/>
            <w:hideMark/>
          </w:tcPr>
          <w:p w14:paraId="2CA50564"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182,25</w:t>
            </w:r>
          </w:p>
        </w:tc>
        <w:tc>
          <w:tcPr>
            <w:tcW w:w="382" w:type="pct"/>
            <w:vAlign w:val="center"/>
            <w:hideMark/>
          </w:tcPr>
          <w:p w14:paraId="51CC9496"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182,25</w:t>
            </w:r>
          </w:p>
        </w:tc>
        <w:tc>
          <w:tcPr>
            <w:tcW w:w="348" w:type="pct"/>
            <w:vAlign w:val="center"/>
            <w:hideMark/>
          </w:tcPr>
          <w:p w14:paraId="306D0E5E"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3408,07</w:t>
            </w:r>
          </w:p>
        </w:tc>
        <w:tc>
          <w:tcPr>
            <w:tcW w:w="382" w:type="pct"/>
            <w:vAlign w:val="center"/>
            <w:hideMark/>
          </w:tcPr>
          <w:p w14:paraId="62CCF7C0"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3748,88</w:t>
            </w:r>
          </w:p>
        </w:tc>
        <w:tc>
          <w:tcPr>
            <w:tcW w:w="382" w:type="pct"/>
            <w:vAlign w:val="center"/>
            <w:hideMark/>
          </w:tcPr>
          <w:p w14:paraId="6C496527"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4123,77</w:t>
            </w:r>
          </w:p>
        </w:tc>
        <w:tc>
          <w:tcPr>
            <w:tcW w:w="382" w:type="pct"/>
            <w:vAlign w:val="center"/>
            <w:hideMark/>
          </w:tcPr>
          <w:p w14:paraId="56BA724B"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4536,15</w:t>
            </w:r>
          </w:p>
        </w:tc>
        <w:tc>
          <w:tcPr>
            <w:tcW w:w="382" w:type="pct"/>
            <w:vAlign w:val="center"/>
            <w:hideMark/>
          </w:tcPr>
          <w:p w14:paraId="49BF7B17"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4989,76</w:t>
            </w:r>
          </w:p>
        </w:tc>
        <w:tc>
          <w:tcPr>
            <w:tcW w:w="382" w:type="pct"/>
            <w:vAlign w:val="center"/>
            <w:hideMark/>
          </w:tcPr>
          <w:p w14:paraId="51E20502"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5488,75</w:t>
            </w:r>
          </w:p>
        </w:tc>
        <w:tc>
          <w:tcPr>
            <w:tcW w:w="382" w:type="pct"/>
            <w:vAlign w:val="center"/>
            <w:hideMark/>
          </w:tcPr>
          <w:p w14:paraId="66E70DE4" w14:textId="77777777" w:rsidR="00A77979" w:rsidRPr="00AA231F" w:rsidRDefault="00A77979" w:rsidP="00AA231F">
            <w:pPr>
              <w:spacing w:line="276" w:lineRule="auto"/>
              <w:jc w:val="center"/>
              <w:rPr>
                <w:rFonts w:ascii="Arial" w:hAnsi="Arial" w:cs="Arial"/>
                <w:color w:val="000000" w:themeColor="text1"/>
                <w:sz w:val="21"/>
                <w:szCs w:val="21"/>
              </w:rPr>
            </w:pPr>
            <w:r w:rsidRPr="00AA231F">
              <w:rPr>
                <w:rFonts w:ascii="Arial" w:hAnsi="Arial" w:cs="Arial"/>
                <w:color w:val="000000" w:themeColor="text1"/>
                <w:sz w:val="21"/>
                <w:szCs w:val="21"/>
              </w:rPr>
              <w:t>6037,62</w:t>
            </w:r>
          </w:p>
        </w:tc>
      </w:tr>
      <w:tr w:rsidR="00AD7215" w:rsidRPr="00AA231F" w14:paraId="0AD7A428" w14:textId="77777777" w:rsidTr="00AA231F">
        <w:trPr>
          <w:trHeight w:val="479"/>
        </w:trPr>
        <w:tc>
          <w:tcPr>
            <w:tcW w:w="480" w:type="pct"/>
            <w:vAlign w:val="center"/>
            <w:hideMark/>
          </w:tcPr>
          <w:p w14:paraId="0E193E24" w14:textId="77777777" w:rsidR="00A77979" w:rsidRPr="00AA231F" w:rsidRDefault="00A77979" w:rsidP="00AA231F">
            <w:pPr>
              <w:spacing w:line="276" w:lineRule="auto"/>
              <w:rPr>
                <w:rFonts w:ascii="Arial" w:hAnsi="Arial" w:cs="Arial"/>
                <w:b/>
                <w:bCs/>
                <w:color w:val="000000" w:themeColor="text1"/>
                <w:sz w:val="21"/>
                <w:szCs w:val="21"/>
              </w:rPr>
            </w:pPr>
            <w:r w:rsidRPr="00AA231F">
              <w:rPr>
                <w:rFonts w:ascii="Arial" w:hAnsi="Arial" w:cs="Arial"/>
                <w:b/>
                <w:bCs/>
                <w:color w:val="000000" w:themeColor="text1"/>
                <w:sz w:val="21"/>
                <w:szCs w:val="21"/>
              </w:rPr>
              <w:t>SUMA</w:t>
            </w:r>
          </w:p>
        </w:tc>
        <w:tc>
          <w:tcPr>
            <w:tcW w:w="456" w:type="pct"/>
            <w:shd w:val="clear" w:color="auto" w:fill="DEEAF6" w:themeFill="accent1" w:themeFillTint="33"/>
            <w:vAlign w:val="center"/>
            <w:hideMark/>
          </w:tcPr>
          <w:p w14:paraId="7971B5DA"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110,00</w:t>
            </w:r>
          </w:p>
        </w:tc>
        <w:tc>
          <w:tcPr>
            <w:tcW w:w="348" w:type="pct"/>
            <w:vAlign w:val="center"/>
            <w:hideMark/>
          </w:tcPr>
          <w:p w14:paraId="1A5A770A"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216728,38</w:t>
            </w:r>
          </w:p>
        </w:tc>
        <w:tc>
          <w:tcPr>
            <w:tcW w:w="348" w:type="pct"/>
            <w:vAlign w:val="center"/>
            <w:hideMark/>
          </w:tcPr>
          <w:p w14:paraId="1B958471"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443072,20</w:t>
            </w:r>
          </w:p>
        </w:tc>
        <w:tc>
          <w:tcPr>
            <w:tcW w:w="348" w:type="pct"/>
            <w:vAlign w:val="center"/>
            <w:hideMark/>
          </w:tcPr>
          <w:p w14:paraId="5206934E"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485026,68</w:t>
            </w:r>
          </w:p>
        </w:tc>
        <w:tc>
          <w:tcPr>
            <w:tcW w:w="382" w:type="pct"/>
            <w:vAlign w:val="center"/>
            <w:hideMark/>
          </w:tcPr>
          <w:p w14:paraId="614DF046"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2041821,52</w:t>
            </w:r>
          </w:p>
        </w:tc>
        <w:tc>
          <w:tcPr>
            <w:tcW w:w="348" w:type="pct"/>
            <w:vAlign w:val="center"/>
            <w:hideMark/>
          </w:tcPr>
          <w:p w14:paraId="06079E93"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931506,14</w:t>
            </w:r>
          </w:p>
        </w:tc>
        <w:tc>
          <w:tcPr>
            <w:tcW w:w="382" w:type="pct"/>
            <w:vAlign w:val="center"/>
            <w:hideMark/>
          </w:tcPr>
          <w:p w14:paraId="6D5B2B84"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1024656,77</w:t>
            </w:r>
          </w:p>
        </w:tc>
        <w:tc>
          <w:tcPr>
            <w:tcW w:w="382" w:type="pct"/>
            <w:vAlign w:val="center"/>
            <w:hideMark/>
          </w:tcPr>
          <w:p w14:paraId="5DA1570B"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1127122,46</w:t>
            </w:r>
          </w:p>
        </w:tc>
        <w:tc>
          <w:tcPr>
            <w:tcW w:w="382" w:type="pct"/>
            <w:vAlign w:val="center"/>
            <w:hideMark/>
          </w:tcPr>
          <w:p w14:paraId="11953703"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1239834,72</w:t>
            </w:r>
          </w:p>
        </w:tc>
        <w:tc>
          <w:tcPr>
            <w:tcW w:w="382" w:type="pct"/>
            <w:vAlign w:val="center"/>
            <w:hideMark/>
          </w:tcPr>
          <w:p w14:paraId="246C24CA"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2011573,79</w:t>
            </w:r>
          </w:p>
        </w:tc>
        <w:tc>
          <w:tcPr>
            <w:tcW w:w="382" w:type="pct"/>
            <w:vAlign w:val="center"/>
            <w:hideMark/>
          </w:tcPr>
          <w:p w14:paraId="63CC23C9"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2212735,82</w:t>
            </w:r>
          </w:p>
        </w:tc>
        <w:tc>
          <w:tcPr>
            <w:tcW w:w="382" w:type="pct"/>
            <w:vAlign w:val="center"/>
            <w:hideMark/>
          </w:tcPr>
          <w:p w14:paraId="2985BE06" w14:textId="77777777" w:rsidR="00A77979" w:rsidRPr="00AA231F" w:rsidRDefault="00A77979" w:rsidP="00AA231F">
            <w:pPr>
              <w:spacing w:line="276" w:lineRule="auto"/>
              <w:jc w:val="center"/>
              <w:rPr>
                <w:rFonts w:ascii="Arial" w:hAnsi="Arial" w:cs="Arial"/>
                <w:b/>
                <w:bCs/>
                <w:color w:val="000000" w:themeColor="text1"/>
                <w:sz w:val="21"/>
                <w:szCs w:val="21"/>
              </w:rPr>
            </w:pPr>
            <w:r w:rsidRPr="00AA231F">
              <w:rPr>
                <w:rFonts w:ascii="Arial" w:hAnsi="Arial" w:cs="Arial"/>
                <w:b/>
                <w:bCs/>
                <w:color w:val="000000" w:themeColor="text1"/>
                <w:sz w:val="21"/>
                <w:szCs w:val="21"/>
              </w:rPr>
              <w:t>2434009,41</w:t>
            </w:r>
          </w:p>
        </w:tc>
      </w:tr>
    </w:tbl>
    <w:p w14:paraId="4BA302D5" w14:textId="77777777" w:rsidR="004E5299" w:rsidRPr="009B78DA" w:rsidRDefault="009358CF" w:rsidP="00AA231F">
      <w:p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Opracowanie na podstawie danych PZDW</w:t>
      </w:r>
    </w:p>
    <w:p w14:paraId="535BB667" w14:textId="77777777" w:rsidR="004E5299" w:rsidRPr="009B78DA" w:rsidRDefault="004E5299" w:rsidP="00AA231F">
      <w:pPr>
        <w:spacing w:before="120" w:after="120" w:line="276" w:lineRule="auto"/>
        <w:rPr>
          <w:rFonts w:ascii="Arial" w:hAnsi="Arial" w:cs="Arial"/>
          <w:color w:val="000000" w:themeColor="text1"/>
          <w:sz w:val="22"/>
          <w:szCs w:val="22"/>
        </w:rPr>
      </w:pPr>
      <w:r w:rsidRPr="00AA231F">
        <w:rPr>
          <w:rFonts w:ascii="Arial" w:hAnsi="Arial" w:cs="Arial"/>
          <w:b/>
          <w:color w:val="000000" w:themeColor="text1"/>
          <w:sz w:val="22"/>
          <w:szCs w:val="22"/>
        </w:rPr>
        <w:t>*</w:t>
      </w:r>
      <w:r w:rsidRPr="009B78DA">
        <w:rPr>
          <w:rFonts w:ascii="Arial" w:hAnsi="Arial" w:cs="Arial"/>
          <w:color w:val="000000" w:themeColor="text1"/>
          <w:sz w:val="22"/>
          <w:szCs w:val="22"/>
        </w:rPr>
        <w:t xml:space="preserve"> </w:t>
      </w:r>
      <w:r w:rsidR="009358CF" w:rsidRPr="009B78DA">
        <w:rPr>
          <w:rFonts w:ascii="Arial" w:hAnsi="Arial" w:cs="Arial"/>
          <w:color w:val="000000" w:themeColor="text1"/>
          <w:sz w:val="22"/>
          <w:szCs w:val="22"/>
        </w:rPr>
        <w:t>Przedmiotowe wydatki uwzględniają przybliżone koszty łączne utrzymania letniego i zimowego infrastruktury rowerowej znajdujących się na obszarze Rejonów Dróg Wojewódzkich w perspektywie na lata 2020-2030, przy założeniu wzrostu rocznego cen o 10% w stosunku do roku ubiegłego.</w:t>
      </w:r>
    </w:p>
    <w:p w14:paraId="2BA2199D" w14:textId="47FACD46" w:rsidR="004E5299" w:rsidRPr="009B78DA" w:rsidRDefault="004E5299" w:rsidP="00AA231F">
      <w:pPr>
        <w:spacing w:before="120" w:after="120" w:line="276" w:lineRule="auto"/>
        <w:rPr>
          <w:rFonts w:ascii="Arial" w:hAnsi="Arial" w:cs="Arial"/>
          <w:color w:val="000000" w:themeColor="text1"/>
          <w:sz w:val="22"/>
          <w:szCs w:val="22"/>
        </w:rPr>
      </w:pPr>
      <w:r w:rsidRPr="00AA231F">
        <w:rPr>
          <w:rFonts w:ascii="Arial" w:hAnsi="Arial" w:cs="Arial"/>
          <w:b/>
          <w:color w:val="000000" w:themeColor="text1"/>
          <w:sz w:val="22"/>
          <w:szCs w:val="22"/>
        </w:rPr>
        <w:t>**</w:t>
      </w:r>
      <w:r w:rsidR="00AA231F">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Wobec braku danych dotyczących </w:t>
      </w:r>
      <w:r w:rsidR="007F59C9" w:rsidRPr="009B78DA">
        <w:rPr>
          <w:rFonts w:ascii="Arial" w:hAnsi="Arial" w:cs="Arial"/>
          <w:color w:val="000000" w:themeColor="text1"/>
          <w:sz w:val="22"/>
          <w:szCs w:val="22"/>
        </w:rPr>
        <w:t xml:space="preserve">kosztów </w:t>
      </w:r>
      <w:r w:rsidRPr="009B78DA">
        <w:rPr>
          <w:rFonts w:ascii="Arial" w:hAnsi="Arial" w:cs="Arial"/>
          <w:color w:val="000000" w:themeColor="text1"/>
          <w:sz w:val="22"/>
          <w:szCs w:val="22"/>
        </w:rPr>
        <w:t>utrzymania letniego</w:t>
      </w:r>
      <w:r w:rsidR="007F59C9"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 ramach wskazanej wielkości ujęto wyłącznie koszty utrzymania zimowego.</w:t>
      </w:r>
    </w:p>
    <w:p w14:paraId="0D41AD8C" w14:textId="4B1F95E5" w:rsidR="00844CEF" w:rsidRPr="009B78DA" w:rsidRDefault="004E5299" w:rsidP="00AA231F">
      <w:pPr>
        <w:spacing w:before="120" w:after="120" w:line="276" w:lineRule="auto"/>
        <w:rPr>
          <w:rFonts w:ascii="Arial" w:hAnsi="Arial" w:cs="Arial"/>
          <w:color w:val="000000" w:themeColor="text1"/>
          <w:sz w:val="22"/>
          <w:szCs w:val="22"/>
        </w:rPr>
        <w:sectPr w:rsidR="00844CEF" w:rsidRPr="009B78DA" w:rsidSect="00AA231F">
          <w:pgSz w:w="16838" w:h="11906" w:orient="landscape"/>
          <w:pgMar w:top="720" w:right="720" w:bottom="720" w:left="720" w:header="708" w:footer="708" w:gutter="0"/>
          <w:cols w:space="708"/>
          <w:docGrid w:linePitch="360"/>
        </w:sectPr>
      </w:pPr>
      <w:r w:rsidRPr="009B78DA">
        <w:rPr>
          <w:rFonts w:ascii="Arial" w:hAnsi="Arial" w:cs="Arial"/>
          <w:color w:val="000000" w:themeColor="text1"/>
          <w:sz w:val="22"/>
          <w:szCs w:val="22"/>
        </w:rPr>
        <w:t xml:space="preserve">Uwaga! </w:t>
      </w:r>
      <w:r w:rsidR="009358CF" w:rsidRPr="009B78DA">
        <w:rPr>
          <w:rFonts w:ascii="Arial" w:hAnsi="Arial" w:cs="Arial"/>
          <w:color w:val="000000" w:themeColor="text1"/>
          <w:sz w:val="22"/>
          <w:szCs w:val="22"/>
        </w:rPr>
        <w:t>PZDW zarówno przy utrzymaniu letnim jak i zimowym, nie posiada wydzielonych zadań dotyczących wyłącznie utrzymania dróg rowerowych i ciągów pieszo – rowerowych, gdyż są one połączone z kosztami utrzymania chodników, w związku z czym określone zostały odpowiednio dla przedmiaru zadan</w:t>
      </w:r>
      <w:r w:rsidR="00AD7215" w:rsidRPr="009B78DA">
        <w:rPr>
          <w:rFonts w:ascii="Arial" w:hAnsi="Arial" w:cs="Arial"/>
          <w:color w:val="000000" w:themeColor="text1"/>
          <w:sz w:val="22"/>
          <w:szCs w:val="22"/>
        </w:rPr>
        <w:t>ia.</w:t>
      </w:r>
    </w:p>
    <w:p w14:paraId="3AE17E1A" w14:textId="517676E2" w:rsidR="00826C55" w:rsidRPr="009B78DA" w:rsidRDefault="00826C55" w:rsidP="00826C55">
      <w:pPr>
        <w:pStyle w:val="Legenda"/>
        <w:keepNext/>
        <w:rPr>
          <w:rFonts w:ascii="Arial" w:hAnsi="Arial" w:cs="Arial"/>
          <w:i w:val="0"/>
          <w:color w:val="000000" w:themeColor="text1"/>
          <w:sz w:val="22"/>
          <w:szCs w:val="22"/>
        </w:rPr>
      </w:pPr>
      <w:bookmarkStart w:id="415" w:name="_Toc146785766"/>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Prognozowana dynamika wzrostu nakładów na utrzymanie i eksploatację infrastruktury kolejowej (linii kolejowych) w perspektywie do 2030 r.</w:t>
      </w:r>
      <w:bookmarkEnd w:id="415"/>
    </w:p>
    <w:tbl>
      <w:tblPr>
        <w:tblStyle w:val="Tabela-Siatka"/>
        <w:tblW w:w="5000" w:type="pct"/>
        <w:jc w:val="center"/>
        <w:tblLook w:val="04A0" w:firstRow="1" w:lastRow="0" w:firstColumn="1" w:lastColumn="0" w:noHBand="0" w:noVBand="1"/>
        <w:tblCaption w:val="Tabela 36 Prognozowana dynamika wzrostu nakładów na utrzymanie i eksploatację infrastruktury kolejowej (linii kolejowych) w perspektywie do 2030 r."/>
        <w:tblDescription w:val="Tabela zawiera Rok, Koszty dotyczące utrzymania i eksploatacji linii kolejowych w odniesieniu do (w PLN)"/>
      </w:tblPr>
      <w:tblGrid>
        <w:gridCol w:w="2140"/>
        <w:gridCol w:w="6922"/>
      </w:tblGrid>
      <w:tr w:rsidR="006F4FD2" w:rsidRPr="009B78DA" w14:paraId="4C0474B9" w14:textId="77777777" w:rsidTr="00CB1DDA">
        <w:trPr>
          <w:trHeight w:val="983"/>
          <w:tblHeader/>
          <w:jc w:val="center"/>
        </w:trPr>
        <w:tc>
          <w:tcPr>
            <w:tcW w:w="1181" w:type="pct"/>
            <w:shd w:val="clear" w:color="auto" w:fill="DEEAF6" w:themeFill="accent1" w:themeFillTint="33"/>
            <w:vAlign w:val="center"/>
          </w:tcPr>
          <w:p w14:paraId="02B26793" w14:textId="77777777" w:rsidR="0003087E" w:rsidRPr="009B78DA" w:rsidRDefault="0003087E" w:rsidP="008D236D">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Rok</w:t>
            </w:r>
          </w:p>
        </w:tc>
        <w:tc>
          <w:tcPr>
            <w:tcW w:w="3819" w:type="pct"/>
            <w:shd w:val="clear" w:color="auto" w:fill="DEEAF6" w:themeFill="accent1" w:themeFillTint="33"/>
            <w:vAlign w:val="center"/>
          </w:tcPr>
          <w:p w14:paraId="6450BEB3" w14:textId="77777777" w:rsidR="00844CEF" w:rsidRPr="009B78DA" w:rsidRDefault="0003087E" w:rsidP="008D236D">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 xml:space="preserve">Koszty dotyczące utrzymania </w:t>
            </w:r>
          </w:p>
          <w:p w14:paraId="7DDBFF8A" w14:textId="77777777" w:rsidR="00844CEF" w:rsidRPr="009B78DA" w:rsidRDefault="0003087E" w:rsidP="008D236D">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i eksploatacji linii kolejowych</w:t>
            </w:r>
          </w:p>
          <w:p w14:paraId="113C292E" w14:textId="08B0B352" w:rsidR="0003087E" w:rsidRPr="009B78DA" w:rsidRDefault="0003087E" w:rsidP="008D236D">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 xml:space="preserve"> (w PLN)</w:t>
            </w:r>
          </w:p>
        </w:tc>
      </w:tr>
      <w:tr w:rsidR="006F4FD2" w:rsidRPr="009B78DA" w14:paraId="0C62C310" w14:textId="77777777" w:rsidTr="00CB1DDA">
        <w:trPr>
          <w:trHeight w:val="477"/>
          <w:jc w:val="center"/>
        </w:trPr>
        <w:tc>
          <w:tcPr>
            <w:tcW w:w="1181" w:type="pct"/>
            <w:vAlign w:val="center"/>
          </w:tcPr>
          <w:p w14:paraId="61FEB1B9"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2021</w:t>
            </w:r>
          </w:p>
        </w:tc>
        <w:tc>
          <w:tcPr>
            <w:tcW w:w="3819" w:type="pct"/>
            <w:vAlign w:val="center"/>
          </w:tcPr>
          <w:p w14:paraId="02F50238"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392 000 000</w:t>
            </w:r>
          </w:p>
        </w:tc>
      </w:tr>
      <w:tr w:rsidR="006F4FD2" w:rsidRPr="009B78DA" w14:paraId="09D5C90C" w14:textId="77777777" w:rsidTr="00CB1DDA">
        <w:trPr>
          <w:trHeight w:val="505"/>
          <w:jc w:val="center"/>
        </w:trPr>
        <w:tc>
          <w:tcPr>
            <w:tcW w:w="1181" w:type="pct"/>
            <w:vAlign w:val="center"/>
          </w:tcPr>
          <w:p w14:paraId="43E1F071"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2022</w:t>
            </w:r>
          </w:p>
        </w:tc>
        <w:tc>
          <w:tcPr>
            <w:tcW w:w="3819" w:type="pct"/>
            <w:vAlign w:val="center"/>
          </w:tcPr>
          <w:p w14:paraId="4DD1EF4A"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410 000 000</w:t>
            </w:r>
          </w:p>
        </w:tc>
      </w:tr>
      <w:tr w:rsidR="006F4FD2" w:rsidRPr="009B78DA" w14:paraId="6FE7D49B" w14:textId="77777777" w:rsidTr="00CB1DDA">
        <w:trPr>
          <w:trHeight w:val="477"/>
          <w:jc w:val="center"/>
        </w:trPr>
        <w:tc>
          <w:tcPr>
            <w:tcW w:w="1181" w:type="pct"/>
            <w:vAlign w:val="center"/>
          </w:tcPr>
          <w:p w14:paraId="698E78B2"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2023</w:t>
            </w:r>
          </w:p>
        </w:tc>
        <w:tc>
          <w:tcPr>
            <w:tcW w:w="3819" w:type="pct"/>
            <w:vAlign w:val="center"/>
          </w:tcPr>
          <w:p w14:paraId="19B92C5E"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430 000 000</w:t>
            </w:r>
          </w:p>
        </w:tc>
      </w:tr>
      <w:tr w:rsidR="006F4FD2" w:rsidRPr="009B78DA" w14:paraId="0E9D8006" w14:textId="77777777" w:rsidTr="00CB1DDA">
        <w:trPr>
          <w:trHeight w:val="477"/>
          <w:jc w:val="center"/>
        </w:trPr>
        <w:tc>
          <w:tcPr>
            <w:tcW w:w="1181" w:type="pct"/>
            <w:vAlign w:val="center"/>
          </w:tcPr>
          <w:p w14:paraId="2BD442EF"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2024</w:t>
            </w:r>
          </w:p>
        </w:tc>
        <w:tc>
          <w:tcPr>
            <w:tcW w:w="3819" w:type="pct"/>
            <w:vAlign w:val="center"/>
          </w:tcPr>
          <w:p w14:paraId="091891C9"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455 000 000</w:t>
            </w:r>
          </w:p>
        </w:tc>
      </w:tr>
      <w:tr w:rsidR="006F4FD2" w:rsidRPr="009B78DA" w14:paraId="4B9F2280" w14:textId="77777777" w:rsidTr="00CB1DDA">
        <w:trPr>
          <w:trHeight w:val="477"/>
          <w:jc w:val="center"/>
        </w:trPr>
        <w:tc>
          <w:tcPr>
            <w:tcW w:w="1181" w:type="pct"/>
            <w:vAlign w:val="center"/>
          </w:tcPr>
          <w:p w14:paraId="4B451BE7"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2025</w:t>
            </w:r>
          </w:p>
        </w:tc>
        <w:tc>
          <w:tcPr>
            <w:tcW w:w="3819" w:type="pct"/>
            <w:vAlign w:val="center"/>
          </w:tcPr>
          <w:p w14:paraId="354C4FD3"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480 000 000</w:t>
            </w:r>
          </w:p>
        </w:tc>
      </w:tr>
      <w:tr w:rsidR="006F4FD2" w:rsidRPr="009B78DA" w14:paraId="5F57ECBA" w14:textId="77777777" w:rsidTr="00CB1DDA">
        <w:trPr>
          <w:trHeight w:val="505"/>
          <w:jc w:val="center"/>
        </w:trPr>
        <w:tc>
          <w:tcPr>
            <w:tcW w:w="1181" w:type="pct"/>
            <w:vAlign w:val="center"/>
          </w:tcPr>
          <w:p w14:paraId="32FB61F7"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2026</w:t>
            </w:r>
          </w:p>
        </w:tc>
        <w:tc>
          <w:tcPr>
            <w:tcW w:w="3819" w:type="pct"/>
            <w:vAlign w:val="center"/>
          </w:tcPr>
          <w:p w14:paraId="70EA15EC"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505 000 000</w:t>
            </w:r>
          </w:p>
        </w:tc>
      </w:tr>
      <w:tr w:rsidR="006F4FD2" w:rsidRPr="009B78DA" w14:paraId="30709504" w14:textId="77777777" w:rsidTr="00CB1DDA">
        <w:trPr>
          <w:trHeight w:val="477"/>
          <w:jc w:val="center"/>
        </w:trPr>
        <w:tc>
          <w:tcPr>
            <w:tcW w:w="1181" w:type="pct"/>
            <w:vAlign w:val="center"/>
          </w:tcPr>
          <w:p w14:paraId="4B218E49"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2027</w:t>
            </w:r>
          </w:p>
        </w:tc>
        <w:tc>
          <w:tcPr>
            <w:tcW w:w="3819" w:type="pct"/>
            <w:vAlign w:val="center"/>
          </w:tcPr>
          <w:p w14:paraId="615C63E1"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530 000 000</w:t>
            </w:r>
          </w:p>
        </w:tc>
      </w:tr>
      <w:tr w:rsidR="006F4FD2" w:rsidRPr="009B78DA" w14:paraId="588B8826" w14:textId="77777777" w:rsidTr="00CB1DDA">
        <w:trPr>
          <w:trHeight w:val="477"/>
          <w:jc w:val="center"/>
        </w:trPr>
        <w:tc>
          <w:tcPr>
            <w:tcW w:w="1181" w:type="pct"/>
            <w:vAlign w:val="center"/>
          </w:tcPr>
          <w:p w14:paraId="6A1191F8"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2028</w:t>
            </w:r>
          </w:p>
        </w:tc>
        <w:tc>
          <w:tcPr>
            <w:tcW w:w="3819" w:type="pct"/>
            <w:vAlign w:val="center"/>
          </w:tcPr>
          <w:p w14:paraId="3F19B6ED"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550 000 000</w:t>
            </w:r>
          </w:p>
        </w:tc>
      </w:tr>
      <w:tr w:rsidR="006F4FD2" w:rsidRPr="009B78DA" w14:paraId="0A213858" w14:textId="77777777" w:rsidTr="00CB1DDA">
        <w:trPr>
          <w:trHeight w:val="505"/>
          <w:jc w:val="center"/>
        </w:trPr>
        <w:tc>
          <w:tcPr>
            <w:tcW w:w="1181" w:type="pct"/>
            <w:vAlign w:val="center"/>
          </w:tcPr>
          <w:p w14:paraId="7BF302C7"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2029</w:t>
            </w:r>
          </w:p>
        </w:tc>
        <w:tc>
          <w:tcPr>
            <w:tcW w:w="3819" w:type="pct"/>
            <w:vAlign w:val="center"/>
          </w:tcPr>
          <w:p w14:paraId="34BE787E"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575 000 000</w:t>
            </w:r>
          </w:p>
        </w:tc>
      </w:tr>
      <w:tr w:rsidR="006F4FD2" w:rsidRPr="009B78DA" w14:paraId="280B7BDD" w14:textId="77777777" w:rsidTr="00CB1DDA">
        <w:trPr>
          <w:trHeight w:val="477"/>
          <w:jc w:val="center"/>
        </w:trPr>
        <w:tc>
          <w:tcPr>
            <w:tcW w:w="1181" w:type="pct"/>
            <w:vAlign w:val="center"/>
          </w:tcPr>
          <w:p w14:paraId="377B2EC8"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2030</w:t>
            </w:r>
          </w:p>
        </w:tc>
        <w:tc>
          <w:tcPr>
            <w:tcW w:w="3819" w:type="pct"/>
            <w:vAlign w:val="center"/>
          </w:tcPr>
          <w:p w14:paraId="0BBE8BF2" w14:textId="77777777" w:rsidR="0003087E" w:rsidRPr="009B78DA" w:rsidRDefault="0003087E" w:rsidP="008D236D">
            <w:pPr>
              <w:spacing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590 000 000</w:t>
            </w:r>
          </w:p>
        </w:tc>
      </w:tr>
      <w:tr w:rsidR="006F4FD2" w:rsidRPr="009B78DA" w14:paraId="48138A5B" w14:textId="77777777" w:rsidTr="00CB1DDA">
        <w:trPr>
          <w:trHeight w:val="477"/>
          <w:jc w:val="center"/>
        </w:trPr>
        <w:tc>
          <w:tcPr>
            <w:tcW w:w="1181" w:type="pct"/>
            <w:vAlign w:val="center"/>
          </w:tcPr>
          <w:p w14:paraId="5B9B828F" w14:textId="77777777" w:rsidR="0003087E" w:rsidRPr="009B78DA" w:rsidRDefault="0003087E" w:rsidP="008D236D">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SUMA</w:t>
            </w:r>
          </w:p>
        </w:tc>
        <w:tc>
          <w:tcPr>
            <w:tcW w:w="3819" w:type="pct"/>
            <w:vAlign w:val="center"/>
          </w:tcPr>
          <w:p w14:paraId="77EC8768" w14:textId="77777777" w:rsidR="0003087E" w:rsidRPr="009B78DA" w:rsidRDefault="0003087E" w:rsidP="008D236D">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4 917 000 000</w:t>
            </w:r>
          </w:p>
        </w:tc>
      </w:tr>
    </w:tbl>
    <w:p w14:paraId="30AF9C5A" w14:textId="1B122A4E" w:rsidR="006B0727" w:rsidRPr="009B78DA" w:rsidRDefault="0003087E" w:rsidP="00A54BDC">
      <w:pPr>
        <w:spacing w:before="120" w:after="0" w:line="276" w:lineRule="auto"/>
        <w:rPr>
          <w:rFonts w:ascii="Arial" w:hAnsi="Arial" w:cs="Arial"/>
          <w:color w:val="000000" w:themeColor="text1"/>
          <w:sz w:val="22"/>
          <w:szCs w:val="22"/>
        </w:rPr>
      </w:pPr>
      <w:r w:rsidRPr="009B78DA">
        <w:rPr>
          <w:rFonts w:ascii="Arial" w:hAnsi="Arial" w:cs="Arial"/>
          <w:b/>
          <w:color w:val="000000" w:themeColor="text1"/>
          <w:sz w:val="22"/>
          <w:szCs w:val="22"/>
        </w:rPr>
        <w:t>Uwaga:</w:t>
      </w:r>
      <w:r w:rsidRPr="009B78DA">
        <w:rPr>
          <w:rFonts w:ascii="Arial" w:hAnsi="Arial" w:cs="Arial"/>
          <w:color w:val="000000" w:themeColor="text1"/>
          <w:sz w:val="22"/>
          <w:szCs w:val="22"/>
        </w:rPr>
        <w:t xml:space="preserve"> Dane dotyczące „utrzymania i eksploatacji” infrastruktury kolejowej zostały </w:t>
      </w:r>
      <w:r w:rsidR="00491B10" w:rsidRPr="009B78DA">
        <w:rPr>
          <w:rFonts w:ascii="Arial" w:hAnsi="Arial" w:cs="Arial"/>
          <w:color w:val="000000" w:themeColor="text1"/>
          <w:sz w:val="22"/>
          <w:szCs w:val="22"/>
        </w:rPr>
        <w:t>z</w:t>
      </w:r>
      <w:r w:rsidRPr="009B78DA">
        <w:rPr>
          <w:rFonts w:ascii="Arial" w:hAnsi="Arial" w:cs="Arial"/>
          <w:color w:val="000000" w:themeColor="text1"/>
          <w:sz w:val="22"/>
          <w:szCs w:val="22"/>
        </w:rPr>
        <w:t>aproksymowane przez PBPP w Rzeszowie na podstawie liniowej regresji wyznaczonej przez wartości kosztów utrzymania i eksploatacji z lat 2014 – 2019, udostępnionych przez PKP PLK</w:t>
      </w:r>
      <w:r w:rsidR="0060230F" w:rsidRPr="009B78DA">
        <w:rPr>
          <w:rFonts w:ascii="Arial" w:hAnsi="Arial" w:cs="Arial"/>
          <w:color w:val="000000" w:themeColor="text1"/>
          <w:sz w:val="22"/>
          <w:szCs w:val="22"/>
        </w:rPr>
        <w:t xml:space="preserve"> S.A.</w:t>
      </w:r>
      <w:r w:rsidR="00844CEF"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i zaprezentowanych w „Diagnozie stanu systemu transportowego </w:t>
      </w:r>
      <w:r w:rsidR="00A54BDC">
        <w:rPr>
          <w:rFonts w:ascii="Arial" w:hAnsi="Arial" w:cs="Arial"/>
          <w:color w:val="000000" w:themeColor="text1"/>
          <w:sz w:val="22"/>
          <w:szCs w:val="22"/>
        </w:rPr>
        <w:br/>
      </w:r>
      <w:r w:rsidRPr="009B78DA">
        <w:rPr>
          <w:rFonts w:ascii="Arial" w:hAnsi="Arial" w:cs="Arial"/>
          <w:color w:val="000000" w:themeColor="text1"/>
          <w:sz w:val="22"/>
          <w:szCs w:val="22"/>
        </w:rPr>
        <w:t>w województwie podkarpackim”.</w:t>
      </w:r>
    </w:p>
    <w:p w14:paraId="5C0DF39F" w14:textId="470A2C33" w:rsidR="0003087E" w:rsidRPr="009B78DA" w:rsidRDefault="0003087E" w:rsidP="00A54BDC">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Przewidywane</w:t>
      </w:r>
      <w:r w:rsidR="0099070A"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nakłady na utrzymanie i eksploatację linii kolejowych położonych </w:t>
      </w:r>
      <w:r w:rsidR="00A54BDC">
        <w:rPr>
          <w:rFonts w:ascii="Arial" w:hAnsi="Arial" w:cs="Arial"/>
          <w:color w:val="000000" w:themeColor="text1"/>
          <w:sz w:val="22"/>
          <w:szCs w:val="22"/>
        </w:rPr>
        <w:br/>
      </w:r>
      <w:r w:rsidRPr="009B78DA">
        <w:rPr>
          <w:rFonts w:ascii="Arial" w:hAnsi="Arial" w:cs="Arial"/>
          <w:color w:val="000000" w:themeColor="text1"/>
          <w:sz w:val="22"/>
          <w:szCs w:val="22"/>
        </w:rPr>
        <w:t>w województwie podkarpackim, to w latach 2021 – 2030 niemal 5 mld PLN. Udzielenie informacji dotyczących potencjalnych kosztów budowy i</w:t>
      </w:r>
      <w:r w:rsidR="0099070A"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modernizacji linii kolejowych </w:t>
      </w:r>
      <w:r w:rsidR="00A54BDC">
        <w:rPr>
          <w:rFonts w:ascii="Arial" w:hAnsi="Arial" w:cs="Arial"/>
          <w:color w:val="000000" w:themeColor="text1"/>
          <w:sz w:val="22"/>
          <w:szCs w:val="22"/>
        </w:rPr>
        <w:br/>
      </w:r>
      <w:r w:rsidRPr="009B78DA">
        <w:rPr>
          <w:rFonts w:ascii="Arial" w:hAnsi="Arial" w:cs="Arial"/>
          <w:color w:val="000000" w:themeColor="text1"/>
          <w:sz w:val="22"/>
          <w:szCs w:val="22"/>
        </w:rPr>
        <w:t>w analogicznej perspektywie czasowej, leży w gestii inwestorów (m.in. PKP PLK S.A.).</w:t>
      </w:r>
    </w:p>
    <w:p w14:paraId="1E480D2E" w14:textId="6C4E835B" w:rsidR="0003087E" w:rsidRPr="009B78DA" w:rsidRDefault="0003087E" w:rsidP="00A54BDC">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Ponadto, choć wśród grup inwestycji infrastrukturalnych, których realizacja</w:t>
      </w:r>
      <w:r w:rsidR="00844CEF"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przyczyniłaby się w sposób kapitalny do zwiększenia dostępności transportowej województwa podkarpackiego, są te związane z budową nowych linii kolejowych łączących region z Centralnym Portem Komunikacyjnym, należy zaznaczyć, że wskutek przyjęcia założeń o ich realizacji po roku 2030, wskazywanie tutaj źródeł ich finansowania staje się niecelowe.</w:t>
      </w:r>
    </w:p>
    <w:p w14:paraId="431CD8D3" w14:textId="01E1318A" w:rsidR="0003087E" w:rsidRPr="009B78DA" w:rsidRDefault="0003087E" w:rsidP="00A54BDC">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Obiektywne przeszkody napotkane w procesie zestawiania źródeł finansowania ze skalą potrzeb wynikających z realizacji celów</w:t>
      </w:r>
      <w:r w:rsidR="00D050B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i kierunków Programu, stanowiły poważne utrudnienie dla stworzenia tej części Programu. Stąd zaistniała konieczność posłużenia się wyłącznie zasobem informacji wykorzystanym powyżej. Trudności polegały przede wszystkim na braku możliwości pozyskania informacji, co do kompletnych kwot pozwalających na przewidyw</w:t>
      </w:r>
      <w:r w:rsidR="006014D4" w:rsidRPr="009B78DA">
        <w:rPr>
          <w:rFonts w:ascii="Arial" w:hAnsi="Arial" w:cs="Arial"/>
          <w:color w:val="000000" w:themeColor="text1"/>
          <w:sz w:val="22"/>
          <w:szCs w:val="22"/>
        </w:rPr>
        <w:t xml:space="preserve">anie ilości środków dostępnych </w:t>
      </w:r>
      <w:r w:rsidRPr="009B78DA">
        <w:rPr>
          <w:rFonts w:ascii="Arial" w:hAnsi="Arial" w:cs="Arial"/>
          <w:color w:val="000000" w:themeColor="text1"/>
          <w:sz w:val="22"/>
          <w:szCs w:val="22"/>
        </w:rPr>
        <w:t>z danych źródeł na realizację planowanych w PSRT</w:t>
      </w:r>
      <w:r w:rsidR="00491B10" w:rsidRPr="009B78DA">
        <w:rPr>
          <w:rFonts w:ascii="Arial" w:hAnsi="Arial" w:cs="Arial"/>
          <w:color w:val="000000" w:themeColor="text1"/>
          <w:sz w:val="22"/>
          <w:szCs w:val="22"/>
        </w:rPr>
        <w:t xml:space="preserve"> WP</w:t>
      </w:r>
      <w:r w:rsidRPr="009B78DA">
        <w:rPr>
          <w:rFonts w:ascii="Arial" w:hAnsi="Arial" w:cs="Arial"/>
          <w:color w:val="000000" w:themeColor="text1"/>
          <w:sz w:val="22"/>
          <w:szCs w:val="22"/>
        </w:rPr>
        <w:t xml:space="preserve"> zada</w:t>
      </w:r>
      <w:r w:rsidR="00844CEF" w:rsidRPr="009B78DA">
        <w:rPr>
          <w:rFonts w:ascii="Arial" w:hAnsi="Arial" w:cs="Arial"/>
          <w:color w:val="000000" w:themeColor="text1"/>
          <w:sz w:val="22"/>
          <w:szCs w:val="22"/>
        </w:rPr>
        <w:t>ń</w:t>
      </w:r>
      <w:r w:rsidRPr="009B78DA">
        <w:rPr>
          <w:rFonts w:ascii="Arial" w:hAnsi="Arial" w:cs="Arial"/>
          <w:color w:val="000000" w:themeColor="text1"/>
          <w:sz w:val="22"/>
          <w:szCs w:val="22"/>
        </w:rPr>
        <w:t xml:space="preserve"> z dziedziny transportu.</w:t>
      </w:r>
    </w:p>
    <w:p w14:paraId="4D2E5F33" w14:textId="489F489D" w:rsidR="00960A1A" w:rsidRPr="009B78DA" w:rsidRDefault="00960A1A" w:rsidP="00F45E35">
      <w:pPr>
        <w:spacing w:before="120" w:after="0" w:line="276" w:lineRule="auto"/>
        <w:ind w:firstLine="709"/>
        <w:jc w:val="both"/>
        <w:rPr>
          <w:rFonts w:ascii="Arial" w:hAnsi="Arial" w:cs="Arial"/>
          <w:color w:val="000000" w:themeColor="text1"/>
          <w:sz w:val="22"/>
          <w:szCs w:val="22"/>
        </w:rPr>
        <w:sectPr w:rsidR="00960A1A" w:rsidRPr="009B78DA" w:rsidSect="00844CEF">
          <w:pgSz w:w="11906" w:h="16838"/>
          <w:pgMar w:top="1417" w:right="1417" w:bottom="1417" w:left="1417" w:header="708" w:footer="708" w:gutter="0"/>
          <w:cols w:space="708"/>
          <w:docGrid w:linePitch="360"/>
        </w:sectPr>
      </w:pPr>
    </w:p>
    <w:p w14:paraId="0706F7EE" w14:textId="6D220594" w:rsidR="0003087E" w:rsidRPr="009B78DA" w:rsidRDefault="0003087E" w:rsidP="00A54BDC">
      <w:pPr>
        <w:pStyle w:val="Nagwek2"/>
        <w:numPr>
          <w:ilvl w:val="0"/>
          <w:numId w:val="268"/>
        </w:numPr>
        <w:ind w:left="357" w:hanging="357"/>
        <w:rPr>
          <w:rFonts w:cs="Arial"/>
          <w:b w:val="0"/>
          <w:bCs/>
          <w:sz w:val="24"/>
          <w:szCs w:val="24"/>
        </w:rPr>
      </w:pPr>
      <w:bookmarkStart w:id="416" w:name="_Toc100335084"/>
      <w:bookmarkStart w:id="417" w:name="_Toc146785810"/>
      <w:r w:rsidRPr="009B78DA">
        <w:rPr>
          <w:rFonts w:cs="Arial"/>
          <w:bCs/>
          <w:sz w:val="24"/>
          <w:szCs w:val="24"/>
        </w:rPr>
        <w:t>System monitoringu i ewaluacji (oceny realizacji Programu)</w:t>
      </w:r>
      <w:bookmarkEnd w:id="416"/>
      <w:bookmarkEnd w:id="417"/>
    </w:p>
    <w:p w14:paraId="3162151E" w14:textId="3D64FBEB" w:rsidR="0003087E" w:rsidRPr="009B78DA" w:rsidRDefault="00E46749" w:rsidP="00A54BDC">
      <w:pPr>
        <w:spacing w:before="120"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System monitorowania Programu Strategicznego Rozwoju Transportu Województwa Podkarpackiego do roku 2030 zakłada, że realizacja celu głównego będzie efektem pozytywnych zmian zachodzących w obrębie celów szczegółowych (podstawowych i horyzontalnych). Zatem monitorowanie zmian odbywa się na poziomie celów szczegółowych oraz kierunków rozwoju. </w:t>
      </w:r>
      <w:r w:rsidR="0003087E" w:rsidRPr="009B78DA">
        <w:rPr>
          <w:rFonts w:ascii="Arial" w:hAnsi="Arial" w:cs="Arial"/>
          <w:color w:val="000000" w:themeColor="text1"/>
          <w:sz w:val="22"/>
          <w:szCs w:val="22"/>
        </w:rPr>
        <w:t xml:space="preserve">Wskaźniki monitorowania zostały agregowane dla każdego z celów szczegółowych, </w:t>
      </w:r>
      <w:r w:rsidR="00D54B34" w:rsidRPr="009B78DA">
        <w:rPr>
          <w:rFonts w:ascii="Arial" w:hAnsi="Arial" w:cs="Arial"/>
          <w:color w:val="000000" w:themeColor="text1"/>
          <w:sz w:val="22"/>
          <w:szCs w:val="22"/>
        </w:rPr>
        <w:br/>
      </w:r>
      <w:r w:rsidR="0003087E" w:rsidRPr="009B78DA">
        <w:rPr>
          <w:rFonts w:ascii="Arial" w:hAnsi="Arial" w:cs="Arial"/>
          <w:color w:val="000000" w:themeColor="text1"/>
          <w:sz w:val="22"/>
          <w:szCs w:val="22"/>
        </w:rPr>
        <w:t>w sposób umożliwiający mierzenie postępów w ich realizacji. Dla poszczególnych kategorii wskaźników zostały wskazane również źródła ich pozyskiwania.</w:t>
      </w:r>
    </w:p>
    <w:p w14:paraId="7721A981" w14:textId="741BE321" w:rsidR="00826C55" w:rsidRPr="009B78DA" w:rsidRDefault="00826C55" w:rsidP="00A54BDC">
      <w:pPr>
        <w:pStyle w:val="Legenda"/>
        <w:keepNext/>
        <w:rPr>
          <w:rFonts w:ascii="Arial" w:hAnsi="Arial" w:cs="Arial"/>
          <w:i w:val="0"/>
          <w:color w:val="000000" w:themeColor="text1"/>
          <w:sz w:val="22"/>
          <w:szCs w:val="22"/>
        </w:rPr>
      </w:pPr>
      <w:bookmarkStart w:id="418" w:name="_Toc146785767"/>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37</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Wskaźniki monitorowania realizacji Celów podstawowych i horyzontalnych PSRT WP</w:t>
      </w:r>
      <w:bookmarkEnd w:id="418"/>
    </w:p>
    <w:tbl>
      <w:tblPr>
        <w:tblStyle w:val="Tabela-Siatka"/>
        <w:tblW w:w="5000" w:type="pct"/>
        <w:tblLook w:val="04A0" w:firstRow="1" w:lastRow="0" w:firstColumn="1" w:lastColumn="0" w:noHBand="0" w:noVBand="1"/>
        <w:tblCaption w:val="Tabela 37 Wskaźniki monitorowania realizacji Celów podstawowych i horyzontalnych PSRT WP"/>
        <w:tblDescription w:val="Tabela zawiera Cel , Wskaźniki, Źródła danych"/>
      </w:tblPr>
      <w:tblGrid>
        <w:gridCol w:w="3823"/>
        <w:gridCol w:w="6238"/>
        <w:gridCol w:w="5327"/>
      </w:tblGrid>
      <w:tr w:rsidR="006F4FD2" w:rsidRPr="00A54BDC" w14:paraId="490FE764" w14:textId="77777777" w:rsidTr="00A54BDC">
        <w:trPr>
          <w:tblHeader/>
        </w:trPr>
        <w:tc>
          <w:tcPr>
            <w:tcW w:w="1242" w:type="pct"/>
            <w:shd w:val="clear" w:color="auto" w:fill="DEEAF6" w:themeFill="accent1" w:themeFillTint="33"/>
            <w:vAlign w:val="center"/>
          </w:tcPr>
          <w:p w14:paraId="64436BCA" w14:textId="274B9666" w:rsidR="00197CB3" w:rsidRPr="00A54BDC" w:rsidRDefault="00A54BDC" w:rsidP="00A54BDC">
            <w:pPr>
              <w:spacing w:line="276" w:lineRule="auto"/>
              <w:jc w:val="center"/>
              <w:rPr>
                <w:rFonts w:ascii="Arial" w:hAnsi="Arial" w:cs="Arial"/>
                <w:b/>
                <w:color w:val="000000" w:themeColor="text1"/>
                <w:sz w:val="22"/>
                <w:szCs w:val="22"/>
              </w:rPr>
            </w:pPr>
            <w:bookmarkStart w:id="419" w:name="_Hlk101363225"/>
            <w:bookmarkStart w:id="420" w:name="_Toc77330945"/>
            <w:r w:rsidRPr="00A54BDC">
              <w:rPr>
                <w:rFonts w:ascii="Arial" w:hAnsi="Arial" w:cs="Arial"/>
                <w:b/>
                <w:color w:val="000000" w:themeColor="text1"/>
                <w:sz w:val="22"/>
                <w:szCs w:val="22"/>
              </w:rPr>
              <w:t>Cel</w:t>
            </w:r>
          </w:p>
        </w:tc>
        <w:tc>
          <w:tcPr>
            <w:tcW w:w="2027" w:type="pct"/>
            <w:shd w:val="clear" w:color="auto" w:fill="DEEAF6" w:themeFill="accent1" w:themeFillTint="33"/>
            <w:vAlign w:val="center"/>
          </w:tcPr>
          <w:p w14:paraId="3652CAD8" w14:textId="77777777" w:rsidR="00197CB3" w:rsidRPr="00A54BDC" w:rsidRDefault="00197CB3" w:rsidP="00A54BDC">
            <w:pPr>
              <w:spacing w:line="276" w:lineRule="auto"/>
              <w:jc w:val="center"/>
              <w:rPr>
                <w:rFonts w:ascii="Arial" w:hAnsi="Arial" w:cs="Arial"/>
                <w:b/>
                <w:color w:val="000000" w:themeColor="text1"/>
                <w:sz w:val="22"/>
                <w:szCs w:val="22"/>
              </w:rPr>
            </w:pPr>
            <w:r w:rsidRPr="00A54BDC">
              <w:rPr>
                <w:rFonts w:ascii="Arial" w:hAnsi="Arial" w:cs="Arial"/>
                <w:b/>
                <w:color w:val="000000" w:themeColor="text1"/>
                <w:sz w:val="22"/>
                <w:szCs w:val="22"/>
              </w:rPr>
              <w:t>Wskaźniki</w:t>
            </w:r>
          </w:p>
        </w:tc>
        <w:tc>
          <w:tcPr>
            <w:tcW w:w="1731" w:type="pct"/>
            <w:shd w:val="clear" w:color="auto" w:fill="DEEAF6" w:themeFill="accent1" w:themeFillTint="33"/>
            <w:vAlign w:val="center"/>
          </w:tcPr>
          <w:p w14:paraId="29BCBF9E" w14:textId="77777777" w:rsidR="00197CB3" w:rsidRPr="00A54BDC" w:rsidRDefault="00197CB3" w:rsidP="00A54BDC">
            <w:pPr>
              <w:spacing w:line="276" w:lineRule="auto"/>
              <w:jc w:val="center"/>
              <w:rPr>
                <w:rFonts w:ascii="Arial" w:hAnsi="Arial" w:cs="Arial"/>
                <w:b/>
                <w:color w:val="000000" w:themeColor="text1"/>
                <w:sz w:val="22"/>
                <w:szCs w:val="22"/>
              </w:rPr>
            </w:pPr>
            <w:r w:rsidRPr="00A54BDC">
              <w:rPr>
                <w:rFonts w:ascii="Arial" w:hAnsi="Arial" w:cs="Arial"/>
                <w:b/>
                <w:color w:val="000000" w:themeColor="text1"/>
                <w:sz w:val="22"/>
                <w:szCs w:val="22"/>
              </w:rPr>
              <w:t>Źródła danych</w:t>
            </w:r>
          </w:p>
        </w:tc>
      </w:tr>
      <w:tr w:rsidR="006F4FD2" w:rsidRPr="00A54BDC" w14:paraId="75F77D79" w14:textId="77777777" w:rsidTr="00A54BDC">
        <w:tc>
          <w:tcPr>
            <w:tcW w:w="1242" w:type="pct"/>
          </w:tcPr>
          <w:p w14:paraId="022CBCC0" w14:textId="77777777" w:rsidR="00197CB3" w:rsidRPr="00A54BDC" w:rsidRDefault="00197CB3" w:rsidP="00A54BDC">
            <w:pPr>
              <w:spacing w:line="276" w:lineRule="auto"/>
              <w:rPr>
                <w:rFonts w:ascii="Arial" w:hAnsi="Arial" w:cs="Arial"/>
                <w:b/>
                <w:color w:val="000000" w:themeColor="text1"/>
                <w:sz w:val="22"/>
                <w:szCs w:val="22"/>
              </w:rPr>
            </w:pPr>
            <w:r w:rsidRPr="00A54BDC">
              <w:rPr>
                <w:rFonts w:ascii="Arial" w:hAnsi="Arial" w:cs="Arial"/>
                <w:b/>
                <w:color w:val="000000" w:themeColor="text1"/>
                <w:sz w:val="22"/>
                <w:szCs w:val="22"/>
              </w:rPr>
              <w:t>Cel podstawowy 1. Dostępność zewnętrzna</w:t>
            </w:r>
          </w:p>
          <w:p w14:paraId="0951C7ED" w14:textId="400BD72E" w:rsidR="00197CB3" w:rsidRPr="00A54BDC" w:rsidRDefault="00197CB3" w:rsidP="00A54BDC">
            <w:pPr>
              <w:spacing w:line="276" w:lineRule="auto"/>
              <w:rPr>
                <w:rFonts w:ascii="Arial" w:hAnsi="Arial" w:cs="Arial"/>
                <w:color w:val="000000" w:themeColor="text1"/>
                <w:sz w:val="22"/>
                <w:szCs w:val="22"/>
              </w:rPr>
            </w:pPr>
            <w:r w:rsidRPr="00A54BDC">
              <w:rPr>
                <w:rFonts w:ascii="Arial" w:hAnsi="Arial" w:cs="Arial"/>
                <w:color w:val="000000" w:themeColor="text1"/>
                <w:sz w:val="22"/>
                <w:szCs w:val="22"/>
              </w:rPr>
              <w:t xml:space="preserve">Zwiększenie dostępności zewnętrznej regionu (krajowej </w:t>
            </w:r>
            <w:r w:rsidR="00A54BDC">
              <w:rPr>
                <w:rFonts w:ascii="Arial" w:hAnsi="Arial" w:cs="Arial"/>
                <w:color w:val="000000" w:themeColor="text1"/>
                <w:sz w:val="22"/>
                <w:szCs w:val="22"/>
              </w:rPr>
              <w:br/>
            </w:r>
            <w:r w:rsidRPr="00A54BDC">
              <w:rPr>
                <w:rFonts w:ascii="Arial" w:hAnsi="Arial" w:cs="Arial"/>
                <w:color w:val="000000" w:themeColor="text1"/>
                <w:sz w:val="22"/>
                <w:szCs w:val="22"/>
              </w:rPr>
              <w:t xml:space="preserve">i zagranicznej) wynikającej </w:t>
            </w:r>
            <w:r w:rsidR="00FF5524">
              <w:rPr>
                <w:rFonts w:ascii="Arial" w:hAnsi="Arial" w:cs="Arial"/>
                <w:color w:val="000000" w:themeColor="text1"/>
                <w:sz w:val="22"/>
                <w:szCs w:val="22"/>
              </w:rPr>
              <w:br/>
            </w:r>
            <w:r w:rsidRPr="00A54BDC">
              <w:rPr>
                <w:rFonts w:ascii="Arial" w:hAnsi="Arial" w:cs="Arial"/>
                <w:color w:val="000000" w:themeColor="text1"/>
                <w:sz w:val="22"/>
                <w:szCs w:val="22"/>
              </w:rPr>
              <w:t>z peryferyjnego położenia województwa</w:t>
            </w:r>
          </w:p>
        </w:tc>
        <w:tc>
          <w:tcPr>
            <w:tcW w:w="2027" w:type="pct"/>
          </w:tcPr>
          <w:p w14:paraId="216F8F17" w14:textId="19AC74B6" w:rsidR="00197CB3" w:rsidRPr="00A54BDC" w:rsidRDefault="00197CB3" w:rsidP="00A54BDC">
            <w:pPr>
              <w:pStyle w:val="Akapitzlist"/>
              <w:numPr>
                <w:ilvl w:val="0"/>
                <w:numId w:val="197"/>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Czas dojazdu z Rzeszowa i wybranych miejsc regionu do Warszawy, Krakowa, Lublina</w:t>
            </w:r>
            <w:r w:rsidR="00FF3C03" w:rsidRPr="00A54BDC">
              <w:rPr>
                <w:rFonts w:ascii="Arial" w:hAnsi="Arial" w:cs="Arial"/>
                <w:color w:val="000000" w:themeColor="text1"/>
                <w:sz w:val="22"/>
                <w:szCs w:val="22"/>
              </w:rPr>
              <w:t>, Białegostoku</w:t>
            </w:r>
            <w:r w:rsidR="0090145D" w:rsidRPr="00A54BDC">
              <w:rPr>
                <w:rFonts w:ascii="Arial" w:hAnsi="Arial" w:cs="Arial"/>
                <w:color w:val="000000" w:themeColor="text1"/>
                <w:sz w:val="22"/>
                <w:szCs w:val="22"/>
              </w:rPr>
              <w:t>, Olsztyna</w:t>
            </w:r>
            <w:r w:rsidRPr="00A54BDC">
              <w:rPr>
                <w:rFonts w:ascii="Arial" w:hAnsi="Arial" w:cs="Arial"/>
                <w:color w:val="000000" w:themeColor="text1"/>
                <w:sz w:val="22"/>
                <w:szCs w:val="22"/>
              </w:rPr>
              <w:t xml:space="preserve"> i Kielc w transporcie drogowym i kolejowym – oczekiwany trend: skrócenie czasu dojazdu;</w:t>
            </w:r>
          </w:p>
          <w:p w14:paraId="4FD13478" w14:textId="77777777" w:rsidR="00197CB3" w:rsidRPr="00A54BDC" w:rsidRDefault="00197CB3" w:rsidP="00A54BDC">
            <w:pPr>
              <w:pStyle w:val="Akapitzlist"/>
              <w:numPr>
                <w:ilvl w:val="0"/>
                <w:numId w:val="197"/>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Wskaźnik dostępności potencjałowej (WMDT II, a w jego ramach WDDT II i WKDT II); wskaźniki obliczane w układzie europejskim, krajowym i regionalnym – oczekiwany trend: zwiększenie dostępności.</w:t>
            </w:r>
          </w:p>
        </w:tc>
        <w:tc>
          <w:tcPr>
            <w:tcW w:w="1731" w:type="pct"/>
          </w:tcPr>
          <w:p w14:paraId="27D6C95B" w14:textId="77777777" w:rsidR="00197CB3" w:rsidRPr="00A54BDC" w:rsidRDefault="00197CB3" w:rsidP="00A54BDC">
            <w:pPr>
              <w:spacing w:line="276" w:lineRule="auto"/>
              <w:rPr>
                <w:rFonts w:ascii="Arial" w:hAnsi="Arial" w:cs="Arial"/>
                <w:color w:val="000000" w:themeColor="text1"/>
                <w:sz w:val="22"/>
                <w:szCs w:val="22"/>
              </w:rPr>
            </w:pPr>
            <w:r w:rsidRPr="00A54BDC">
              <w:rPr>
                <w:rFonts w:ascii="Arial" w:hAnsi="Arial" w:cs="Arial"/>
                <w:color w:val="000000" w:themeColor="text1"/>
                <w:sz w:val="22"/>
                <w:szCs w:val="22"/>
              </w:rPr>
              <w:t>Wskaźniki dostępności potencjałowej i czasowej cyklicznie obliczane na potrzeby Ministerstwa Funduszy i Polityki Regionalnej w Instytucie Geografii i Przestrzennego Zagospodarowania PAN; źródło: IGiPZ PAN lub MFiPR. Dane dotyczące czasu przejazdu w transporcie kolejowym – PKP PLK S.A. lub opcjonalnie rozkłady jazdy.</w:t>
            </w:r>
          </w:p>
        </w:tc>
      </w:tr>
      <w:tr w:rsidR="006F4FD2" w:rsidRPr="00A54BDC" w14:paraId="57EDCF49" w14:textId="77777777" w:rsidTr="00A54BDC">
        <w:tc>
          <w:tcPr>
            <w:tcW w:w="1242" w:type="pct"/>
          </w:tcPr>
          <w:p w14:paraId="32958DDC" w14:textId="77777777" w:rsidR="00197CB3" w:rsidRPr="00A54BDC" w:rsidRDefault="00197CB3" w:rsidP="00A54BDC">
            <w:pPr>
              <w:spacing w:line="276" w:lineRule="auto"/>
              <w:rPr>
                <w:rFonts w:ascii="Arial" w:hAnsi="Arial" w:cs="Arial"/>
                <w:b/>
                <w:strike/>
                <w:color w:val="000000" w:themeColor="text1"/>
                <w:sz w:val="22"/>
                <w:szCs w:val="22"/>
              </w:rPr>
            </w:pPr>
            <w:r w:rsidRPr="00A54BDC">
              <w:rPr>
                <w:rFonts w:ascii="Arial" w:hAnsi="Arial" w:cs="Arial"/>
                <w:b/>
                <w:color w:val="000000" w:themeColor="text1"/>
                <w:sz w:val="22"/>
                <w:szCs w:val="22"/>
              </w:rPr>
              <w:t>Cel podstawowy 2. Transportowa spójność wewnętrzna</w:t>
            </w:r>
          </w:p>
          <w:p w14:paraId="177CD901" w14:textId="360CCE38" w:rsidR="00197CB3" w:rsidRPr="00A54BDC" w:rsidRDefault="00197CB3" w:rsidP="00A54BDC">
            <w:pPr>
              <w:spacing w:line="276" w:lineRule="auto"/>
              <w:rPr>
                <w:rFonts w:ascii="Arial" w:hAnsi="Arial" w:cs="Arial"/>
                <w:bCs/>
                <w:color w:val="000000" w:themeColor="text1"/>
                <w:sz w:val="22"/>
                <w:szCs w:val="22"/>
              </w:rPr>
            </w:pPr>
            <w:r w:rsidRPr="00A54BDC">
              <w:rPr>
                <w:rFonts w:ascii="Arial" w:hAnsi="Arial" w:cs="Arial"/>
                <w:bCs/>
                <w:color w:val="000000" w:themeColor="text1"/>
                <w:sz w:val="22"/>
                <w:szCs w:val="22"/>
              </w:rPr>
              <w:t>Zwiększenie powiązań transportowych w regionie, w tym likwidowanie obszarów wykluczenia transportowego spowodowanego niskim zaludnieniem / obszarami górzystymi / obszara</w:t>
            </w:r>
            <w:r w:rsidR="00A54BDC">
              <w:rPr>
                <w:rFonts w:ascii="Arial" w:hAnsi="Arial" w:cs="Arial"/>
                <w:bCs/>
                <w:color w:val="000000" w:themeColor="text1"/>
                <w:sz w:val="22"/>
                <w:szCs w:val="22"/>
              </w:rPr>
              <w:t>mi o niskiej skali zatrudniania</w:t>
            </w:r>
          </w:p>
        </w:tc>
        <w:tc>
          <w:tcPr>
            <w:tcW w:w="2027" w:type="pct"/>
          </w:tcPr>
          <w:p w14:paraId="2B9DAC98" w14:textId="77777777" w:rsidR="00197CB3" w:rsidRPr="00A54BDC" w:rsidRDefault="00197CB3" w:rsidP="00A54BDC">
            <w:pPr>
              <w:pStyle w:val="Akapitzlist"/>
              <w:numPr>
                <w:ilvl w:val="0"/>
                <w:numId w:val="198"/>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Czas przejazdu z MOF-ów regionu do Rzeszowa (transport drogowy i kolejowy)</w:t>
            </w:r>
            <w:r w:rsidRPr="00A54BDC">
              <w:rPr>
                <w:color w:val="000000" w:themeColor="text1"/>
                <w:sz w:val="22"/>
                <w:szCs w:val="22"/>
              </w:rPr>
              <w:t xml:space="preserve"> </w:t>
            </w:r>
            <w:r w:rsidRPr="00A54BDC">
              <w:rPr>
                <w:rFonts w:ascii="Arial" w:hAnsi="Arial" w:cs="Arial"/>
                <w:color w:val="000000" w:themeColor="text1"/>
                <w:sz w:val="22"/>
                <w:szCs w:val="22"/>
              </w:rPr>
              <w:t>– oczekiwany trend: skrócenie czasu dojazdu;</w:t>
            </w:r>
          </w:p>
          <w:p w14:paraId="5AF303A8" w14:textId="77777777" w:rsidR="00197CB3" w:rsidRPr="00A54BDC" w:rsidRDefault="00197CB3" w:rsidP="00A54BDC">
            <w:pPr>
              <w:pStyle w:val="Akapitzlist"/>
              <w:numPr>
                <w:ilvl w:val="0"/>
                <w:numId w:val="198"/>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Czas dojazdu do Rzeszowa z ośrodków powiatowych (innych niż bieguny wzrostu) obszarów peryferyjnych (transport drogowy i kolejowy) – oczekiwany trend: skrócenie czasu dojazdu;</w:t>
            </w:r>
          </w:p>
          <w:p w14:paraId="37E025F7" w14:textId="6391D476" w:rsidR="00197CB3" w:rsidRPr="00A54BDC" w:rsidRDefault="00197CB3" w:rsidP="00A54BDC">
            <w:pPr>
              <w:pStyle w:val="Akapitzlist"/>
              <w:numPr>
                <w:ilvl w:val="0"/>
                <w:numId w:val="198"/>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 xml:space="preserve">Czas dojazdu do miasta rdzenia najbliższego MOF </w:t>
            </w:r>
            <w:r w:rsidR="00A54BDC">
              <w:rPr>
                <w:rFonts w:ascii="Arial" w:hAnsi="Arial" w:cs="Arial"/>
                <w:color w:val="000000" w:themeColor="text1"/>
                <w:sz w:val="22"/>
                <w:szCs w:val="22"/>
              </w:rPr>
              <w:br/>
            </w:r>
            <w:r w:rsidRPr="00A54BDC">
              <w:rPr>
                <w:rFonts w:ascii="Arial" w:hAnsi="Arial" w:cs="Arial"/>
                <w:color w:val="000000" w:themeColor="text1"/>
                <w:sz w:val="22"/>
                <w:szCs w:val="22"/>
              </w:rPr>
              <w:t>z ośrodków powiatowych obszarów peryferyjnych (transport drogowy i kolejowy) – oczekiwany trend: skrócenie czasu dojazdu;</w:t>
            </w:r>
          </w:p>
          <w:p w14:paraId="2D1D37B8" w14:textId="77777777" w:rsidR="00197CB3" w:rsidRPr="00A54BDC" w:rsidRDefault="00197CB3" w:rsidP="00A54BDC">
            <w:pPr>
              <w:pStyle w:val="Akapitzlist"/>
              <w:numPr>
                <w:ilvl w:val="0"/>
                <w:numId w:val="198"/>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Liczba ludności oraz liczba przedsiębiorstw w obrębie izochrony 30 minut oraz 60 minut od:</w:t>
            </w:r>
          </w:p>
          <w:p w14:paraId="54EF5028" w14:textId="3FD952EB" w:rsidR="00197CB3" w:rsidRPr="00A54BDC" w:rsidRDefault="002329B6" w:rsidP="00A54BDC">
            <w:pPr>
              <w:pStyle w:val="Akapitzlist"/>
              <w:numPr>
                <w:ilvl w:val="0"/>
                <w:numId w:val="199"/>
              </w:numPr>
              <w:spacing w:line="276" w:lineRule="auto"/>
              <w:ind w:left="322" w:right="-61" w:hanging="142"/>
              <w:rPr>
                <w:rFonts w:ascii="Arial" w:hAnsi="Arial" w:cs="Arial"/>
                <w:color w:val="000000" w:themeColor="text1"/>
                <w:sz w:val="22"/>
                <w:szCs w:val="22"/>
              </w:rPr>
            </w:pPr>
            <w:r w:rsidRPr="00A54BDC">
              <w:rPr>
                <w:rFonts w:ascii="Arial" w:hAnsi="Arial" w:cs="Arial"/>
                <w:color w:val="000000" w:themeColor="text1"/>
                <w:sz w:val="22"/>
                <w:szCs w:val="22"/>
              </w:rPr>
              <w:t xml:space="preserve"> </w:t>
            </w:r>
            <w:r w:rsidR="00197CB3" w:rsidRPr="00A54BDC">
              <w:rPr>
                <w:rFonts w:ascii="Arial" w:hAnsi="Arial" w:cs="Arial"/>
                <w:color w:val="000000" w:themeColor="text1"/>
                <w:sz w:val="22"/>
                <w:szCs w:val="22"/>
              </w:rPr>
              <w:t>Rzeszowa,</w:t>
            </w:r>
          </w:p>
          <w:p w14:paraId="7BE2DEDA" w14:textId="0F4ECE53" w:rsidR="00197CB3" w:rsidRPr="00A54BDC" w:rsidRDefault="002329B6" w:rsidP="00A54BDC">
            <w:pPr>
              <w:pStyle w:val="Akapitzlist"/>
              <w:numPr>
                <w:ilvl w:val="0"/>
                <w:numId w:val="199"/>
              </w:numPr>
              <w:spacing w:line="276" w:lineRule="auto"/>
              <w:ind w:left="322" w:right="-61" w:hanging="142"/>
              <w:rPr>
                <w:rFonts w:ascii="Arial" w:hAnsi="Arial" w:cs="Arial"/>
                <w:color w:val="000000" w:themeColor="text1"/>
                <w:sz w:val="22"/>
                <w:szCs w:val="22"/>
              </w:rPr>
            </w:pPr>
            <w:r w:rsidRPr="00A54BDC">
              <w:rPr>
                <w:rFonts w:ascii="Arial" w:hAnsi="Arial" w:cs="Arial"/>
                <w:color w:val="000000" w:themeColor="text1"/>
                <w:sz w:val="22"/>
                <w:szCs w:val="22"/>
              </w:rPr>
              <w:t xml:space="preserve"> </w:t>
            </w:r>
            <w:r w:rsidR="00197CB3" w:rsidRPr="00A54BDC">
              <w:rPr>
                <w:rFonts w:ascii="Arial" w:hAnsi="Arial" w:cs="Arial"/>
                <w:color w:val="000000" w:themeColor="text1"/>
                <w:sz w:val="22"/>
                <w:szCs w:val="22"/>
              </w:rPr>
              <w:t>najbliższego MOF;</w:t>
            </w:r>
          </w:p>
          <w:p w14:paraId="498C469C" w14:textId="3CFBE20F" w:rsidR="00197CB3" w:rsidRPr="00A54BDC" w:rsidRDefault="00197CB3" w:rsidP="00A54BDC">
            <w:pPr>
              <w:pStyle w:val="Akapitzlist"/>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 xml:space="preserve">– oczekiwany trend: zwiększenie badanych populacji </w:t>
            </w:r>
            <w:r w:rsidR="00A54BDC">
              <w:rPr>
                <w:rFonts w:ascii="Arial" w:hAnsi="Arial" w:cs="Arial"/>
                <w:color w:val="000000" w:themeColor="text1"/>
                <w:sz w:val="22"/>
                <w:szCs w:val="22"/>
              </w:rPr>
              <w:br/>
            </w:r>
            <w:r w:rsidRPr="00A54BDC">
              <w:rPr>
                <w:rFonts w:ascii="Arial" w:hAnsi="Arial" w:cs="Arial"/>
                <w:color w:val="000000" w:themeColor="text1"/>
                <w:sz w:val="22"/>
                <w:szCs w:val="22"/>
              </w:rPr>
              <w:t>w obrębie izochrony 30 minut.</w:t>
            </w:r>
          </w:p>
          <w:p w14:paraId="257D9A6D" w14:textId="77777777" w:rsidR="00197CB3" w:rsidRPr="00A54BDC" w:rsidRDefault="00197CB3" w:rsidP="00A54BDC">
            <w:pPr>
              <w:pStyle w:val="Akapitzlist"/>
              <w:numPr>
                <w:ilvl w:val="0"/>
                <w:numId w:val="200"/>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Połączenia na wybranych odcinkach poddanych rewitalizacji (transport kolejowy) – oczekiwany trend: zwiększenie liczby połączeń i/lub powiększenie pojemności składów.</w:t>
            </w:r>
          </w:p>
        </w:tc>
        <w:tc>
          <w:tcPr>
            <w:tcW w:w="1731" w:type="pct"/>
          </w:tcPr>
          <w:p w14:paraId="5E9A1393" w14:textId="1038AA92" w:rsidR="00197CB3" w:rsidRPr="00A54BDC" w:rsidRDefault="00197CB3" w:rsidP="00A54BDC">
            <w:pPr>
              <w:spacing w:line="276" w:lineRule="auto"/>
              <w:rPr>
                <w:rFonts w:ascii="Arial" w:hAnsi="Arial" w:cs="Arial"/>
                <w:color w:val="000000" w:themeColor="text1"/>
                <w:sz w:val="22"/>
                <w:szCs w:val="22"/>
              </w:rPr>
            </w:pPr>
            <w:r w:rsidRPr="00A54BDC">
              <w:rPr>
                <w:rFonts w:ascii="Arial" w:hAnsi="Arial" w:cs="Arial"/>
                <w:color w:val="000000" w:themeColor="text1"/>
                <w:sz w:val="22"/>
                <w:szCs w:val="22"/>
              </w:rPr>
              <w:t xml:space="preserve">Wskaźniki dostępności czasowej obliczane cyklicznie na potrzeby Ministerstwa Funduszy </w:t>
            </w:r>
            <w:r w:rsidR="00A54BDC">
              <w:rPr>
                <w:rFonts w:ascii="Arial" w:hAnsi="Arial" w:cs="Arial"/>
                <w:color w:val="000000" w:themeColor="text1"/>
                <w:sz w:val="22"/>
                <w:szCs w:val="22"/>
              </w:rPr>
              <w:br/>
            </w:r>
            <w:r w:rsidRPr="00A54BDC">
              <w:rPr>
                <w:rFonts w:ascii="Arial" w:hAnsi="Arial" w:cs="Arial"/>
                <w:color w:val="000000" w:themeColor="text1"/>
                <w:sz w:val="22"/>
                <w:szCs w:val="22"/>
              </w:rPr>
              <w:t xml:space="preserve">i Polityki Regionalnej w Instytucie Geografii </w:t>
            </w:r>
            <w:r w:rsidR="00A54BDC">
              <w:rPr>
                <w:rFonts w:ascii="Arial" w:hAnsi="Arial" w:cs="Arial"/>
                <w:color w:val="000000" w:themeColor="text1"/>
                <w:sz w:val="22"/>
                <w:szCs w:val="22"/>
              </w:rPr>
              <w:br/>
            </w:r>
            <w:r w:rsidRPr="00A54BDC">
              <w:rPr>
                <w:rFonts w:ascii="Arial" w:hAnsi="Arial" w:cs="Arial"/>
                <w:color w:val="000000" w:themeColor="text1"/>
                <w:sz w:val="22"/>
                <w:szCs w:val="22"/>
              </w:rPr>
              <w:t>i Przestrzennego Zagospodarowania PAN; źródło: IGiPZ PAN lub MFiPR. Dane dotyczące czasu przejazdu oraz liczby połączeń w transporcie kolejowym – PKP PLK S.A. lub opcjonalnie rozkłady jazdy. Dane o liczbie ludności i liczbie przedsiębiorstw – GUS.</w:t>
            </w:r>
          </w:p>
        </w:tc>
      </w:tr>
      <w:tr w:rsidR="006F4FD2" w:rsidRPr="00A54BDC" w14:paraId="169564C5" w14:textId="77777777" w:rsidTr="00A54BDC">
        <w:tc>
          <w:tcPr>
            <w:tcW w:w="1242" w:type="pct"/>
          </w:tcPr>
          <w:p w14:paraId="5935F80A" w14:textId="77777777" w:rsidR="00197CB3" w:rsidRPr="00A54BDC" w:rsidRDefault="00197CB3" w:rsidP="00A54BDC">
            <w:pPr>
              <w:spacing w:line="276" w:lineRule="auto"/>
              <w:rPr>
                <w:rFonts w:ascii="Arial" w:hAnsi="Arial" w:cs="Arial"/>
                <w:b/>
                <w:color w:val="000000" w:themeColor="text1"/>
                <w:sz w:val="22"/>
                <w:szCs w:val="22"/>
              </w:rPr>
            </w:pPr>
            <w:r w:rsidRPr="00A54BDC">
              <w:rPr>
                <w:rFonts w:ascii="Arial" w:hAnsi="Arial" w:cs="Arial"/>
                <w:b/>
                <w:color w:val="000000" w:themeColor="text1"/>
                <w:sz w:val="22"/>
                <w:szCs w:val="22"/>
              </w:rPr>
              <w:t>Cel podstawowy 3. Integracja MOF</w:t>
            </w:r>
          </w:p>
          <w:p w14:paraId="06796D48" w14:textId="1FE438A1" w:rsidR="00197CB3" w:rsidRPr="00A54BDC" w:rsidRDefault="00197CB3" w:rsidP="00A54BDC">
            <w:pPr>
              <w:spacing w:line="276" w:lineRule="auto"/>
              <w:rPr>
                <w:rFonts w:ascii="Arial" w:hAnsi="Arial" w:cs="Arial"/>
                <w:color w:val="000000" w:themeColor="text1"/>
                <w:sz w:val="22"/>
                <w:szCs w:val="22"/>
              </w:rPr>
            </w:pPr>
            <w:r w:rsidRPr="00A54BDC">
              <w:rPr>
                <w:rFonts w:ascii="Arial" w:hAnsi="Arial" w:cs="Arial"/>
                <w:color w:val="000000" w:themeColor="text1"/>
                <w:sz w:val="22"/>
                <w:szCs w:val="22"/>
              </w:rPr>
              <w:t xml:space="preserve">Integracja wewnętrzna Rzeszowskiego Obszaru Funkcjonalnego i miejskich obszarów funkcjonalnych biegunów wzrostu, uwzględniająca policentryczny układ województwa </w:t>
            </w:r>
            <w:r w:rsidR="00A54BDC">
              <w:rPr>
                <w:rFonts w:ascii="Arial" w:hAnsi="Arial" w:cs="Arial"/>
                <w:color w:val="000000" w:themeColor="text1"/>
                <w:sz w:val="22"/>
                <w:szCs w:val="22"/>
              </w:rPr>
              <w:br/>
            </w:r>
            <w:r w:rsidRPr="00A54BDC">
              <w:rPr>
                <w:rFonts w:ascii="Arial" w:hAnsi="Arial" w:cs="Arial"/>
                <w:color w:val="000000" w:themeColor="text1"/>
                <w:sz w:val="22"/>
                <w:szCs w:val="22"/>
              </w:rPr>
              <w:t>i umożliwiająca integrację głównych rynków pracy</w:t>
            </w:r>
          </w:p>
        </w:tc>
        <w:tc>
          <w:tcPr>
            <w:tcW w:w="2027" w:type="pct"/>
          </w:tcPr>
          <w:p w14:paraId="7B6207DE" w14:textId="77777777" w:rsidR="00197CB3" w:rsidRPr="00A54BDC" w:rsidRDefault="00197CB3" w:rsidP="00A54BDC">
            <w:pPr>
              <w:pStyle w:val="Akapitzlist"/>
              <w:numPr>
                <w:ilvl w:val="0"/>
                <w:numId w:val="201"/>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Czas dojazdu do centrum miasta rdzeniowego danego obszaru funkcjonalnego z jego rejonów peryferyjnych (transport drogowy i kolejowy) – oczekiwany trend: utrzymanie lub skrócenie czasu dojazdu;</w:t>
            </w:r>
          </w:p>
          <w:p w14:paraId="7AD4CFFF" w14:textId="77777777" w:rsidR="00197CB3" w:rsidRPr="00A54BDC" w:rsidRDefault="00197CB3" w:rsidP="00A54BDC">
            <w:pPr>
              <w:pStyle w:val="Akapitzlist"/>
              <w:numPr>
                <w:ilvl w:val="0"/>
                <w:numId w:val="201"/>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Ilość linii regularnej komunikacji autobusowej podmiejskiej – oczekiwany trend: zwiększenie liczby linii.</w:t>
            </w:r>
          </w:p>
        </w:tc>
        <w:tc>
          <w:tcPr>
            <w:tcW w:w="1731" w:type="pct"/>
          </w:tcPr>
          <w:p w14:paraId="513C6FAF" w14:textId="2252C04C" w:rsidR="00197CB3" w:rsidRPr="00A54BDC" w:rsidRDefault="00197CB3" w:rsidP="00A54BDC">
            <w:pPr>
              <w:spacing w:line="276" w:lineRule="auto"/>
              <w:rPr>
                <w:rFonts w:ascii="Arial" w:hAnsi="Arial" w:cs="Arial"/>
                <w:color w:val="000000" w:themeColor="text1"/>
                <w:sz w:val="22"/>
                <w:szCs w:val="22"/>
              </w:rPr>
            </w:pPr>
            <w:r w:rsidRPr="00A54BDC">
              <w:rPr>
                <w:rFonts w:ascii="Arial" w:hAnsi="Arial" w:cs="Arial"/>
                <w:color w:val="000000" w:themeColor="text1"/>
                <w:sz w:val="22"/>
                <w:szCs w:val="22"/>
              </w:rPr>
              <w:t xml:space="preserve">Wskaźniki dostępności czasowej obliczane cyklicznie na potrzeby Ministerstwa Funduszy </w:t>
            </w:r>
            <w:r w:rsidR="00A54BDC">
              <w:rPr>
                <w:rFonts w:ascii="Arial" w:hAnsi="Arial" w:cs="Arial"/>
                <w:color w:val="000000" w:themeColor="text1"/>
                <w:sz w:val="22"/>
                <w:szCs w:val="22"/>
              </w:rPr>
              <w:br/>
            </w:r>
            <w:r w:rsidRPr="00A54BDC">
              <w:rPr>
                <w:rFonts w:ascii="Arial" w:hAnsi="Arial" w:cs="Arial"/>
                <w:color w:val="000000" w:themeColor="text1"/>
                <w:sz w:val="22"/>
                <w:szCs w:val="22"/>
              </w:rPr>
              <w:t xml:space="preserve">i Polityki Regionalnej w Instytucie Geografii </w:t>
            </w:r>
            <w:r w:rsidR="00A54BDC">
              <w:rPr>
                <w:rFonts w:ascii="Arial" w:hAnsi="Arial" w:cs="Arial"/>
                <w:color w:val="000000" w:themeColor="text1"/>
                <w:sz w:val="22"/>
                <w:szCs w:val="22"/>
              </w:rPr>
              <w:br/>
            </w:r>
            <w:r w:rsidRPr="00A54BDC">
              <w:rPr>
                <w:rFonts w:ascii="Arial" w:hAnsi="Arial" w:cs="Arial"/>
                <w:color w:val="000000" w:themeColor="text1"/>
                <w:sz w:val="22"/>
                <w:szCs w:val="22"/>
              </w:rPr>
              <w:t xml:space="preserve">i Przestrzennego Zagospodarowania PAN; źródło: IGiPZ PAN lub MFiPR. Dane dotyczące czasu przejazdu w transporcie kolejowym – PKP PLK S.A. lub opcjonalnie rozkłady jazdy. Informacje o Ilości linii regularnej komunikacji autobusowej podmiejskiej dostępne są w rocznikach statystycznych województwa podkarpackiego </w:t>
            </w:r>
            <w:r w:rsidR="00A54BDC">
              <w:rPr>
                <w:rFonts w:ascii="Arial" w:hAnsi="Arial" w:cs="Arial"/>
                <w:color w:val="000000" w:themeColor="text1"/>
                <w:sz w:val="22"/>
                <w:szCs w:val="22"/>
              </w:rPr>
              <w:br/>
            </w:r>
            <w:r w:rsidRPr="00A54BDC">
              <w:rPr>
                <w:rFonts w:ascii="Arial" w:hAnsi="Arial" w:cs="Arial"/>
                <w:color w:val="000000" w:themeColor="text1"/>
                <w:sz w:val="22"/>
                <w:szCs w:val="22"/>
              </w:rPr>
              <w:t>i w BDL GUS.</w:t>
            </w:r>
          </w:p>
        </w:tc>
      </w:tr>
      <w:tr w:rsidR="006F4FD2" w:rsidRPr="00A54BDC" w14:paraId="4AF7B3B1" w14:textId="77777777" w:rsidTr="00A54BDC">
        <w:tc>
          <w:tcPr>
            <w:tcW w:w="1242" w:type="pct"/>
          </w:tcPr>
          <w:p w14:paraId="7C478505" w14:textId="77777777" w:rsidR="00197CB3" w:rsidRPr="00A54BDC" w:rsidRDefault="00197CB3" w:rsidP="00A54BDC">
            <w:pPr>
              <w:spacing w:line="276" w:lineRule="auto"/>
              <w:rPr>
                <w:rFonts w:ascii="Arial" w:hAnsi="Arial" w:cs="Arial"/>
                <w:b/>
                <w:color w:val="000000" w:themeColor="text1"/>
                <w:sz w:val="22"/>
                <w:szCs w:val="22"/>
              </w:rPr>
            </w:pPr>
            <w:r w:rsidRPr="00A54BDC">
              <w:rPr>
                <w:rFonts w:ascii="Arial" w:hAnsi="Arial" w:cs="Arial"/>
                <w:b/>
                <w:color w:val="000000" w:themeColor="text1"/>
                <w:sz w:val="22"/>
                <w:szCs w:val="22"/>
              </w:rPr>
              <w:t>Cele horyzontalne</w:t>
            </w:r>
          </w:p>
          <w:p w14:paraId="5EC71E81" w14:textId="77777777" w:rsidR="00197CB3" w:rsidRPr="00A54BDC" w:rsidRDefault="00197CB3" w:rsidP="00A54BDC">
            <w:pPr>
              <w:pStyle w:val="Akapitzlist"/>
              <w:numPr>
                <w:ilvl w:val="0"/>
                <w:numId w:val="202"/>
              </w:numPr>
              <w:spacing w:line="276" w:lineRule="auto"/>
              <w:rPr>
                <w:rFonts w:ascii="Arial" w:hAnsi="Arial" w:cs="Arial"/>
                <w:color w:val="000000" w:themeColor="text1"/>
                <w:sz w:val="22"/>
                <w:szCs w:val="22"/>
              </w:rPr>
            </w:pPr>
            <w:r w:rsidRPr="00A54BDC">
              <w:rPr>
                <w:rFonts w:ascii="Arial" w:hAnsi="Arial" w:cs="Arial"/>
                <w:color w:val="000000" w:themeColor="text1"/>
                <w:sz w:val="22"/>
                <w:szCs w:val="22"/>
              </w:rPr>
              <w:t xml:space="preserve">1. Ograniczenie negatywnego oddziaływania sektora transportu na klimat oraz na regionalne środowisko naturalne </w:t>
            </w:r>
          </w:p>
          <w:p w14:paraId="17EA274A" w14:textId="77777777" w:rsidR="00197CB3" w:rsidRPr="00A54BDC" w:rsidRDefault="00197CB3" w:rsidP="00A54BDC">
            <w:pPr>
              <w:pStyle w:val="Akapitzlist"/>
              <w:numPr>
                <w:ilvl w:val="0"/>
                <w:numId w:val="202"/>
              </w:numPr>
              <w:spacing w:line="276" w:lineRule="auto"/>
              <w:rPr>
                <w:rFonts w:ascii="Arial" w:hAnsi="Arial" w:cs="Arial"/>
                <w:color w:val="000000" w:themeColor="text1"/>
                <w:sz w:val="22"/>
                <w:szCs w:val="22"/>
              </w:rPr>
            </w:pPr>
            <w:r w:rsidRPr="00A54BDC">
              <w:rPr>
                <w:rFonts w:ascii="Arial" w:hAnsi="Arial" w:cs="Arial"/>
                <w:color w:val="000000" w:themeColor="text1"/>
                <w:sz w:val="22"/>
                <w:szCs w:val="22"/>
              </w:rPr>
              <w:t xml:space="preserve">2. Wzmocnienie rozwiązań multimodalnych </w:t>
            </w:r>
          </w:p>
          <w:p w14:paraId="0CF1EEFE" w14:textId="77777777" w:rsidR="00197CB3" w:rsidRPr="00A54BDC" w:rsidRDefault="00197CB3" w:rsidP="00A54BDC">
            <w:pPr>
              <w:pStyle w:val="Akapitzlist"/>
              <w:numPr>
                <w:ilvl w:val="0"/>
                <w:numId w:val="202"/>
              </w:numPr>
              <w:spacing w:line="276" w:lineRule="auto"/>
              <w:rPr>
                <w:rFonts w:ascii="Arial" w:hAnsi="Arial" w:cs="Arial"/>
                <w:color w:val="000000" w:themeColor="text1"/>
                <w:sz w:val="22"/>
                <w:szCs w:val="22"/>
              </w:rPr>
            </w:pPr>
            <w:r w:rsidRPr="00A54BDC">
              <w:rPr>
                <w:rFonts w:ascii="Arial" w:hAnsi="Arial" w:cs="Arial"/>
                <w:color w:val="000000" w:themeColor="text1"/>
                <w:sz w:val="22"/>
                <w:szCs w:val="22"/>
              </w:rPr>
              <w:t>3. Rozwój transportu publicznego</w:t>
            </w:r>
          </w:p>
          <w:p w14:paraId="6035F566" w14:textId="417A5AB0" w:rsidR="00197CB3" w:rsidRPr="00A54BDC" w:rsidRDefault="00197CB3" w:rsidP="00A54BDC">
            <w:pPr>
              <w:pStyle w:val="Akapitzlist"/>
              <w:numPr>
                <w:ilvl w:val="0"/>
                <w:numId w:val="202"/>
              </w:numPr>
              <w:spacing w:line="276" w:lineRule="auto"/>
              <w:rPr>
                <w:rFonts w:ascii="Arial" w:hAnsi="Arial" w:cs="Arial"/>
                <w:color w:val="000000" w:themeColor="text1"/>
                <w:sz w:val="22"/>
                <w:szCs w:val="22"/>
              </w:rPr>
            </w:pPr>
            <w:r w:rsidRPr="00A54BDC">
              <w:rPr>
                <w:rFonts w:ascii="Arial" w:hAnsi="Arial" w:cs="Arial"/>
                <w:color w:val="000000" w:themeColor="text1"/>
                <w:sz w:val="22"/>
                <w:szCs w:val="22"/>
              </w:rPr>
              <w:t xml:space="preserve">4. Poprawa bezpieczeństwa </w:t>
            </w:r>
            <w:r w:rsidR="00FF5524">
              <w:rPr>
                <w:rFonts w:ascii="Arial" w:hAnsi="Arial" w:cs="Arial"/>
                <w:color w:val="000000" w:themeColor="text1"/>
                <w:sz w:val="22"/>
                <w:szCs w:val="22"/>
              </w:rPr>
              <w:br/>
            </w:r>
            <w:r w:rsidRPr="00A54BDC">
              <w:rPr>
                <w:rFonts w:ascii="Arial" w:hAnsi="Arial" w:cs="Arial"/>
                <w:color w:val="000000" w:themeColor="text1"/>
                <w:sz w:val="22"/>
                <w:szCs w:val="22"/>
              </w:rPr>
              <w:t xml:space="preserve">w transporcie </w:t>
            </w:r>
          </w:p>
        </w:tc>
        <w:tc>
          <w:tcPr>
            <w:tcW w:w="2027" w:type="pct"/>
          </w:tcPr>
          <w:p w14:paraId="1114452A" w14:textId="4F71677C" w:rsidR="00197CB3" w:rsidRPr="00A54BDC" w:rsidRDefault="00197CB3" w:rsidP="00A54BDC">
            <w:pPr>
              <w:pStyle w:val="Akapitzlist"/>
              <w:numPr>
                <w:ilvl w:val="0"/>
                <w:numId w:val="203"/>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 xml:space="preserve">Odsetek korzystających z transportu kolejowego </w:t>
            </w:r>
            <w:r w:rsidR="00A54BDC">
              <w:rPr>
                <w:rFonts w:ascii="Arial" w:hAnsi="Arial" w:cs="Arial"/>
                <w:color w:val="000000" w:themeColor="text1"/>
                <w:sz w:val="22"/>
                <w:szCs w:val="22"/>
              </w:rPr>
              <w:br/>
            </w:r>
            <w:r w:rsidRPr="00A54BDC">
              <w:rPr>
                <w:rFonts w:ascii="Arial" w:hAnsi="Arial" w:cs="Arial"/>
                <w:color w:val="000000" w:themeColor="text1"/>
                <w:sz w:val="22"/>
                <w:szCs w:val="22"/>
              </w:rPr>
              <w:t>w dojazdach do pracy – oczekiwany trend: zwiększenie liczby korzystających;</w:t>
            </w:r>
          </w:p>
          <w:p w14:paraId="51AE2071" w14:textId="2FFA2BEB" w:rsidR="00197CB3" w:rsidRPr="00A54BDC" w:rsidRDefault="00197CB3" w:rsidP="00A54BDC">
            <w:pPr>
              <w:pStyle w:val="Akapitzlist"/>
              <w:numPr>
                <w:ilvl w:val="0"/>
                <w:numId w:val="203"/>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 xml:space="preserve">Odsetek korzystających z transportu publicznego </w:t>
            </w:r>
            <w:r w:rsidR="00FF5524">
              <w:rPr>
                <w:rFonts w:ascii="Arial" w:hAnsi="Arial" w:cs="Arial"/>
                <w:color w:val="000000" w:themeColor="text1"/>
                <w:sz w:val="22"/>
                <w:szCs w:val="22"/>
              </w:rPr>
              <w:br/>
            </w:r>
            <w:r w:rsidRPr="00A54BDC">
              <w:rPr>
                <w:rFonts w:ascii="Arial" w:hAnsi="Arial" w:cs="Arial"/>
                <w:color w:val="000000" w:themeColor="text1"/>
                <w:sz w:val="22"/>
                <w:szCs w:val="22"/>
              </w:rPr>
              <w:t>w dojazdach do pracy – oczekiwany trend: zwiększenie liczby korzystających;</w:t>
            </w:r>
          </w:p>
          <w:p w14:paraId="201F7422" w14:textId="77777777" w:rsidR="00197CB3" w:rsidRPr="00A54BDC" w:rsidRDefault="00197CB3" w:rsidP="00A54BDC">
            <w:pPr>
              <w:pStyle w:val="Akapitzlist"/>
              <w:numPr>
                <w:ilvl w:val="0"/>
                <w:numId w:val="203"/>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Stosunek wskaźnika czasu dojazdu transportem kolejowym do czasu w transporcie drogowym z ośrodków gminnych w MOF do jego rdzenia – oczekiwany trend: skrócenie czasu podróży, przy jednoczesnym wskazaniu na zwiększenie oszczędności czasu przy wyborze transportu szynowego;</w:t>
            </w:r>
          </w:p>
          <w:p w14:paraId="71B6F119" w14:textId="77777777" w:rsidR="00197CB3" w:rsidRPr="00A54BDC" w:rsidRDefault="00197CB3" w:rsidP="00A54BDC">
            <w:pPr>
              <w:pStyle w:val="Akapitzlist"/>
              <w:numPr>
                <w:ilvl w:val="0"/>
                <w:numId w:val="203"/>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Poziom ruchu ciężkiego na trasach przelotowych w rdzeniu MOF – oczekiwany trend: zmniejszenie wspomnianego rodzaju ruchu;</w:t>
            </w:r>
          </w:p>
          <w:p w14:paraId="124C477E" w14:textId="77777777" w:rsidR="00197CB3" w:rsidRPr="00A54BDC" w:rsidRDefault="00197CB3" w:rsidP="00A54BDC">
            <w:pPr>
              <w:pStyle w:val="Akapitzlist"/>
              <w:numPr>
                <w:ilvl w:val="0"/>
                <w:numId w:val="203"/>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Liczba wypadków drogowych wewnątrz MOF – oczekiwany trend: zmniejszenie liczby wypadków;</w:t>
            </w:r>
          </w:p>
          <w:p w14:paraId="135F668C" w14:textId="77777777" w:rsidR="00197CB3" w:rsidRPr="00A54BDC" w:rsidRDefault="00197CB3" w:rsidP="00A54BDC">
            <w:pPr>
              <w:pStyle w:val="Akapitzlist"/>
              <w:numPr>
                <w:ilvl w:val="0"/>
                <w:numId w:val="203"/>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Liczba wypadków w województwie ogółem – oczekiwany trend: zmniejszenie liczby wypadków;</w:t>
            </w:r>
          </w:p>
          <w:p w14:paraId="4DEDBE0F" w14:textId="5D56B5AE" w:rsidR="00197CB3" w:rsidRPr="00A54BDC" w:rsidRDefault="00197CB3" w:rsidP="00A54BDC">
            <w:pPr>
              <w:pStyle w:val="Akapitzlist"/>
              <w:numPr>
                <w:ilvl w:val="0"/>
                <w:numId w:val="203"/>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 xml:space="preserve">Wielkość emisji gazów cieplarnianych z transportu </w:t>
            </w:r>
            <w:r w:rsidR="00A54BDC">
              <w:rPr>
                <w:rFonts w:ascii="Arial" w:hAnsi="Arial" w:cs="Arial"/>
                <w:color w:val="000000" w:themeColor="text1"/>
                <w:sz w:val="22"/>
                <w:szCs w:val="22"/>
              </w:rPr>
              <w:br/>
            </w:r>
            <w:r w:rsidRPr="00A54BDC">
              <w:rPr>
                <w:rFonts w:ascii="Arial" w:hAnsi="Arial" w:cs="Arial"/>
                <w:color w:val="000000" w:themeColor="text1"/>
                <w:sz w:val="22"/>
                <w:szCs w:val="22"/>
              </w:rPr>
              <w:t>z rozbiciem na emisję:</w:t>
            </w:r>
          </w:p>
          <w:p w14:paraId="34A11DF1" w14:textId="77777777" w:rsidR="00197CB3" w:rsidRPr="00A54BDC" w:rsidRDefault="00197CB3" w:rsidP="00A54BDC">
            <w:pPr>
              <w:pStyle w:val="Akapitzlist"/>
              <w:numPr>
                <w:ilvl w:val="0"/>
                <w:numId w:val="204"/>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dwutlenku węgla,</w:t>
            </w:r>
          </w:p>
          <w:p w14:paraId="24066DE2" w14:textId="77777777" w:rsidR="00197CB3" w:rsidRPr="00A54BDC" w:rsidRDefault="00197CB3" w:rsidP="00A54BDC">
            <w:pPr>
              <w:pStyle w:val="Akapitzlist"/>
              <w:numPr>
                <w:ilvl w:val="0"/>
                <w:numId w:val="204"/>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metanu,</w:t>
            </w:r>
          </w:p>
          <w:p w14:paraId="25B24DF2" w14:textId="77777777" w:rsidR="00197CB3" w:rsidRPr="00A54BDC" w:rsidRDefault="00197CB3" w:rsidP="00A54BDC">
            <w:pPr>
              <w:pStyle w:val="Akapitzlist"/>
              <w:numPr>
                <w:ilvl w:val="0"/>
                <w:numId w:val="204"/>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podtlenku azotu</w:t>
            </w:r>
          </w:p>
          <w:p w14:paraId="44650465" w14:textId="77777777" w:rsidR="00197CB3" w:rsidRPr="00A54BDC" w:rsidRDefault="00197CB3" w:rsidP="00A54BDC">
            <w:pPr>
              <w:pStyle w:val="Akapitzlist"/>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 oczekiwany trend: zmniejszenie poziomu emisji ww. gazów z transportu do atmosfery.</w:t>
            </w:r>
          </w:p>
          <w:p w14:paraId="72667B78" w14:textId="77777777" w:rsidR="00197CB3" w:rsidRPr="00A54BDC" w:rsidRDefault="00197CB3" w:rsidP="00A54BDC">
            <w:pPr>
              <w:pStyle w:val="Akapitzlist"/>
              <w:numPr>
                <w:ilvl w:val="0"/>
                <w:numId w:val="203"/>
              </w:numPr>
              <w:spacing w:line="276" w:lineRule="auto"/>
              <w:ind w:left="180" w:right="-61" w:hanging="180"/>
              <w:rPr>
                <w:rFonts w:ascii="Arial" w:hAnsi="Arial" w:cs="Arial"/>
                <w:color w:val="000000" w:themeColor="text1"/>
                <w:sz w:val="22"/>
                <w:szCs w:val="22"/>
              </w:rPr>
            </w:pPr>
            <w:r w:rsidRPr="00A54BDC">
              <w:rPr>
                <w:rFonts w:ascii="Arial" w:hAnsi="Arial" w:cs="Arial"/>
                <w:color w:val="000000" w:themeColor="text1"/>
                <w:sz w:val="22"/>
                <w:szCs w:val="22"/>
              </w:rPr>
              <w:t>Ilość zużytej energii elektrycznej w transporcie (kontekst monitoringu ekomobilności w celu Transport publiczny) – oczekiwany trend: zwiększenie wykorzystania prądu elektryczny (zużycie w GWh).</w:t>
            </w:r>
          </w:p>
        </w:tc>
        <w:tc>
          <w:tcPr>
            <w:tcW w:w="1731" w:type="pct"/>
          </w:tcPr>
          <w:p w14:paraId="609B9032" w14:textId="3EA6CBD7" w:rsidR="00197CB3" w:rsidRPr="00A54BDC" w:rsidRDefault="00197CB3" w:rsidP="00A54BDC">
            <w:pPr>
              <w:spacing w:line="276" w:lineRule="auto"/>
              <w:rPr>
                <w:rFonts w:ascii="Arial" w:hAnsi="Arial" w:cs="Arial"/>
                <w:color w:val="000000" w:themeColor="text1"/>
                <w:sz w:val="22"/>
                <w:szCs w:val="22"/>
              </w:rPr>
            </w:pPr>
            <w:r w:rsidRPr="00A54BDC">
              <w:rPr>
                <w:rFonts w:ascii="Arial" w:hAnsi="Arial" w:cs="Arial"/>
                <w:color w:val="000000" w:themeColor="text1"/>
                <w:sz w:val="22"/>
                <w:szCs w:val="22"/>
              </w:rPr>
              <w:t>Przeprowadzane systematycznie Kompleksowe Badania Ruchu. Wskaźniki dostępności czasowej obliczane cyklicznie na potrzeby Ministerstwa Funduszy i Polityki Regionalnej w Instytucie Geografii i Przestrzennego Zagospodarowania PAN; źródło: IGiPZ PAN lub MFiPR. Dane dotyczące czasu przejazdu w transporcie kolejowym – PKP PLK S.A. lub opcjonalnie rozkłady jazdy. Dane zarządów dróg oraz PKP PLK S.A. Wyniki Generalnego Pomiaru Ruchu 2015, 2020</w:t>
            </w:r>
            <w:r w:rsidR="00715D0A" w:rsidRPr="00A54BDC">
              <w:rPr>
                <w:rFonts w:ascii="Arial" w:hAnsi="Arial" w:cs="Arial"/>
                <w:color w:val="000000" w:themeColor="text1"/>
                <w:sz w:val="22"/>
                <w:szCs w:val="22"/>
              </w:rPr>
              <w:t>-</w:t>
            </w:r>
            <w:r w:rsidR="0061748E" w:rsidRPr="00A54BDC">
              <w:rPr>
                <w:rFonts w:ascii="Arial" w:hAnsi="Arial" w:cs="Arial"/>
                <w:color w:val="000000" w:themeColor="text1"/>
                <w:sz w:val="22"/>
                <w:szCs w:val="22"/>
              </w:rPr>
              <w:t>21</w:t>
            </w:r>
            <w:r w:rsidRPr="00A54BDC">
              <w:rPr>
                <w:rFonts w:ascii="Arial" w:hAnsi="Arial" w:cs="Arial"/>
                <w:color w:val="000000" w:themeColor="text1"/>
                <w:sz w:val="22"/>
                <w:szCs w:val="22"/>
              </w:rPr>
              <w:t>. Baza wypadków drogowych SEWiK, Komenda Główna Policji. Wielkość emisji gazów – KOBiZE lub GUS. Dane dotyczące wykorzystania energii elektrycznej w transporcie dostępne są m.in. w BDL GUS.</w:t>
            </w:r>
          </w:p>
        </w:tc>
      </w:tr>
    </w:tbl>
    <w:p w14:paraId="00E2F2CB" w14:textId="0E97517A" w:rsidR="00197CB3" w:rsidRPr="009B78DA" w:rsidRDefault="00197CB3" w:rsidP="00A54BDC">
      <w:pPr>
        <w:spacing w:before="120" w:after="120" w:line="276" w:lineRule="auto"/>
        <w:rPr>
          <w:rFonts w:ascii="Arial" w:hAnsi="Arial" w:cs="Arial"/>
          <w:color w:val="000000" w:themeColor="text1"/>
          <w:sz w:val="22"/>
          <w:szCs w:val="22"/>
        </w:rPr>
      </w:pPr>
      <w:bookmarkStart w:id="421" w:name="_Hlk101363244"/>
      <w:bookmarkEnd w:id="419"/>
      <w:r w:rsidRPr="009B78DA">
        <w:rPr>
          <w:rFonts w:ascii="Arial" w:hAnsi="Arial" w:cs="Arial"/>
          <w:color w:val="000000" w:themeColor="text1"/>
          <w:sz w:val="22"/>
          <w:szCs w:val="22"/>
        </w:rPr>
        <w:t>* Wartości bazowe dla wymienionych w tabeli wskaźników zostaną określone w stosowny sposób w momencie realizacji zleconego badania.</w:t>
      </w:r>
    </w:p>
    <w:p w14:paraId="6BEE7F5C" w14:textId="0C121220" w:rsidR="00B63866" w:rsidRPr="009B78DA" w:rsidRDefault="00B63866" w:rsidP="00A54BDC">
      <w:pPr>
        <w:pStyle w:val="Legenda"/>
        <w:keepNext/>
        <w:spacing w:before="120" w:after="120" w:line="276" w:lineRule="auto"/>
        <w:jc w:val="both"/>
        <w:rPr>
          <w:rFonts w:ascii="Arial" w:hAnsi="Arial" w:cs="Arial"/>
          <w:i w:val="0"/>
          <w:color w:val="000000" w:themeColor="text1"/>
          <w:sz w:val="22"/>
          <w:szCs w:val="22"/>
        </w:rPr>
      </w:pPr>
      <w:bookmarkStart w:id="422" w:name="_Toc146785768"/>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Tabela monitoringowa realizacji Programu Strategicznego Rozwoju Transportu Województwa Podkarpackiego do roku 2030*</w:t>
      </w:r>
      <w:bookmarkEnd w:id="422"/>
    </w:p>
    <w:tbl>
      <w:tblPr>
        <w:tblStyle w:val="Tabela-Siatka1"/>
        <w:tblW w:w="5000" w:type="pct"/>
        <w:tblLook w:val="04A0" w:firstRow="1" w:lastRow="0" w:firstColumn="1" w:lastColumn="0" w:noHBand="0" w:noVBand="1"/>
        <w:tblCaption w:val="Tabela 38 Tabela monitoringowa realizacji Programu Strategicznego Rozwoju Transportu Województwa Podkarpackiego do roku 2030*"/>
        <w:tblDescription w:val="Tabela zawiera Cele PSRT WP, Miernik osiągnięcia celu, Poziom osiągnięcia Celu podstawowego względem stanu systemu transportowego regionu z roku 2021 (Ocena progresu) w % dla roku: 2022, 2026, 2030"/>
      </w:tblPr>
      <w:tblGrid>
        <w:gridCol w:w="1610"/>
        <w:gridCol w:w="2559"/>
        <w:gridCol w:w="8105"/>
        <w:gridCol w:w="1037"/>
        <w:gridCol w:w="1037"/>
        <w:gridCol w:w="1040"/>
      </w:tblGrid>
      <w:tr w:rsidR="00A618B7" w:rsidRPr="00A54BDC" w14:paraId="0056515A" w14:textId="77777777" w:rsidTr="00985B1E">
        <w:trPr>
          <w:trHeight w:val="1591"/>
          <w:tblHeader/>
        </w:trPr>
        <w:tc>
          <w:tcPr>
            <w:tcW w:w="1262" w:type="pct"/>
            <w:gridSpan w:val="2"/>
            <w:vMerge w:val="restart"/>
            <w:shd w:val="clear" w:color="auto" w:fill="BDD6EE" w:themeFill="accent1" w:themeFillTint="66"/>
            <w:vAlign w:val="center"/>
            <w:hideMark/>
          </w:tcPr>
          <w:p w14:paraId="431556D3" w14:textId="77777777" w:rsidR="008569B3" w:rsidRPr="00A54BDC" w:rsidRDefault="008569B3" w:rsidP="00985B1E">
            <w:pPr>
              <w:spacing w:line="276" w:lineRule="auto"/>
              <w:jc w:val="center"/>
              <w:rPr>
                <w:rFonts w:ascii="Arial" w:hAnsi="Arial" w:cs="Arial"/>
                <w:b/>
                <w:bCs/>
                <w:color w:val="000000" w:themeColor="text1"/>
                <w:sz w:val="22"/>
                <w:szCs w:val="22"/>
              </w:rPr>
            </w:pPr>
            <w:r w:rsidRPr="00A54BDC">
              <w:rPr>
                <w:rFonts w:ascii="Arial" w:hAnsi="Arial" w:cs="Arial"/>
                <w:b/>
                <w:bCs/>
                <w:color w:val="000000" w:themeColor="text1"/>
                <w:sz w:val="22"/>
                <w:szCs w:val="22"/>
              </w:rPr>
              <w:t>Cele PSRT WP</w:t>
            </w:r>
          </w:p>
        </w:tc>
        <w:tc>
          <w:tcPr>
            <w:tcW w:w="2657" w:type="pct"/>
            <w:vMerge w:val="restart"/>
            <w:shd w:val="clear" w:color="auto" w:fill="BDD6EE" w:themeFill="accent1" w:themeFillTint="66"/>
            <w:vAlign w:val="center"/>
            <w:hideMark/>
          </w:tcPr>
          <w:p w14:paraId="24B0B153" w14:textId="77777777" w:rsidR="008569B3" w:rsidRPr="00A54BDC" w:rsidRDefault="008569B3" w:rsidP="00985B1E">
            <w:pPr>
              <w:spacing w:line="276" w:lineRule="auto"/>
              <w:jc w:val="center"/>
              <w:rPr>
                <w:rFonts w:ascii="Arial" w:hAnsi="Arial" w:cs="Arial"/>
                <w:b/>
                <w:bCs/>
                <w:color w:val="000000" w:themeColor="text1"/>
                <w:sz w:val="22"/>
                <w:szCs w:val="22"/>
              </w:rPr>
            </w:pPr>
            <w:r w:rsidRPr="00A54BDC">
              <w:rPr>
                <w:rFonts w:ascii="Arial" w:hAnsi="Arial" w:cs="Arial"/>
                <w:b/>
                <w:bCs/>
                <w:color w:val="000000" w:themeColor="text1"/>
                <w:sz w:val="22"/>
                <w:szCs w:val="22"/>
              </w:rPr>
              <w:t>Miernik osiągnięcia celu</w:t>
            </w:r>
          </w:p>
        </w:tc>
        <w:tc>
          <w:tcPr>
            <w:tcW w:w="1081" w:type="pct"/>
            <w:gridSpan w:val="3"/>
            <w:shd w:val="clear" w:color="auto" w:fill="BDD6EE" w:themeFill="accent1" w:themeFillTint="66"/>
            <w:vAlign w:val="center"/>
            <w:hideMark/>
          </w:tcPr>
          <w:p w14:paraId="298F7A5F" w14:textId="1834F86F" w:rsidR="008569B3" w:rsidRPr="00A54BDC" w:rsidRDefault="008569B3" w:rsidP="00985B1E">
            <w:pPr>
              <w:spacing w:line="276" w:lineRule="auto"/>
              <w:jc w:val="center"/>
              <w:rPr>
                <w:rFonts w:ascii="Arial" w:hAnsi="Arial" w:cs="Arial"/>
                <w:b/>
                <w:bCs/>
                <w:color w:val="000000" w:themeColor="text1"/>
                <w:sz w:val="22"/>
                <w:szCs w:val="22"/>
              </w:rPr>
            </w:pPr>
            <w:r w:rsidRPr="00A54BDC">
              <w:rPr>
                <w:rFonts w:ascii="Arial" w:hAnsi="Arial" w:cs="Arial"/>
                <w:b/>
                <w:bCs/>
                <w:color w:val="000000" w:themeColor="text1"/>
                <w:sz w:val="22"/>
                <w:szCs w:val="22"/>
              </w:rPr>
              <w:t xml:space="preserve">Poziom osiągnięcia Celu podstawowego względem stanu systemu transportowego regionu </w:t>
            </w:r>
            <w:r w:rsidR="00A54BDC">
              <w:rPr>
                <w:rFonts w:ascii="Arial" w:hAnsi="Arial" w:cs="Arial"/>
                <w:b/>
                <w:bCs/>
                <w:color w:val="000000" w:themeColor="text1"/>
                <w:sz w:val="22"/>
                <w:szCs w:val="22"/>
              </w:rPr>
              <w:br/>
            </w:r>
            <w:r w:rsidRPr="00A54BDC">
              <w:rPr>
                <w:rFonts w:ascii="Arial" w:hAnsi="Arial" w:cs="Arial"/>
                <w:b/>
                <w:bCs/>
                <w:color w:val="000000" w:themeColor="text1"/>
                <w:sz w:val="22"/>
                <w:szCs w:val="22"/>
              </w:rPr>
              <w:t>z roku 2021 (Ocena progresu)</w:t>
            </w:r>
          </w:p>
        </w:tc>
      </w:tr>
      <w:tr w:rsidR="00A618B7" w:rsidRPr="00A54BDC" w14:paraId="6260FB0C" w14:textId="77777777" w:rsidTr="00985B1E">
        <w:trPr>
          <w:trHeight w:val="270"/>
          <w:tblHeader/>
        </w:trPr>
        <w:tc>
          <w:tcPr>
            <w:tcW w:w="1262" w:type="pct"/>
            <w:gridSpan w:val="2"/>
            <w:vMerge/>
            <w:shd w:val="clear" w:color="auto" w:fill="BDD6EE" w:themeFill="accent1" w:themeFillTint="66"/>
            <w:vAlign w:val="center"/>
            <w:hideMark/>
          </w:tcPr>
          <w:p w14:paraId="0A7B9E13"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2657" w:type="pct"/>
            <w:vMerge/>
            <w:shd w:val="clear" w:color="auto" w:fill="BDD6EE" w:themeFill="accent1" w:themeFillTint="66"/>
            <w:vAlign w:val="center"/>
            <w:hideMark/>
          </w:tcPr>
          <w:p w14:paraId="436BF11B"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1081" w:type="pct"/>
            <w:gridSpan w:val="3"/>
            <w:shd w:val="clear" w:color="auto" w:fill="BDD6EE" w:themeFill="accent1" w:themeFillTint="66"/>
            <w:vAlign w:val="center"/>
            <w:hideMark/>
          </w:tcPr>
          <w:p w14:paraId="1F0D757D" w14:textId="77777777" w:rsidR="008569B3" w:rsidRPr="00A54BDC" w:rsidRDefault="008569B3" w:rsidP="00985B1E">
            <w:pPr>
              <w:spacing w:line="276" w:lineRule="auto"/>
              <w:jc w:val="center"/>
              <w:rPr>
                <w:rFonts w:ascii="Arial" w:hAnsi="Arial" w:cs="Arial"/>
                <w:b/>
                <w:bCs/>
                <w:color w:val="000000" w:themeColor="text1"/>
                <w:sz w:val="22"/>
                <w:szCs w:val="22"/>
              </w:rPr>
            </w:pPr>
            <w:r w:rsidRPr="00A54BDC">
              <w:rPr>
                <w:rFonts w:ascii="Arial" w:hAnsi="Arial" w:cs="Arial"/>
                <w:b/>
                <w:bCs/>
                <w:color w:val="000000" w:themeColor="text1"/>
                <w:sz w:val="22"/>
                <w:szCs w:val="22"/>
              </w:rPr>
              <w:t>w % dla roku:</w:t>
            </w:r>
          </w:p>
        </w:tc>
      </w:tr>
      <w:tr w:rsidR="00A618B7" w:rsidRPr="00A54BDC" w14:paraId="3235BC6E" w14:textId="77777777" w:rsidTr="00985B1E">
        <w:trPr>
          <w:trHeight w:val="70"/>
          <w:tblHeader/>
        </w:trPr>
        <w:tc>
          <w:tcPr>
            <w:tcW w:w="1262" w:type="pct"/>
            <w:gridSpan w:val="2"/>
            <w:vMerge/>
            <w:shd w:val="clear" w:color="auto" w:fill="BDD6EE" w:themeFill="accent1" w:themeFillTint="66"/>
            <w:vAlign w:val="center"/>
            <w:hideMark/>
          </w:tcPr>
          <w:p w14:paraId="3D8BF5DE"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2657" w:type="pct"/>
            <w:vMerge/>
            <w:shd w:val="clear" w:color="auto" w:fill="BDD6EE" w:themeFill="accent1" w:themeFillTint="66"/>
            <w:vAlign w:val="center"/>
            <w:hideMark/>
          </w:tcPr>
          <w:p w14:paraId="3D641ED0"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360" w:type="pct"/>
            <w:shd w:val="clear" w:color="auto" w:fill="BDD6EE" w:themeFill="accent1" w:themeFillTint="66"/>
            <w:vAlign w:val="center"/>
            <w:hideMark/>
          </w:tcPr>
          <w:p w14:paraId="44FEF13F" w14:textId="77777777" w:rsidR="008569B3" w:rsidRPr="00A54BDC" w:rsidRDefault="008569B3" w:rsidP="00985B1E">
            <w:pPr>
              <w:spacing w:line="276" w:lineRule="auto"/>
              <w:jc w:val="center"/>
              <w:rPr>
                <w:rFonts w:ascii="Arial" w:hAnsi="Arial" w:cs="Arial"/>
                <w:b/>
                <w:color w:val="000000" w:themeColor="text1"/>
                <w:sz w:val="22"/>
                <w:szCs w:val="22"/>
              </w:rPr>
            </w:pPr>
            <w:r w:rsidRPr="00A54BDC">
              <w:rPr>
                <w:rFonts w:ascii="Arial" w:hAnsi="Arial" w:cs="Arial"/>
                <w:b/>
                <w:color w:val="000000" w:themeColor="text1"/>
                <w:sz w:val="22"/>
                <w:szCs w:val="22"/>
              </w:rPr>
              <w:t>2022</w:t>
            </w:r>
          </w:p>
        </w:tc>
        <w:tc>
          <w:tcPr>
            <w:tcW w:w="360" w:type="pct"/>
            <w:shd w:val="clear" w:color="auto" w:fill="BDD6EE" w:themeFill="accent1" w:themeFillTint="66"/>
            <w:vAlign w:val="center"/>
            <w:hideMark/>
          </w:tcPr>
          <w:p w14:paraId="0379D602" w14:textId="77777777" w:rsidR="008569B3" w:rsidRPr="00A54BDC" w:rsidRDefault="008569B3" w:rsidP="00985B1E">
            <w:pPr>
              <w:spacing w:line="276" w:lineRule="auto"/>
              <w:jc w:val="center"/>
              <w:rPr>
                <w:rFonts w:ascii="Arial" w:hAnsi="Arial" w:cs="Arial"/>
                <w:b/>
                <w:color w:val="000000" w:themeColor="text1"/>
                <w:sz w:val="22"/>
                <w:szCs w:val="22"/>
              </w:rPr>
            </w:pPr>
            <w:r w:rsidRPr="00A54BDC">
              <w:rPr>
                <w:rFonts w:ascii="Arial" w:hAnsi="Arial" w:cs="Arial"/>
                <w:b/>
                <w:color w:val="000000" w:themeColor="text1"/>
                <w:sz w:val="22"/>
                <w:szCs w:val="22"/>
              </w:rPr>
              <w:t>2026</w:t>
            </w:r>
          </w:p>
        </w:tc>
        <w:tc>
          <w:tcPr>
            <w:tcW w:w="360" w:type="pct"/>
            <w:shd w:val="clear" w:color="auto" w:fill="BDD6EE" w:themeFill="accent1" w:themeFillTint="66"/>
            <w:vAlign w:val="center"/>
            <w:hideMark/>
          </w:tcPr>
          <w:p w14:paraId="7413AF37" w14:textId="77777777" w:rsidR="008569B3" w:rsidRPr="00A54BDC" w:rsidRDefault="008569B3" w:rsidP="00985B1E">
            <w:pPr>
              <w:spacing w:line="276" w:lineRule="auto"/>
              <w:jc w:val="center"/>
              <w:rPr>
                <w:rFonts w:ascii="Arial" w:hAnsi="Arial" w:cs="Arial"/>
                <w:b/>
                <w:bCs/>
                <w:color w:val="000000" w:themeColor="text1"/>
                <w:sz w:val="22"/>
                <w:szCs w:val="22"/>
              </w:rPr>
            </w:pPr>
            <w:r w:rsidRPr="00A54BDC">
              <w:rPr>
                <w:rFonts w:ascii="Arial" w:hAnsi="Arial" w:cs="Arial"/>
                <w:b/>
                <w:bCs/>
                <w:color w:val="000000" w:themeColor="text1"/>
                <w:sz w:val="22"/>
                <w:szCs w:val="22"/>
              </w:rPr>
              <w:t>2030</w:t>
            </w:r>
          </w:p>
        </w:tc>
      </w:tr>
      <w:tr w:rsidR="00A618B7" w:rsidRPr="00A54BDC" w14:paraId="709B3BDE" w14:textId="77777777" w:rsidTr="00985B1E">
        <w:trPr>
          <w:trHeight w:val="780"/>
        </w:trPr>
        <w:tc>
          <w:tcPr>
            <w:tcW w:w="407" w:type="pct"/>
            <w:vMerge w:val="restart"/>
            <w:shd w:val="clear" w:color="auto" w:fill="DEEAF6" w:themeFill="accent1" w:themeFillTint="33"/>
            <w:vAlign w:val="center"/>
            <w:hideMark/>
          </w:tcPr>
          <w:p w14:paraId="528A8DB8" w14:textId="77777777" w:rsidR="008569B3" w:rsidRPr="00A54BDC" w:rsidRDefault="008569B3" w:rsidP="00985B1E">
            <w:pPr>
              <w:spacing w:line="276" w:lineRule="auto"/>
              <w:jc w:val="center"/>
              <w:rPr>
                <w:rFonts w:ascii="Arial" w:hAnsi="Arial" w:cs="Arial"/>
                <w:b/>
                <w:bCs/>
                <w:color w:val="000000" w:themeColor="text1"/>
                <w:sz w:val="22"/>
                <w:szCs w:val="22"/>
              </w:rPr>
            </w:pPr>
            <w:r w:rsidRPr="00A54BDC">
              <w:rPr>
                <w:rFonts w:ascii="Arial" w:hAnsi="Arial" w:cs="Arial"/>
                <w:b/>
                <w:bCs/>
                <w:color w:val="000000" w:themeColor="text1"/>
                <w:sz w:val="22"/>
                <w:szCs w:val="22"/>
              </w:rPr>
              <w:t>Podstawowe</w:t>
            </w:r>
          </w:p>
        </w:tc>
        <w:tc>
          <w:tcPr>
            <w:tcW w:w="854" w:type="pct"/>
            <w:shd w:val="clear" w:color="auto" w:fill="D5DCE4" w:themeFill="text2" w:themeFillTint="33"/>
            <w:vAlign w:val="center"/>
          </w:tcPr>
          <w:p w14:paraId="286BA9CE" w14:textId="277AEDB0" w:rsidR="008569B3" w:rsidRPr="00A54BDC" w:rsidRDefault="00A54BDC" w:rsidP="00985B1E">
            <w:pPr>
              <w:spacing w:line="276" w:lineRule="auto"/>
              <w:jc w:val="center"/>
              <w:rPr>
                <w:rFonts w:ascii="Arial" w:hAnsi="Arial" w:cs="Arial"/>
                <w:b/>
                <w:bCs/>
                <w:color w:val="000000" w:themeColor="text1"/>
                <w:sz w:val="22"/>
                <w:szCs w:val="22"/>
              </w:rPr>
            </w:pPr>
            <w:r>
              <w:rPr>
                <w:rFonts w:ascii="Arial" w:hAnsi="Arial" w:cs="Arial"/>
                <w:b/>
                <w:bCs/>
                <w:color w:val="000000" w:themeColor="text1"/>
                <w:sz w:val="22"/>
                <w:szCs w:val="22"/>
              </w:rPr>
              <w:t xml:space="preserve">1. </w:t>
            </w:r>
            <w:r w:rsidR="008569B3" w:rsidRPr="00A54BDC">
              <w:rPr>
                <w:rFonts w:ascii="Arial" w:hAnsi="Arial" w:cs="Arial"/>
                <w:b/>
                <w:bCs/>
                <w:color w:val="000000" w:themeColor="text1"/>
                <w:sz w:val="22"/>
                <w:szCs w:val="22"/>
              </w:rPr>
              <w:t>Dostępność zewnętrzna</w:t>
            </w:r>
          </w:p>
        </w:tc>
        <w:tc>
          <w:tcPr>
            <w:tcW w:w="2657" w:type="pct"/>
            <w:vAlign w:val="center"/>
          </w:tcPr>
          <w:p w14:paraId="455E1522" w14:textId="77777777" w:rsidR="008569B3" w:rsidRPr="00A54BDC" w:rsidRDefault="008569B3" w:rsidP="00985B1E">
            <w:pPr>
              <w:spacing w:line="276" w:lineRule="auto"/>
              <w:jc w:val="center"/>
              <w:rPr>
                <w:rFonts w:ascii="Arial" w:hAnsi="Arial" w:cs="Arial"/>
                <w:color w:val="000000" w:themeColor="text1"/>
                <w:sz w:val="22"/>
                <w:szCs w:val="22"/>
              </w:rPr>
            </w:pPr>
            <w:r w:rsidRPr="00A54BDC">
              <w:rPr>
                <w:rFonts w:ascii="Arial" w:hAnsi="Arial" w:cs="Arial"/>
                <w:color w:val="000000" w:themeColor="text1"/>
                <w:sz w:val="22"/>
                <w:szCs w:val="22"/>
              </w:rPr>
              <w:t>Badanie poziomu dostępności zewnętrznej regionu poprzez ocenę stopnia powiązania Rzeszowa i regionu z Warszawą oraz stolicami województw sąsiadujących z województwem podkarpackim</w:t>
            </w:r>
          </w:p>
        </w:tc>
        <w:tc>
          <w:tcPr>
            <w:tcW w:w="360" w:type="pct"/>
            <w:shd w:val="clear" w:color="auto" w:fill="DEEAF6" w:themeFill="accent1" w:themeFillTint="33"/>
            <w:vAlign w:val="center"/>
            <w:hideMark/>
          </w:tcPr>
          <w:p w14:paraId="455D9643" w14:textId="58190668" w:rsidR="008569B3" w:rsidRPr="00A54BDC" w:rsidRDefault="008569B3" w:rsidP="00985B1E">
            <w:pPr>
              <w:spacing w:line="276" w:lineRule="auto"/>
              <w:jc w:val="center"/>
              <w:rPr>
                <w:rFonts w:ascii="Arial" w:hAnsi="Arial" w:cs="Arial"/>
                <w:color w:val="000000" w:themeColor="text1"/>
                <w:sz w:val="22"/>
                <w:szCs w:val="22"/>
              </w:rPr>
            </w:pPr>
          </w:p>
        </w:tc>
        <w:tc>
          <w:tcPr>
            <w:tcW w:w="360" w:type="pct"/>
            <w:vAlign w:val="center"/>
            <w:hideMark/>
          </w:tcPr>
          <w:p w14:paraId="325A6B2C" w14:textId="5317AE67" w:rsidR="008569B3" w:rsidRPr="00A54BDC" w:rsidRDefault="008569B3" w:rsidP="00985B1E">
            <w:pPr>
              <w:spacing w:line="276" w:lineRule="auto"/>
              <w:jc w:val="center"/>
              <w:rPr>
                <w:rFonts w:ascii="Arial" w:hAnsi="Arial" w:cs="Arial"/>
                <w:color w:val="000000" w:themeColor="text1"/>
                <w:sz w:val="22"/>
                <w:szCs w:val="22"/>
              </w:rPr>
            </w:pPr>
          </w:p>
        </w:tc>
        <w:tc>
          <w:tcPr>
            <w:tcW w:w="360" w:type="pct"/>
            <w:shd w:val="clear" w:color="auto" w:fill="DEEAF6" w:themeFill="accent1" w:themeFillTint="33"/>
            <w:vAlign w:val="center"/>
            <w:hideMark/>
          </w:tcPr>
          <w:p w14:paraId="51CE40DD" w14:textId="4E8A9177" w:rsidR="008569B3" w:rsidRPr="00A54BDC" w:rsidRDefault="008569B3" w:rsidP="00985B1E">
            <w:pPr>
              <w:spacing w:line="276" w:lineRule="auto"/>
              <w:jc w:val="center"/>
              <w:rPr>
                <w:rFonts w:ascii="Arial" w:hAnsi="Arial" w:cs="Arial"/>
                <w:b/>
                <w:bCs/>
                <w:color w:val="000000" w:themeColor="text1"/>
                <w:sz w:val="22"/>
                <w:szCs w:val="22"/>
              </w:rPr>
            </w:pPr>
          </w:p>
        </w:tc>
      </w:tr>
      <w:tr w:rsidR="00A618B7" w:rsidRPr="00A54BDC" w14:paraId="560D6E2F" w14:textId="77777777" w:rsidTr="00985B1E">
        <w:trPr>
          <w:trHeight w:val="750"/>
        </w:trPr>
        <w:tc>
          <w:tcPr>
            <w:tcW w:w="407" w:type="pct"/>
            <w:vMerge/>
            <w:shd w:val="clear" w:color="auto" w:fill="DEEAF6" w:themeFill="accent1" w:themeFillTint="33"/>
            <w:vAlign w:val="center"/>
          </w:tcPr>
          <w:p w14:paraId="0E54AED5"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854" w:type="pct"/>
            <w:vAlign w:val="center"/>
          </w:tcPr>
          <w:p w14:paraId="61C3EC88" w14:textId="77777777" w:rsidR="008569B3" w:rsidRPr="00A54BDC" w:rsidRDefault="008569B3" w:rsidP="00985B1E">
            <w:pPr>
              <w:spacing w:line="276" w:lineRule="auto"/>
              <w:jc w:val="center"/>
              <w:rPr>
                <w:rFonts w:ascii="Arial" w:hAnsi="Arial" w:cs="Arial"/>
                <w:b/>
                <w:bCs/>
                <w:color w:val="000000" w:themeColor="text1"/>
                <w:sz w:val="22"/>
                <w:szCs w:val="22"/>
              </w:rPr>
            </w:pPr>
            <w:r w:rsidRPr="00A54BDC">
              <w:rPr>
                <w:rFonts w:ascii="Arial" w:hAnsi="Arial" w:cs="Arial"/>
                <w:b/>
                <w:bCs/>
                <w:color w:val="000000" w:themeColor="text1"/>
                <w:sz w:val="22"/>
                <w:szCs w:val="22"/>
              </w:rPr>
              <w:t>2. Transportowa spójność wewnętrzna</w:t>
            </w:r>
          </w:p>
        </w:tc>
        <w:tc>
          <w:tcPr>
            <w:tcW w:w="2657" w:type="pct"/>
            <w:vAlign w:val="center"/>
          </w:tcPr>
          <w:p w14:paraId="3455FE5D" w14:textId="77777777" w:rsidR="008569B3" w:rsidRPr="00A54BDC" w:rsidRDefault="008569B3" w:rsidP="00985B1E">
            <w:pPr>
              <w:spacing w:line="276" w:lineRule="auto"/>
              <w:jc w:val="center"/>
              <w:rPr>
                <w:rFonts w:ascii="Arial" w:hAnsi="Arial" w:cs="Arial"/>
                <w:color w:val="000000" w:themeColor="text1"/>
                <w:sz w:val="22"/>
                <w:szCs w:val="22"/>
              </w:rPr>
            </w:pPr>
            <w:r w:rsidRPr="00A54BDC">
              <w:rPr>
                <w:rFonts w:ascii="Arial" w:hAnsi="Arial" w:cs="Arial"/>
                <w:color w:val="000000" w:themeColor="text1"/>
                <w:sz w:val="22"/>
                <w:szCs w:val="22"/>
              </w:rPr>
              <w:t>Poziom wzajemnego powiązania  biegunów wzrostu regionu województwa podkarpackiego</w:t>
            </w:r>
          </w:p>
        </w:tc>
        <w:tc>
          <w:tcPr>
            <w:tcW w:w="360" w:type="pct"/>
            <w:shd w:val="clear" w:color="auto" w:fill="DEEAF6" w:themeFill="accent1" w:themeFillTint="33"/>
            <w:vAlign w:val="center"/>
            <w:hideMark/>
          </w:tcPr>
          <w:p w14:paraId="620C1145" w14:textId="34FB5939" w:rsidR="008569B3" w:rsidRPr="00A54BDC" w:rsidRDefault="008569B3" w:rsidP="00985B1E">
            <w:pPr>
              <w:spacing w:line="276" w:lineRule="auto"/>
              <w:jc w:val="center"/>
              <w:rPr>
                <w:rFonts w:ascii="Arial" w:hAnsi="Arial" w:cs="Arial"/>
                <w:color w:val="000000" w:themeColor="text1"/>
                <w:sz w:val="22"/>
                <w:szCs w:val="22"/>
              </w:rPr>
            </w:pPr>
          </w:p>
        </w:tc>
        <w:tc>
          <w:tcPr>
            <w:tcW w:w="360" w:type="pct"/>
            <w:vAlign w:val="center"/>
            <w:hideMark/>
          </w:tcPr>
          <w:p w14:paraId="03FF7BF5" w14:textId="299AB521" w:rsidR="008569B3" w:rsidRPr="00A54BDC" w:rsidRDefault="008569B3" w:rsidP="00985B1E">
            <w:pPr>
              <w:spacing w:line="276" w:lineRule="auto"/>
              <w:jc w:val="center"/>
              <w:rPr>
                <w:rFonts w:ascii="Arial" w:hAnsi="Arial" w:cs="Arial"/>
                <w:color w:val="000000" w:themeColor="text1"/>
                <w:sz w:val="22"/>
                <w:szCs w:val="22"/>
              </w:rPr>
            </w:pPr>
          </w:p>
        </w:tc>
        <w:tc>
          <w:tcPr>
            <w:tcW w:w="360" w:type="pct"/>
            <w:shd w:val="clear" w:color="auto" w:fill="DEEAF6" w:themeFill="accent1" w:themeFillTint="33"/>
            <w:vAlign w:val="center"/>
            <w:hideMark/>
          </w:tcPr>
          <w:p w14:paraId="7B430B17" w14:textId="2F23692A" w:rsidR="008569B3" w:rsidRPr="00A54BDC" w:rsidRDefault="008569B3" w:rsidP="00985B1E">
            <w:pPr>
              <w:spacing w:line="276" w:lineRule="auto"/>
              <w:jc w:val="center"/>
              <w:rPr>
                <w:rFonts w:ascii="Arial" w:hAnsi="Arial" w:cs="Arial"/>
                <w:b/>
                <w:bCs/>
                <w:color w:val="000000" w:themeColor="text1"/>
                <w:sz w:val="22"/>
                <w:szCs w:val="22"/>
              </w:rPr>
            </w:pPr>
          </w:p>
        </w:tc>
      </w:tr>
      <w:tr w:rsidR="00A618B7" w:rsidRPr="00A54BDC" w14:paraId="054A0A1D" w14:textId="77777777" w:rsidTr="00985B1E">
        <w:trPr>
          <w:trHeight w:val="795"/>
        </w:trPr>
        <w:tc>
          <w:tcPr>
            <w:tcW w:w="407" w:type="pct"/>
            <w:vMerge/>
            <w:shd w:val="clear" w:color="auto" w:fill="DEEAF6" w:themeFill="accent1" w:themeFillTint="33"/>
            <w:vAlign w:val="center"/>
          </w:tcPr>
          <w:p w14:paraId="5C48F297"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854" w:type="pct"/>
            <w:shd w:val="clear" w:color="auto" w:fill="D5DCE4" w:themeFill="text2" w:themeFillTint="33"/>
            <w:vAlign w:val="center"/>
          </w:tcPr>
          <w:p w14:paraId="758F6BCF" w14:textId="77777777" w:rsidR="008569B3" w:rsidRPr="00A54BDC" w:rsidRDefault="008569B3" w:rsidP="00985B1E">
            <w:pPr>
              <w:spacing w:line="276" w:lineRule="auto"/>
              <w:jc w:val="center"/>
              <w:rPr>
                <w:rFonts w:ascii="Arial" w:hAnsi="Arial" w:cs="Arial"/>
                <w:b/>
                <w:bCs/>
                <w:color w:val="000000" w:themeColor="text1"/>
                <w:sz w:val="22"/>
                <w:szCs w:val="22"/>
              </w:rPr>
            </w:pPr>
            <w:r w:rsidRPr="00A54BDC">
              <w:rPr>
                <w:rFonts w:ascii="Arial" w:hAnsi="Arial" w:cs="Arial"/>
                <w:b/>
                <w:bCs/>
                <w:color w:val="000000" w:themeColor="text1"/>
                <w:sz w:val="22"/>
                <w:szCs w:val="22"/>
              </w:rPr>
              <w:t>3. Integracja MOF</w:t>
            </w:r>
          </w:p>
        </w:tc>
        <w:tc>
          <w:tcPr>
            <w:tcW w:w="2657" w:type="pct"/>
            <w:vAlign w:val="center"/>
          </w:tcPr>
          <w:p w14:paraId="1A27E60D" w14:textId="10B10BB1" w:rsidR="008569B3" w:rsidRPr="00A54BDC" w:rsidRDefault="008569B3" w:rsidP="00985B1E">
            <w:pPr>
              <w:spacing w:line="276" w:lineRule="auto"/>
              <w:jc w:val="center"/>
              <w:rPr>
                <w:rFonts w:ascii="Arial" w:hAnsi="Arial" w:cs="Arial"/>
                <w:color w:val="000000" w:themeColor="text1"/>
                <w:sz w:val="22"/>
                <w:szCs w:val="22"/>
              </w:rPr>
            </w:pPr>
            <w:r w:rsidRPr="00A54BDC">
              <w:rPr>
                <w:rFonts w:ascii="Arial" w:hAnsi="Arial" w:cs="Arial"/>
                <w:color w:val="000000" w:themeColor="text1"/>
                <w:sz w:val="22"/>
                <w:szCs w:val="22"/>
              </w:rPr>
              <w:t>Badanie poziomu integracji wewnętrznej Rzeszowskiego Obszaru Funkcjonalnego  i miejskich obszarów funkcjonalnych biegunów wzrostu, uwzględniając</w:t>
            </w:r>
            <w:r w:rsidR="005B73E7" w:rsidRPr="00A54BDC">
              <w:rPr>
                <w:rFonts w:ascii="Arial" w:hAnsi="Arial" w:cs="Arial"/>
                <w:color w:val="000000" w:themeColor="text1"/>
                <w:sz w:val="22"/>
                <w:szCs w:val="22"/>
              </w:rPr>
              <w:t>e</w:t>
            </w:r>
            <w:r w:rsidRPr="00A54BDC">
              <w:rPr>
                <w:rFonts w:ascii="Arial" w:hAnsi="Arial" w:cs="Arial"/>
                <w:color w:val="000000" w:themeColor="text1"/>
                <w:sz w:val="22"/>
                <w:szCs w:val="22"/>
              </w:rPr>
              <w:t xml:space="preserve"> policentryczny układ województwa</w:t>
            </w:r>
          </w:p>
        </w:tc>
        <w:tc>
          <w:tcPr>
            <w:tcW w:w="360" w:type="pct"/>
            <w:shd w:val="clear" w:color="auto" w:fill="DEEAF6" w:themeFill="accent1" w:themeFillTint="33"/>
            <w:vAlign w:val="center"/>
            <w:hideMark/>
          </w:tcPr>
          <w:p w14:paraId="07B15253" w14:textId="7C86303E" w:rsidR="008569B3" w:rsidRPr="00A54BDC" w:rsidRDefault="008569B3" w:rsidP="00985B1E">
            <w:pPr>
              <w:spacing w:line="276" w:lineRule="auto"/>
              <w:jc w:val="center"/>
              <w:rPr>
                <w:rFonts w:ascii="Arial" w:hAnsi="Arial" w:cs="Arial"/>
                <w:color w:val="000000" w:themeColor="text1"/>
                <w:sz w:val="22"/>
                <w:szCs w:val="22"/>
              </w:rPr>
            </w:pPr>
          </w:p>
        </w:tc>
        <w:tc>
          <w:tcPr>
            <w:tcW w:w="360" w:type="pct"/>
            <w:vAlign w:val="center"/>
            <w:hideMark/>
          </w:tcPr>
          <w:p w14:paraId="38AFE636" w14:textId="42F5BF5F" w:rsidR="008569B3" w:rsidRPr="00A54BDC" w:rsidRDefault="008569B3" w:rsidP="00985B1E">
            <w:pPr>
              <w:spacing w:line="276" w:lineRule="auto"/>
              <w:jc w:val="center"/>
              <w:rPr>
                <w:rFonts w:ascii="Arial" w:hAnsi="Arial" w:cs="Arial"/>
                <w:color w:val="000000" w:themeColor="text1"/>
                <w:sz w:val="22"/>
                <w:szCs w:val="22"/>
              </w:rPr>
            </w:pPr>
          </w:p>
        </w:tc>
        <w:tc>
          <w:tcPr>
            <w:tcW w:w="360" w:type="pct"/>
            <w:shd w:val="clear" w:color="auto" w:fill="DEEAF6" w:themeFill="accent1" w:themeFillTint="33"/>
            <w:vAlign w:val="center"/>
            <w:hideMark/>
          </w:tcPr>
          <w:p w14:paraId="4F1F77F6" w14:textId="68BB7B4C" w:rsidR="008569B3" w:rsidRPr="00A54BDC" w:rsidRDefault="008569B3" w:rsidP="00985B1E">
            <w:pPr>
              <w:spacing w:line="276" w:lineRule="auto"/>
              <w:jc w:val="center"/>
              <w:rPr>
                <w:rFonts w:ascii="Arial" w:hAnsi="Arial" w:cs="Arial"/>
                <w:b/>
                <w:bCs/>
                <w:color w:val="000000" w:themeColor="text1"/>
                <w:sz w:val="22"/>
                <w:szCs w:val="22"/>
              </w:rPr>
            </w:pPr>
          </w:p>
        </w:tc>
      </w:tr>
      <w:tr w:rsidR="00A618B7" w:rsidRPr="00A54BDC" w14:paraId="1754B502" w14:textId="77777777" w:rsidTr="00985B1E">
        <w:trPr>
          <w:trHeight w:val="450"/>
        </w:trPr>
        <w:tc>
          <w:tcPr>
            <w:tcW w:w="407" w:type="pct"/>
            <w:vMerge w:val="restart"/>
            <w:shd w:val="clear" w:color="auto" w:fill="DEEAF6" w:themeFill="accent1" w:themeFillTint="33"/>
            <w:vAlign w:val="center"/>
          </w:tcPr>
          <w:p w14:paraId="0472A3AD" w14:textId="77777777" w:rsidR="008569B3" w:rsidRPr="00A54BDC" w:rsidRDefault="008569B3" w:rsidP="00985B1E">
            <w:pPr>
              <w:spacing w:line="276" w:lineRule="auto"/>
              <w:jc w:val="center"/>
              <w:rPr>
                <w:rFonts w:ascii="Arial" w:hAnsi="Arial" w:cs="Arial"/>
                <w:b/>
                <w:color w:val="000000" w:themeColor="text1"/>
                <w:sz w:val="22"/>
                <w:szCs w:val="22"/>
              </w:rPr>
            </w:pPr>
            <w:r w:rsidRPr="00A54BDC">
              <w:rPr>
                <w:rFonts w:ascii="Arial" w:hAnsi="Arial" w:cs="Arial"/>
                <w:b/>
                <w:color w:val="000000" w:themeColor="text1"/>
                <w:sz w:val="22"/>
                <w:szCs w:val="22"/>
              </w:rPr>
              <w:t>Horyzontalne</w:t>
            </w:r>
          </w:p>
        </w:tc>
        <w:tc>
          <w:tcPr>
            <w:tcW w:w="854" w:type="pct"/>
            <w:vAlign w:val="center"/>
          </w:tcPr>
          <w:p w14:paraId="3CFDCC9C" w14:textId="77777777" w:rsidR="008569B3" w:rsidRPr="00A54BDC" w:rsidRDefault="008569B3" w:rsidP="00985B1E">
            <w:pPr>
              <w:spacing w:line="276" w:lineRule="auto"/>
              <w:jc w:val="center"/>
              <w:rPr>
                <w:rFonts w:ascii="Arial" w:hAnsi="Arial" w:cs="Arial"/>
                <w:b/>
                <w:color w:val="000000" w:themeColor="text1"/>
                <w:sz w:val="22"/>
                <w:szCs w:val="22"/>
              </w:rPr>
            </w:pPr>
            <w:r w:rsidRPr="00A54BDC">
              <w:rPr>
                <w:rFonts w:ascii="Arial" w:hAnsi="Arial" w:cs="Arial"/>
                <w:b/>
                <w:color w:val="000000" w:themeColor="text1"/>
                <w:sz w:val="22"/>
                <w:szCs w:val="22"/>
              </w:rPr>
              <w:t>1. Ograniczenie negatywnego oddziaływania sektora transportu na klimat oraz na regionalne środowisko naturalne</w:t>
            </w:r>
          </w:p>
        </w:tc>
        <w:tc>
          <w:tcPr>
            <w:tcW w:w="2657" w:type="pct"/>
            <w:vAlign w:val="center"/>
          </w:tcPr>
          <w:p w14:paraId="6F9F4F51" w14:textId="0CDDB8E2" w:rsidR="008569B3" w:rsidRPr="00A54BDC" w:rsidRDefault="008569B3" w:rsidP="00985B1E">
            <w:pPr>
              <w:spacing w:line="276" w:lineRule="auto"/>
              <w:jc w:val="center"/>
              <w:rPr>
                <w:rFonts w:ascii="Arial" w:hAnsi="Arial" w:cs="Arial"/>
                <w:bCs/>
                <w:color w:val="000000" w:themeColor="text1"/>
                <w:sz w:val="22"/>
                <w:szCs w:val="22"/>
              </w:rPr>
            </w:pPr>
            <w:r w:rsidRPr="00A54BDC">
              <w:rPr>
                <w:rFonts w:ascii="Arial" w:hAnsi="Arial" w:cs="Arial"/>
                <w:bCs/>
                <w:color w:val="000000" w:themeColor="text1"/>
                <w:sz w:val="22"/>
                <w:szCs w:val="22"/>
              </w:rPr>
              <w:t>[Wypracowanie modelu oceny i ustalenie stanu bazowego dla dalszej oceny przy pierwszym badaniu</w:t>
            </w:r>
            <w:r w:rsidR="00B93246" w:rsidRPr="00A54BDC">
              <w:rPr>
                <w:rFonts w:ascii="Arial" w:hAnsi="Arial" w:cs="Arial"/>
                <w:bCs/>
                <w:color w:val="000000" w:themeColor="text1"/>
                <w:sz w:val="22"/>
                <w:szCs w:val="22"/>
              </w:rPr>
              <w:t>]</w:t>
            </w:r>
          </w:p>
        </w:tc>
        <w:tc>
          <w:tcPr>
            <w:tcW w:w="360" w:type="pct"/>
            <w:shd w:val="clear" w:color="auto" w:fill="DEEAF6" w:themeFill="accent1" w:themeFillTint="33"/>
            <w:vAlign w:val="center"/>
          </w:tcPr>
          <w:p w14:paraId="4DB2BDAD"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360" w:type="pct"/>
            <w:vAlign w:val="center"/>
          </w:tcPr>
          <w:p w14:paraId="5D237B60"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360" w:type="pct"/>
            <w:shd w:val="clear" w:color="auto" w:fill="DEEAF6" w:themeFill="accent1" w:themeFillTint="33"/>
            <w:vAlign w:val="center"/>
          </w:tcPr>
          <w:p w14:paraId="3540F06F" w14:textId="77777777" w:rsidR="008569B3" w:rsidRPr="00A54BDC" w:rsidRDefault="008569B3" w:rsidP="00985B1E">
            <w:pPr>
              <w:spacing w:line="276" w:lineRule="auto"/>
              <w:jc w:val="center"/>
              <w:rPr>
                <w:rFonts w:ascii="Arial" w:hAnsi="Arial" w:cs="Arial"/>
                <w:b/>
                <w:bCs/>
                <w:color w:val="000000" w:themeColor="text1"/>
                <w:sz w:val="22"/>
                <w:szCs w:val="22"/>
              </w:rPr>
            </w:pPr>
          </w:p>
        </w:tc>
      </w:tr>
      <w:tr w:rsidR="00A618B7" w:rsidRPr="00A54BDC" w14:paraId="4D3CF7C7" w14:textId="77777777" w:rsidTr="00985B1E">
        <w:trPr>
          <w:trHeight w:val="797"/>
        </w:trPr>
        <w:tc>
          <w:tcPr>
            <w:tcW w:w="407" w:type="pct"/>
            <w:vMerge/>
            <w:shd w:val="clear" w:color="auto" w:fill="DEEAF6" w:themeFill="accent1" w:themeFillTint="33"/>
            <w:vAlign w:val="center"/>
          </w:tcPr>
          <w:p w14:paraId="27B0C9AC" w14:textId="77777777" w:rsidR="008569B3" w:rsidRPr="00A54BDC" w:rsidRDefault="008569B3" w:rsidP="00985B1E">
            <w:pPr>
              <w:spacing w:line="276" w:lineRule="auto"/>
              <w:jc w:val="center"/>
              <w:rPr>
                <w:rFonts w:ascii="Arial" w:hAnsi="Arial" w:cs="Arial"/>
                <w:color w:val="000000" w:themeColor="text1"/>
                <w:sz w:val="22"/>
                <w:szCs w:val="22"/>
              </w:rPr>
            </w:pPr>
          </w:p>
        </w:tc>
        <w:tc>
          <w:tcPr>
            <w:tcW w:w="854" w:type="pct"/>
            <w:shd w:val="clear" w:color="auto" w:fill="DEEAF6" w:themeFill="accent1" w:themeFillTint="33"/>
            <w:vAlign w:val="center"/>
          </w:tcPr>
          <w:p w14:paraId="44358AF3" w14:textId="77777777" w:rsidR="008569B3" w:rsidRPr="00A54BDC" w:rsidRDefault="008569B3" w:rsidP="00985B1E">
            <w:pPr>
              <w:spacing w:line="276" w:lineRule="auto"/>
              <w:jc w:val="center"/>
              <w:rPr>
                <w:rFonts w:ascii="Arial" w:hAnsi="Arial" w:cs="Arial"/>
                <w:b/>
                <w:color w:val="000000" w:themeColor="text1"/>
                <w:sz w:val="22"/>
                <w:szCs w:val="22"/>
              </w:rPr>
            </w:pPr>
            <w:r w:rsidRPr="00A54BDC">
              <w:rPr>
                <w:rFonts w:ascii="Arial" w:hAnsi="Arial" w:cs="Arial"/>
                <w:b/>
                <w:color w:val="000000" w:themeColor="text1"/>
                <w:sz w:val="22"/>
                <w:szCs w:val="22"/>
              </w:rPr>
              <w:t>2. Wzmocnienie rozwiązań multimodalnych</w:t>
            </w:r>
          </w:p>
        </w:tc>
        <w:tc>
          <w:tcPr>
            <w:tcW w:w="2657" w:type="pct"/>
            <w:vAlign w:val="center"/>
          </w:tcPr>
          <w:p w14:paraId="55206059" w14:textId="7554AA3F" w:rsidR="008569B3" w:rsidRPr="00A54BDC" w:rsidRDefault="008569B3" w:rsidP="00985B1E">
            <w:pPr>
              <w:spacing w:line="276" w:lineRule="auto"/>
              <w:jc w:val="center"/>
              <w:rPr>
                <w:rFonts w:ascii="Arial" w:hAnsi="Arial" w:cs="Arial"/>
                <w:bCs/>
                <w:color w:val="000000" w:themeColor="text1"/>
                <w:sz w:val="22"/>
                <w:szCs w:val="22"/>
              </w:rPr>
            </w:pPr>
            <w:r w:rsidRPr="00A54BDC">
              <w:rPr>
                <w:rFonts w:ascii="Arial" w:hAnsi="Arial" w:cs="Arial"/>
                <w:bCs/>
                <w:color w:val="000000" w:themeColor="text1"/>
                <w:sz w:val="22"/>
                <w:szCs w:val="22"/>
              </w:rPr>
              <w:t>[Wypracowanie modelu oceny i ustalenie stanu bazowego dla dalszej oceny przy pierwszym badaniu]</w:t>
            </w:r>
          </w:p>
        </w:tc>
        <w:tc>
          <w:tcPr>
            <w:tcW w:w="360" w:type="pct"/>
            <w:shd w:val="clear" w:color="auto" w:fill="DEEAF6" w:themeFill="accent1" w:themeFillTint="33"/>
            <w:vAlign w:val="center"/>
          </w:tcPr>
          <w:p w14:paraId="561D0887"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360" w:type="pct"/>
            <w:vAlign w:val="center"/>
          </w:tcPr>
          <w:p w14:paraId="32DD06D9"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360" w:type="pct"/>
            <w:shd w:val="clear" w:color="auto" w:fill="DEEAF6" w:themeFill="accent1" w:themeFillTint="33"/>
            <w:vAlign w:val="center"/>
          </w:tcPr>
          <w:p w14:paraId="645C8A92" w14:textId="77777777" w:rsidR="008569B3" w:rsidRPr="00A54BDC" w:rsidRDefault="008569B3" w:rsidP="00985B1E">
            <w:pPr>
              <w:spacing w:line="276" w:lineRule="auto"/>
              <w:jc w:val="center"/>
              <w:rPr>
                <w:rFonts w:ascii="Arial" w:hAnsi="Arial" w:cs="Arial"/>
                <w:b/>
                <w:bCs/>
                <w:color w:val="000000" w:themeColor="text1"/>
                <w:sz w:val="22"/>
                <w:szCs w:val="22"/>
              </w:rPr>
            </w:pPr>
          </w:p>
        </w:tc>
      </w:tr>
      <w:tr w:rsidR="00A618B7" w:rsidRPr="00A54BDC" w14:paraId="34933A42" w14:textId="77777777" w:rsidTr="00985B1E">
        <w:trPr>
          <w:trHeight w:val="837"/>
        </w:trPr>
        <w:tc>
          <w:tcPr>
            <w:tcW w:w="407" w:type="pct"/>
            <w:vMerge/>
            <w:shd w:val="clear" w:color="auto" w:fill="DEEAF6" w:themeFill="accent1" w:themeFillTint="33"/>
            <w:vAlign w:val="center"/>
          </w:tcPr>
          <w:p w14:paraId="36FA66FC" w14:textId="77777777" w:rsidR="008569B3" w:rsidRPr="00A54BDC" w:rsidRDefault="008569B3" w:rsidP="00985B1E">
            <w:pPr>
              <w:spacing w:line="276" w:lineRule="auto"/>
              <w:jc w:val="center"/>
              <w:rPr>
                <w:rFonts w:ascii="Arial" w:hAnsi="Arial" w:cs="Arial"/>
                <w:color w:val="000000" w:themeColor="text1"/>
                <w:sz w:val="22"/>
                <w:szCs w:val="22"/>
              </w:rPr>
            </w:pPr>
          </w:p>
        </w:tc>
        <w:tc>
          <w:tcPr>
            <w:tcW w:w="854" w:type="pct"/>
            <w:vAlign w:val="center"/>
          </w:tcPr>
          <w:p w14:paraId="3F4D9548" w14:textId="77777777" w:rsidR="008569B3" w:rsidRPr="00A54BDC" w:rsidRDefault="008569B3" w:rsidP="00985B1E">
            <w:pPr>
              <w:spacing w:line="276" w:lineRule="auto"/>
              <w:jc w:val="center"/>
              <w:rPr>
                <w:rFonts w:ascii="Arial" w:hAnsi="Arial" w:cs="Arial"/>
                <w:b/>
                <w:color w:val="000000" w:themeColor="text1"/>
                <w:sz w:val="22"/>
                <w:szCs w:val="22"/>
              </w:rPr>
            </w:pPr>
            <w:r w:rsidRPr="00A54BDC">
              <w:rPr>
                <w:rFonts w:ascii="Arial" w:hAnsi="Arial" w:cs="Arial"/>
                <w:b/>
                <w:color w:val="000000" w:themeColor="text1"/>
                <w:sz w:val="22"/>
                <w:szCs w:val="22"/>
              </w:rPr>
              <w:t>3. Rozwój transportu publicznego</w:t>
            </w:r>
          </w:p>
        </w:tc>
        <w:tc>
          <w:tcPr>
            <w:tcW w:w="2657" w:type="pct"/>
            <w:vAlign w:val="center"/>
          </w:tcPr>
          <w:p w14:paraId="1E64CCCA" w14:textId="4C1431D1" w:rsidR="008569B3" w:rsidRPr="00A54BDC" w:rsidRDefault="008569B3" w:rsidP="00985B1E">
            <w:pPr>
              <w:spacing w:line="276" w:lineRule="auto"/>
              <w:jc w:val="center"/>
              <w:rPr>
                <w:rFonts w:ascii="Arial" w:hAnsi="Arial" w:cs="Arial"/>
                <w:bCs/>
                <w:color w:val="000000" w:themeColor="text1"/>
                <w:sz w:val="22"/>
                <w:szCs w:val="22"/>
              </w:rPr>
            </w:pPr>
            <w:r w:rsidRPr="00A54BDC">
              <w:rPr>
                <w:rFonts w:ascii="Arial" w:hAnsi="Arial" w:cs="Arial"/>
                <w:bCs/>
                <w:color w:val="000000" w:themeColor="text1"/>
                <w:sz w:val="22"/>
                <w:szCs w:val="22"/>
              </w:rPr>
              <w:t>[Wypracowanie modelu oceny i ustalenie stanu bazowego dla dalszej oceny przy pierwszym badaniu]</w:t>
            </w:r>
          </w:p>
        </w:tc>
        <w:tc>
          <w:tcPr>
            <w:tcW w:w="360" w:type="pct"/>
            <w:shd w:val="clear" w:color="auto" w:fill="DEEAF6" w:themeFill="accent1" w:themeFillTint="33"/>
            <w:vAlign w:val="center"/>
          </w:tcPr>
          <w:p w14:paraId="1C112EDC"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360" w:type="pct"/>
            <w:vAlign w:val="center"/>
          </w:tcPr>
          <w:p w14:paraId="5A3F80B7"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360" w:type="pct"/>
            <w:shd w:val="clear" w:color="auto" w:fill="DEEAF6" w:themeFill="accent1" w:themeFillTint="33"/>
            <w:vAlign w:val="center"/>
          </w:tcPr>
          <w:p w14:paraId="5139E1AB" w14:textId="77777777" w:rsidR="008569B3" w:rsidRPr="00A54BDC" w:rsidRDefault="008569B3" w:rsidP="00985B1E">
            <w:pPr>
              <w:spacing w:line="276" w:lineRule="auto"/>
              <w:jc w:val="center"/>
              <w:rPr>
                <w:rFonts w:ascii="Arial" w:hAnsi="Arial" w:cs="Arial"/>
                <w:b/>
                <w:bCs/>
                <w:color w:val="000000" w:themeColor="text1"/>
                <w:sz w:val="22"/>
                <w:szCs w:val="22"/>
              </w:rPr>
            </w:pPr>
          </w:p>
        </w:tc>
      </w:tr>
      <w:tr w:rsidR="00A618B7" w:rsidRPr="00A54BDC" w14:paraId="5FAB5233" w14:textId="77777777" w:rsidTr="00985B1E">
        <w:trPr>
          <w:trHeight w:val="835"/>
        </w:trPr>
        <w:tc>
          <w:tcPr>
            <w:tcW w:w="407" w:type="pct"/>
            <w:vMerge/>
            <w:shd w:val="clear" w:color="auto" w:fill="DEEAF6" w:themeFill="accent1" w:themeFillTint="33"/>
            <w:vAlign w:val="center"/>
          </w:tcPr>
          <w:p w14:paraId="0F2EC75A" w14:textId="77777777" w:rsidR="008569B3" w:rsidRPr="00A54BDC" w:rsidRDefault="008569B3" w:rsidP="00985B1E">
            <w:pPr>
              <w:spacing w:line="276" w:lineRule="auto"/>
              <w:jc w:val="center"/>
              <w:rPr>
                <w:rFonts w:ascii="Arial" w:hAnsi="Arial" w:cs="Arial"/>
                <w:color w:val="000000" w:themeColor="text1"/>
                <w:sz w:val="22"/>
                <w:szCs w:val="22"/>
              </w:rPr>
            </w:pPr>
          </w:p>
        </w:tc>
        <w:tc>
          <w:tcPr>
            <w:tcW w:w="854" w:type="pct"/>
            <w:shd w:val="clear" w:color="auto" w:fill="DEEAF6" w:themeFill="accent1" w:themeFillTint="33"/>
            <w:vAlign w:val="center"/>
          </w:tcPr>
          <w:p w14:paraId="10A28537" w14:textId="77777777" w:rsidR="008569B3" w:rsidRPr="00A54BDC" w:rsidRDefault="008569B3" w:rsidP="00985B1E">
            <w:pPr>
              <w:spacing w:line="276" w:lineRule="auto"/>
              <w:jc w:val="center"/>
              <w:rPr>
                <w:rFonts w:ascii="Arial" w:hAnsi="Arial" w:cs="Arial"/>
                <w:b/>
                <w:color w:val="000000" w:themeColor="text1"/>
                <w:sz w:val="22"/>
                <w:szCs w:val="22"/>
              </w:rPr>
            </w:pPr>
            <w:r w:rsidRPr="00A54BDC">
              <w:rPr>
                <w:rFonts w:ascii="Arial" w:hAnsi="Arial" w:cs="Arial"/>
                <w:b/>
                <w:color w:val="000000" w:themeColor="text1"/>
                <w:sz w:val="22"/>
                <w:szCs w:val="22"/>
              </w:rPr>
              <w:t>4. Poprawa bezpieczeństwa w transporcie</w:t>
            </w:r>
          </w:p>
        </w:tc>
        <w:tc>
          <w:tcPr>
            <w:tcW w:w="2657" w:type="pct"/>
            <w:vAlign w:val="center"/>
          </w:tcPr>
          <w:p w14:paraId="45DD4754" w14:textId="5FCB58E8" w:rsidR="008569B3" w:rsidRPr="00A54BDC" w:rsidRDefault="008569B3" w:rsidP="00985B1E">
            <w:pPr>
              <w:spacing w:line="276" w:lineRule="auto"/>
              <w:jc w:val="center"/>
              <w:rPr>
                <w:rFonts w:ascii="Arial" w:hAnsi="Arial" w:cs="Arial"/>
                <w:bCs/>
                <w:color w:val="000000" w:themeColor="text1"/>
                <w:sz w:val="22"/>
                <w:szCs w:val="22"/>
              </w:rPr>
            </w:pPr>
            <w:r w:rsidRPr="00A54BDC">
              <w:rPr>
                <w:rFonts w:ascii="Arial" w:hAnsi="Arial" w:cs="Arial"/>
                <w:bCs/>
                <w:color w:val="000000" w:themeColor="text1"/>
                <w:sz w:val="22"/>
                <w:szCs w:val="22"/>
              </w:rPr>
              <w:t>[Wypracowanie modelu oceny i ustalenie stanu bazowego dla dalszej oceny przy pierwszym badaniu]</w:t>
            </w:r>
          </w:p>
        </w:tc>
        <w:tc>
          <w:tcPr>
            <w:tcW w:w="360" w:type="pct"/>
            <w:shd w:val="clear" w:color="auto" w:fill="DEEAF6" w:themeFill="accent1" w:themeFillTint="33"/>
            <w:vAlign w:val="center"/>
          </w:tcPr>
          <w:p w14:paraId="55062BC5"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360" w:type="pct"/>
            <w:vAlign w:val="center"/>
          </w:tcPr>
          <w:p w14:paraId="68C9FEA1"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360" w:type="pct"/>
            <w:shd w:val="clear" w:color="auto" w:fill="DEEAF6" w:themeFill="accent1" w:themeFillTint="33"/>
            <w:vAlign w:val="center"/>
          </w:tcPr>
          <w:p w14:paraId="283A4D11" w14:textId="77777777" w:rsidR="008569B3" w:rsidRPr="00A54BDC" w:rsidRDefault="008569B3" w:rsidP="00985B1E">
            <w:pPr>
              <w:spacing w:line="276" w:lineRule="auto"/>
              <w:jc w:val="center"/>
              <w:rPr>
                <w:rFonts w:ascii="Arial" w:hAnsi="Arial" w:cs="Arial"/>
                <w:b/>
                <w:bCs/>
                <w:color w:val="000000" w:themeColor="text1"/>
                <w:sz w:val="22"/>
                <w:szCs w:val="22"/>
              </w:rPr>
            </w:pPr>
          </w:p>
        </w:tc>
      </w:tr>
      <w:tr w:rsidR="00A618B7" w:rsidRPr="00A54BDC" w14:paraId="16FA353A" w14:textId="77777777" w:rsidTr="00985B1E">
        <w:trPr>
          <w:trHeight w:val="642"/>
        </w:trPr>
        <w:tc>
          <w:tcPr>
            <w:tcW w:w="1262" w:type="pct"/>
            <w:gridSpan w:val="2"/>
            <w:shd w:val="clear" w:color="auto" w:fill="BDD6EE" w:themeFill="accent1" w:themeFillTint="66"/>
            <w:vAlign w:val="center"/>
          </w:tcPr>
          <w:p w14:paraId="4A7D643D" w14:textId="77777777" w:rsidR="008569B3" w:rsidRPr="00A54BDC" w:rsidRDefault="008569B3" w:rsidP="00985B1E">
            <w:pPr>
              <w:spacing w:line="276" w:lineRule="auto"/>
              <w:jc w:val="center"/>
              <w:rPr>
                <w:rFonts w:ascii="Arial" w:hAnsi="Arial" w:cs="Arial"/>
                <w:b/>
                <w:bCs/>
                <w:color w:val="000000" w:themeColor="text1"/>
                <w:sz w:val="22"/>
                <w:szCs w:val="22"/>
              </w:rPr>
            </w:pPr>
            <w:r w:rsidRPr="00A54BDC">
              <w:rPr>
                <w:rFonts w:ascii="Arial" w:hAnsi="Arial" w:cs="Arial"/>
                <w:b/>
                <w:bCs/>
                <w:color w:val="000000" w:themeColor="text1"/>
                <w:sz w:val="22"/>
                <w:szCs w:val="22"/>
              </w:rPr>
              <w:t>Ocena poziomu realizacji Programu (uśredniona ocena osiągnięcia celów): (%)</w:t>
            </w:r>
          </w:p>
        </w:tc>
        <w:tc>
          <w:tcPr>
            <w:tcW w:w="2657" w:type="pct"/>
            <w:shd w:val="clear" w:color="auto" w:fill="BDD6EE" w:themeFill="accent1" w:themeFillTint="66"/>
            <w:vAlign w:val="center"/>
          </w:tcPr>
          <w:p w14:paraId="477B5FB6" w14:textId="77777777" w:rsidR="008569B3" w:rsidRPr="00A54BDC" w:rsidRDefault="008569B3" w:rsidP="00985B1E">
            <w:pPr>
              <w:spacing w:line="276" w:lineRule="auto"/>
              <w:jc w:val="center"/>
              <w:rPr>
                <w:rFonts w:ascii="Arial" w:hAnsi="Arial" w:cs="Arial"/>
                <w:b/>
                <w:bCs/>
                <w:strike/>
                <w:color w:val="000000" w:themeColor="text1"/>
                <w:sz w:val="22"/>
                <w:szCs w:val="22"/>
              </w:rPr>
            </w:pPr>
            <w:r w:rsidRPr="00A54BDC">
              <w:rPr>
                <w:rFonts w:ascii="Arial" w:hAnsi="Arial" w:cs="Arial"/>
                <w:b/>
                <w:bCs/>
                <w:strike/>
                <w:color w:val="000000" w:themeColor="text1"/>
                <w:sz w:val="22"/>
                <w:szCs w:val="22"/>
              </w:rPr>
              <w:t>-</w:t>
            </w:r>
          </w:p>
        </w:tc>
        <w:tc>
          <w:tcPr>
            <w:tcW w:w="360" w:type="pct"/>
            <w:shd w:val="clear" w:color="auto" w:fill="BDD6EE" w:themeFill="accent1" w:themeFillTint="66"/>
            <w:vAlign w:val="center"/>
          </w:tcPr>
          <w:p w14:paraId="6313A401"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360" w:type="pct"/>
            <w:shd w:val="clear" w:color="auto" w:fill="BDD6EE" w:themeFill="accent1" w:themeFillTint="66"/>
            <w:vAlign w:val="center"/>
          </w:tcPr>
          <w:p w14:paraId="0387A0DF" w14:textId="77777777" w:rsidR="008569B3" w:rsidRPr="00A54BDC" w:rsidRDefault="008569B3" w:rsidP="00985B1E">
            <w:pPr>
              <w:spacing w:line="276" w:lineRule="auto"/>
              <w:jc w:val="center"/>
              <w:rPr>
                <w:rFonts w:ascii="Arial" w:hAnsi="Arial" w:cs="Arial"/>
                <w:b/>
                <w:bCs/>
                <w:color w:val="000000" w:themeColor="text1"/>
                <w:sz w:val="22"/>
                <w:szCs w:val="22"/>
              </w:rPr>
            </w:pPr>
          </w:p>
        </w:tc>
        <w:tc>
          <w:tcPr>
            <w:tcW w:w="360" w:type="pct"/>
            <w:shd w:val="clear" w:color="auto" w:fill="BDD6EE" w:themeFill="accent1" w:themeFillTint="66"/>
            <w:vAlign w:val="center"/>
          </w:tcPr>
          <w:p w14:paraId="05332AB6" w14:textId="77777777" w:rsidR="008569B3" w:rsidRPr="00A54BDC" w:rsidRDefault="008569B3" w:rsidP="00985B1E">
            <w:pPr>
              <w:spacing w:line="276" w:lineRule="auto"/>
              <w:jc w:val="center"/>
              <w:rPr>
                <w:rFonts w:ascii="Arial" w:hAnsi="Arial" w:cs="Arial"/>
                <w:b/>
                <w:bCs/>
                <w:color w:val="000000" w:themeColor="text1"/>
                <w:sz w:val="22"/>
                <w:szCs w:val="22"/>
              </w:rPr>
            </w:pPr>
          </w:p>
        </w:tc>
      </w:tr>
    </w:tbl>
    <w:p w14:paraId="573FF8E8" w14:textId="24AE2F5D" w:rsidR="008569B3" w:rsidRPr="009B78DA" w:rsidRDefault="00A618B7" w:rsidP="00A54BDC">
      <w:pPr>
        <w:spacing w:before="120"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Wskaźnikiem złożonym przeznaczonym dla oceny postępów realizacji Programu, będzie uśredniony stopień osiągnięcia wyznaczonych Celów podstawowych oraz Celów horyzontalnych. Ocena będzie się odbywała w drodze badania przeprowadzanego co cztery lata przez niezależnego ewaluatora. Przeprowadzenie oceny będzie miało miejsce najwcześniej w drugim półroczu roku następującego po roku, dla którego założono analizę poziomu osiągania celów PSRT WP</w:t>
      </w:r>
      <w:r w:rsidR="00872BE7" w:rsidRPr="009B78DA">
        <w:rPr>
          <w:rFonts w:ascii="Arial" w:hAnsi="Arial" w:cs="Arial"/>
          <w:color w:val="000000" w:themeColor="text1"/>
          <w:sz w:val="22"/>
          <w:szCs w:val="22"/>
        </w:rPr>
        <w:t xml:space="preserve"> przy wykorzystaniu wskazanych w niniejszym dokumencie wskaźników monitorowania realizacji Celów podstawowych i horyzontalnych PSRT WP.</w:t>
      </w:r>
    </w:p>
    <w:p w14:paraId="0731F759" w14:textId="648BCB56" w:rsidR="00B63866" w:rsidRPr="009B78DA" w:rsidRDefault="00B63866" w:rsidP="00B63866">
      <w:pPr>
        <w:pStyle w:val="Legenda"/>
        <w:keepNext/>
        <w:rPr>
          <w:rFonts w:ascii="Arial" w:hAnsi="Arial" w:cs="Arial"/>
          <w:i w:val="0"/>
          <w:color w:val="000000" w:themeColor="text1"/>
          <w:sz w:val="22"/>
          <w:szCs w:val="22"/>
        </w:rPr>
      </w:pPr>
      <w:bookmarkStart w:id="423" w:name="_Toc146785769"/>
      <w:bookmarkEnd w:id="420"/>
      <w:bookmarkEnd w:id="421"/>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39</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Wskaźniki produktu i rezultatu służące monitorowaniu realizacji celów podstawowych PSRT WP.</w:t>
      </w:r>
      <w:bookmarkEnd w:id="423"/>
    </w:p>
    <w:tbl>
      <w:tblPr>
        <w:tblStyle w:val="Tabela-Siatka"/>
        <w:tblW w:w="5000" w:type="pct"/>
        <w:tblLook w:val="04A0" w:firstRow="1" w:lastRow="0" w:firstColumn="1" w:lastColumn="0" w:noHBand="0" w:noVBand="1"/>
        <w:tblCaption w:val="Tabela 39 Wskaźniki produktu i rezultatu służące monitorowaniu realizacji celów podstawowych PSRT WP."/>
        <w:tblDescription w:val="Tabela zawiera Cel szczegółowy, Wskaźnik, Jednostka miary, Wartość bazowa wskaźnika, Wartość szacunkowa wskaźnika w 2030 r., Źródło danych, Częstotliwość pomiaru"/>
      </w:tblPr>
      <w:tblGrid>
        <w:gridCol w:w="2669"/>
        <w:gridCol w:w="4646"/>
        <w:gridCol w:w="1378"/>
        <w:gridCol w:w="1889"/>
        <w:gridCol w:w="1537"/>
        <w:gridCol w:w="1586"/>
        <w:gridCol w:w="1683"/>
      </w:tblGrid>
      <w:tr w:rsidR="006F4FD2" w:rsidRPr="00D2626E" w14:paraId="1AFE88E8" w14:textId="77777777" w:rsidTr="00D2626E">
        <w:trPr>
          <w:tblHeader/>
        </w:trPr>
        <w:tc>
          <w:tcPr>
            <w:tcW w:w="885" w:type="pct"/>
            <w:shd w:val="clear" w:color="auto" w:fill="DEEAF6" w:themeFill="accent1" w:themeFillTint="33"/>
            <w:vAlign w:val="center"/>
          </w:tcPr>
          <w:p w14:paraId="486A417C" w14:textId="77777777" w:rsidR="002329B6" w:rsidRPr="00D2626E" w:rsidRDefault="002329B6" w:rsidP="00D2626E">
            <w:pPr>
              <w:spacing w:line="276" w:lineRule="auto"/>
              <w:jc w:val="center"/>
              <w:rPr>
                <w:rFonts w:ascii="Arial" w:hAnsi="Arial" w:cs="Arial"/>
                <w:b/>
                <w:color w:val="000000" w:themeColor="text1"/>
                <w:sz w:val="22"/>
                <w:szCs w:val="22"/>
              </w:rPr>
            </w:pPr>
            <w:bookmarkStart w:id="424" w:name="_Toc77330946"/>
            <w:r w:rsidRPr="00D2626E">
              <w:rPr>
                <w:rFonts w:ascii="Arial" w:hAnsi="Arial" w:cs="Arial"/>
                <w:b/>
                <w:color w:val="000000" w:themeColor="text1"/>
                <w:sz w:val="22"/>
                <w:szCs w:val="22"/>
              </w:rPr>
              <w:t>Cel podstawowy</w:t>
            </w:r>
          </w:p>
        </w:tc>
        <w:tc>
          <w:tcPr>
            <w:tcW w:w="1527" w:type="pct"/>
            <w:shd w:val="clear" w:color="auto" w:fill="DEEAF6" w:themeFill="accent1" w:themeFillTint="33"/>
            <w:vAlign w:val="center"/>
          </w:tcPr>
          <w:p w14:paraId="2F5F0020" w14:textId="77777777" w:rsidR="002329B6" w:rsidRPr="00D2626E" w:rsidRDefault="002329B6" w:rsidP="00D2626E">
            <w:pPr>
              <w:spacing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Wskaźnik</w:t>
            </w:r>
          </w:p>
        </w:tc>
        <w:tc>
          <w:tcPr>
            <w:tcW w:w="413" w:type="pct"/>
            <w:shd w:val="clear" w:color="auto" w:fill="DEEAF6" w:themeFill="accent1" w:themeFillTint="33"/>
            <w:vAlign w:val="center"/>
          </w:tcPr>
          <w:p w14:paraId="6A948970" w14:textId="77777777" w:rsidR="002329B6" w:rsidRPr="00D2626E" w:rsidRDefault="002329B6" w:rsidP="00D2626E">
            <w:pPr>
              <w:spacing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Jednostka miary</w:t>
            </w:r>
          </w:p>
        </w:tc>
        <w:tc>
          <w:tcPr>
            <w:tcW w:w="631" w:type="pct"/>
            <w:shd w:val="clear" w:color="auto" w:fill="DEEAF6" w:themeFill="accent1" w:themeFillTint="33"/>
            <w:vAlign w:val="center"/>
          </w:tcPr>
          <w:p w14:paraId="5F698845" w14:textId="77777777" w:rsidR="002329B6" w:rsidRPr="00D2626E" w:rsidRDefault="002329B6" w:rsidP="00D2626E">
            <w:pPr>
              <w:spacing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Wartość bazowa wskaźnika</w:t>
            </w:r>
          </w:p>
        </w:tc>
        <w:tc>
          <w:tcPr>
            <w:tcW w:w="506" w:type="pct"/>
            <w:shd w:val="clear" w:color="auto" w:fill="DEEAF6" w:themeFill="accent1" w:themeFillTint="33"/>
            <w:vAlign w:val="center"/>
          </w:tcPr>
          <w:p w14:paraId="6E9D9F32" w14:textId="000E8B5A" w:rsidR="002329B6" w:rsidRPr="00D2626E" w:rsidRDefault="002329B6" w:rsidP="00D2626E">
            <w:pPr>
              <w:spacing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 xml:space="preserve">Szacunkowa wartość wskaźnika </w:t>
            </w:r>
            <w:r w:rsidR="00590582">
              <w:rPr>
                <w:rFonts w:ascii="Arial" w:hAnsi="Arial" w:cs="Arial"/>
                <w:b/>
                <w:color w:val="000000" w:themeColor="text1"/>
                <w:sz w:val="22"/>
                <w:szCs w:val="22"/>
              </w:rPr>
              <w:br/>
            </w:r>
            <w:r w:rsidRPr="00D2626E">
              <w:rPr>
                <w:rFonts w:ascii="Arial" w:hAnsi="Arial" w:cs="Arial"/>
                <w:b/>
                <w:color w:val="000000" w:themeColor="text1"/>
                <w:sz w:val="22"/>
                <w:szCs w:val="22"/>
              </w:rPr>
              <w:t>w 2030 r.</w:t>
            </w:r>
          </w:p>
        </w:tc>
        <w:tc>
          <w:tcPr>
            <w:tcW w:w="475" w:type="pct"/>
            <w:shd w:val="clear" w:color="auto" w:fill="DEEAF6" w:themeFill="accent1" w:themeFillTint="33"/>
            <w:vAlign w:val="center"/>
          </w:tcPr>
          <w:p w14:paraId="2FF14317" w14:textId="77777777" w:rsidR="002329B6" w:rsidRPr="00D2626E" w:rsidRDefault="002329B6" w:rsidP="00D2626E">
            <w:pPr>
              <w:spacing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Źródło danych</w:t>
            </w:r>
          </w:p>
        </w:tc>
        <w:tc>
          <w:tcPr>
            <w:tcW w:w="563" w:type="pct"/>
            <w:shd w:val="clear" w:color="auto" w:fill="DEEAF6" w:themeFill="accent1" w:themeFillTint="33"/>
            <w:vAlign w:val="center"/>
          </w:tcPr>
          <w:p w14:paraId="55A7A1FF" w14:textId="77777777" w:rsidR="002329B6" w:rsidRPr="00D2626E" w:rsidRDefault="002329B6" w:rsidP="00D2626E">
            <w:pPr>
              <w:spacing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Częstotliwość pomiaru</w:t>
            </w:r>
          </w:p>
        </w:tc>
      </w:tr>
      <w:tr w:rsidR="006F4FD2" w:rsidRPr="00D2626E" w14:paraId="56C7EC7B" w14:textId="77777777" w:rsidTr="00D2626E">
        <w:tc>
          <w:tcPr>
            <w:tcW w:w="885" w:type="pct"/>
            <w:vAlign w:val="center"/>
          </w:tcPr>
          <w:p w14:paraId="31D6FAE2"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Cel podstawowy 1. Dostępność zewnętrzna</w:t>
            </w:r>
          </w:p>
        </w:tc>
        <w:tc>
          <w:tcPr>
            <w:tcW w:w="1527" w:type="pct"/>
            <w:vAlign w:val="center"/>
          </w:tcPr>
          <w:p w14:paraId="1F637856" w14:textId="77777777"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Drogi ekspresowe i autostrady na 100 km</w:t>
            </w:r>
            <w:r w:rsidRPr="00D2626E">
              <w:rPr>
                <w:rFonts w:ascii="Arial" w:hAnsi="Arial" w:cs="Arial"/>
                <w:color w:val="000000" w:themeColor="text1"/>
                <w:sz w:val="22"/>
                <w:szCs w:val="22"/>
                <w:vertAlign w:val="superscript"/>
              </w:rPr>
              <w:t>2</w:t>
            </w:r>
          </w:p>
        </w:tc>
        <w:tc>
          <w:tcPr>
            <w:tcW w:w="413" w:type="pct"/>
            <w:vAlign w:val="center"/>
          </w:tcPr>
          <w:p w14:paraId="460C329D"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km</w:t>
            </w:r>
          </w:p>
        </w:tc>
        <w:tc>
          <w:tcPr>
            <w:tcW w:w="631" w:type="pct"/>
            <w:vAlign w:val="center"/>
          </w:tcPr>
          <w:p w14:paraId="5CFE93CA"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1,02 (2020 r.)</w:t>
            </w:r>
          </w:p>
        </w:tc>
        <w:tc>
          <w:tcPr>
            <w:tcW w:w="506" w:type="pct"/>
            <w:vAlign w:val="center"/>
          </w:tcPr>
          <w:p w14:paraId="2D7895A9"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1,1</w:t>
            </w:r>
          </w:p>
        </w:tc>
        <w:tc>
          <w:tcPr>
            <w:tcW w:w="475" w:type="pct"/>
            <w:vAlign w:val="center"/>
          </w:tcPr>
          <w:p w14:paraId="06122FBE"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3" w:type="pct"/>
            <w:vAlign w:val="center"/>
          </w:tcPr>
          <w:p w14:paraId="02BE3A1C"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6689F21A" w14:textId="77777777" w:rsidTr="00D2626E">
        <w:tc>
          <w:tcPr>
            <w:tcW w:w="885" w:type="pct"/>
            <w:vAlign w:val="center"/>
          </w:tcPr>
          <w:p w14:paraId="4EC8203F"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Cel podstawowy 1. Dostępność zewnętrzna</w:t>
            </w:r>
          </w:p>
        </w:tc>
        <w:tc>
          <w:tcPr>
            <w:tcW w:w="1527" w:type="pct"/>
            <w:vAlign w:val="center"/>
          </w:tcPr>
          <w:p w14:paraId="6E8A0180" w14:textId="1278BD96"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Udział procentowy dróg o nawierzchni spełniającej normatyw nośności 115 kN/oś </w:t>
            </w:r>
            <w:r w:rsidR="00D2626E">
              <w:rPr>
                <w:rFonts w:ascii="Arial" w:hAnsi="Arial" w:cs="Arial"/>
                <w:color w:val="000000" w:themeColor="text1"/>
                <w:sz w:val="22"/>
                <w:szCs w:val="22"/>
              </w:rPr>
              <w:br/>
            </w:r>
            <w:r w:rsidRPr="00D2626E">
              <w:rPr>
                <w:rFonts w:ascii="Arial" w:hAnsi="Arial" w:cs="Arial"/>
                <w:color w:val="000000" w:themeColor="text1"/>
                <w:sz w:val="22"/>
                <w:szCs w:val="22"/>
              </w:rPr>
              <w:t>w długości całej sieci dróg krajowych na terenie regionu.</w:t>
            </w:r>
          </w:p>
        </w:tc>
        <w:tc>
          <w:tcPr>
            <w:tcW w:w="413" w:type="pct"/>
            <w:vAlign w:val="center"/>
          </w:tcPr>
          <w:p w14:paraId="3F688BED"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w:t>
            </w:r>
          </w:p>
        </w:tc>
        <w:tc>
          <w:tcPr>
            <w:tcW w:w="631" w:type="pct"/>
            <w:vAlign w:val="center"/>
          </w:tcPr>
          <w:p w14:paraId="28CCE9D3"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47,15 (2020 r.)</w:t>
            </w:r>
          </w:p>
        </w:tc>
        <w:tc>
          <w:tcPr>
            <w:tcW w:w="506" w:type="pct"/>
            <w:vAlign w:val="center"/>
          </w:tcPr>
          <w:p w14:paraId="58331E9D"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60</w:t>
            </w:r>
          </w:p>
        </w:tc>
        <w:tc>
          <w:tcPr>
            <w:tcW w:w="475" w:type="pct"/>
            <w:vAlign w:val="center"/>
          </w:tcPr>
          <w:p w14:paraId="3C2A5A82"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GDDKiA/GUS</w:t>
            </w:r>
          </w:p>
        </w:tc>
        <w:tc>
          <w:tcPr>
            <w:tcW w:w="563" w:type="pct"/>
            <w:vAlign w:val="center"/>
          </w:tcPr>
          <w:p w14:paraId="3FDEEF2A"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7ED0F430" w14:textId="77777777" w:rsidTr="00D2626E">
        <w:tc>
          <w:tcPr>
            <w:tcW w:w="885" w:type="pct"/>
            <w:vAlign w:val="center"/>
          </w:tcPr>
          <w:p w14:paraId="5519B319"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Cel podstawowy 1. Dostępność zewnętrzna</w:t>
            </w:r>
          </w:p>
        </w:tc>
        <w:tc>
          <w:tcPr>
            <w:tcW w:w="1527" w:type="pct"/>
            <w:vAlign w:val="center"/>
          </w:tcPr>
          <w:p w14:paraId="55F8B640" w14:textId="77777777"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Krajowe mosty i wiadukty ogółem</w:t>
            </w:r>
          </w:p>
        </w:tc>
        <w:tc>
          <w:tcPr>
            <w:tcW w:w="413" w:type="pct"/>
            <w:vAlign w:val="center"/>
          </w:tcPr>
          <w:p w14:paraId="41748BDE"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szt.</w:t>
            </w:r>
          </w:p>
        </w:tc>
        <w:tc>
          <w:tcPr>
            <w:tcW w:w="631" w:type="pct"/>
            <w:vAlign w:val="center"/>
          </w:tcPr>
          <w:p w14:paraId="2F269C97"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523 (2020 r.)</w:t>
            </w:r>
          </w:p>
        </w:tc>
        <w:tc>
          <w:tcPr>
            <w:tcW w:w="506" w:type="pct"/>
            <w:vAlign w:val="center"/>
          </w:tcPr>
          <w:p w14:paraId="775217A1"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528</w:t>
            </w:r>
          </w:p>
        </w:tc>
        <w:tc>
          <w:tcPr>
            <w:tcW w:w="475" w:type="pct"/>
            <w:vAlign w:val="center"/>
          </w:tcPr>
          <w:p w14:paraId="23618655"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3" w:type="pct"/>
            <w:vAlign w:val="center"/>
          </w:tcPr>
          <w:p w14:paraId="6F6B34AE"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3D8BF4F0" w14:textId="77777777" w:rsidTr="00D2626E">
        <w:tc>
          <w:tcPr>
            <w:tcW w:w="885" w:type="pct"/>
            <w:vAlign w:val="center"/>
          </w:tcPr>
          <w:p w14:paraId="3134D4BE"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Cel podstawowy 1. Dostępność zewnętrzna</w:t>
            </w:r>
          </w:p>
        </w:tc>
        <w:tc>
          <w:tcPr>
            <w:tcW w:w="1527" w:type="pct"/>
            <w:vAlign w:val="center"/>
          </w:tcPr>
          <w:p w14:paraId="52D247E0" w14:textId="77777777"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Udział w ruchu pasażerów w portach lotniczych (Polska = 100)</w:t>
            </w:r>
          </w:p>
        </w:tc>
        <w:tc>
          <w:tcPr>
            <w:tcW w:w="413" w:type="pct"/>
            <w:vAlign w:val="center"/>
          </w:tcPr>
          <w:p w14:paraId="681C47D2"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w:t>
            </w:r>
          </w:p>
        </w:tc>
        <w:tc>
          <w:tcPr>
            <w:tcW w:w="631" w:type="pct"/>
            <w:vAlign w:val="center"/>
          </w:tcPr>
          <w:p w14:paraId="1FFC2F43"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1,6 (2020 r.)</w:t>
            </w:r>
          </w:p>
        </w:tc>
        <w:tc>
          <w:tcPr>
            <w:tcW w:w="506" w:type="pct"/>
            <w:vAlign w:val="center"/>
          </w:tcPr>
          <w:p w14:paraId="28ADED5D"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1,9</w:t>
            </w:r>
          </w:p>
        </w:tc>
        <w:tc>
          <w:tcPr>
            <w:tcW w:w="475" w:type="pct"/>
            <w:vAlign w:val="center"/>
          </w:tcPr>
          <w:p w14:paraId="3377E253"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3" w:type="pct"/>
            <w:vAlign w:val="center"/>
          </w:tcPr>
          <w:p w14:paraId="19326651"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00EE3CF6" w14:textId="77777777" w:rsidTr="00D2626E">
        <w:tc>
          <w:tcPr>
            <w:tcW w:w="885" w:type="pct"/>
            <w:vAlign w:val="center"/>
          </w:tcPr>
          <w:p w14:paraId="3D4067EA"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Cel podstawowy 2. Transportowa spójność wewnętrzna</w:t>
            </w:r>
          </w:p>
        </w:tc>
        <w:tc>
          <w:tcPr>
            <w:tcW w:w="1527" w:type="pct"/>
            <w:vAlign w:val="center"/>
          </w:tcPr>
          <w:p w14:paraId="6ADF55D8" w14:textId="53BE42F6"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Udział procentowy dróg o nawierzchni spełniającej normatyw nośności 115 kN/oś </w:t>
            </w:r>
            <w:r w:rsidR="00D2626E">
              <w:rPr>
                <w:rFonts w:ascii="Arial" w:hAnsi="Arial" w:cs="Arial"/>
                <w:color w:val="000000" w:themeColor="text1"/>
                <w:sz w:val="22"/>
                <w:szCs w:val="22"/>
              </w:rPr>
              <w:br/>
            </w:r>
            <w:r w:rsidRPr="00D2626E">
              <w:rPr>
                <w:rFonts w:ascii="Arial" w:hAnsi="Arial" w:cs="Arial"/>
                <w:color w:val="000000" w:themeColor="text1"/>
                <w:sz w:val="22"/>
                <w:szCs w:val="22"/>
              </w:rPr>
              <w:t>w długości całej sieci dróg wojewódzkich.</w:t>
            </w:r>
          </w:p>
        </w:tc>
        <w:tc>
          <w:tcPr>
            <w:tcW w:w="413" w:type="pct"/>
            <w:vAlign w:val="center"/>
          </w:tcPr>
          <w:p w14:paraId="14ED3782"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w:t>
            </w:r>
          </w:p>
        </w:tc>
        <w:tc>
          <w:tcPr>
            <w:tcW w:w="631" w:type="pct"/>
            <w:vAlign w:val="center"/>
          </w:tcPr>
          <w:p w14:paraId="6B772966"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11,25 (2020 r.)</w:t>
            </w:r>
          </w:p>
        </w:tc>
        <w:tc>
          <w:tcPr>
            <w:tcW w:w="506" w:type="pct"/>
            <w:vAlign w:val="center"/>
          </w:tcPr>
          <w:p w14:paraId="557C3094"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39,87</w:t>
            </w:r>
          </w:p>
        </w:tc>
        <w:tc>
          <w:tcPr>
            <w:tcW w:w="475" w:type="pct"/>
            <w:vAlign w:val="center"/>
          </w:tcPr>
          <w:p w14:paraId="186087CB"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PZDW</w:t>
            </w:r>
          </w:p>
        </w:tc>
        <w:tc>
          <w:tcPr>
            <w:tcW w:w="563" w:type="pct"/>
            <w:vAlign w:val="center"/>
          </w:tcPr>
          <w:p w14:paraId="4A462B0C"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55A96CBA" w14:textId="77777777" w:rsidTr="00D2626E">
        <w:tc>
          <w:tcPr>
            <w:tcW w:w="885" w:type="pct"/>
            <w:vAlign w:val="center"/>
          </w:tcPr>
          <w:p w14:paraId="4EA5556D"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Cel podstawowy 2. Transportowa spójność wewnętrzna</w:t>
            </w:r>
          </w:p>
        </w:tc>
        <w:tc>
          <w:tcPr>
            <w:tcW w:w="1527" w:type="pct"/>
            <w:vAlign w:val="center"/>
          </w:tcPr>
          <w:p w14:paraId="37CB08F2" w14:textId="3920CE6A"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Udział dróg lokalnych (gminnych </w:t>
            </w:r>
            <w:r w:rsidR="00D2626E">
              <w:rPr>
                <w:rFonts w:ascii="Arial" w:hAnsi="Arial" w:cs="Arial"/>
                <w:color w:val="000000" w:themeColor="text1"/>
                <w:sz w:val="22"/>
                <w:szCs w:val="22"/>
              </w:rPr>
              <w:br/>
            </w:r>
            <w:r w:rsidRPr="00D2626E">
              <w:rPr>
                <w:rFonts w:ascii="Arial" w:hAnsi="Arial" w:cs="Arial"/>
                <w:color w:val="000000" w:themeColor="text1"/>
                <w:sz w:val="22"/>
                <w:szCs w:val="22"/>
              </w:rPr>
              <w:t>i powiatowych) o nawierzchni twardej ulepszonej (z kostki kamiennej, klinkieru, betonu, z płyt kamienno-betonowych, bitumu) w ogólnej długości dróg.</w:t>
            </w:r>
          </w:p>
        </w:tc>
        <w:tc>
          <w:tcPr>
            <w:tcW w:w="413" w:type="pct"/>
            <w:vAlign w:val="center"/>
          </w:tcPr>
          <w:p w14:paraId="032302C3"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km</w:t>
            </w:r>
          </w:p>
        </w:tc>
        <w:tc>
          <w:tcPr>
            <w:tcW w:w="631" w:type="pct"/>
            <w:vAlign w:val="center"/>
          </w:tcPr>
          <w:p w14:paraId="712D93F5"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14021,1 (2020 r.)</w:t>
            </w:r>
          </w:p>
        </w:tc>
        <w:tc>
          <w:tcPr>
            <w:tcW w:w="506" w:type="pct"/>
            <w:vAlign w:val="center"/>
          </w:tcPr>
          <w:p w14:paraId="7C9202C8"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15000</w:t>
            </w:r>
          </w:p>
        </w:tc>
        <w:tc>
          <w:tcPr>
            <w:tcW w:w="475" w:type="pct"/>
            <w:vAlign w:val="center"/>
          </w:tcPr>
          <w:p w14:paraId="0881AF44"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3" w:type="pct"/>
            <w:vAlign w:val="center"/>
          </w:tcPr>
          <w:p w14:paraId="722D79E0"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5437C877" w14:textId="77777777" w:rsidTr="00D2626E">
        <w:tc>
          <w:tcPr>
            <w:tcW w:w="885" w:type="pct"/>
            <w:vAlign w:val="center"/>
          </w:tcPr>
          <w:p w14:paraId="5FBCFA34"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Cel podstawowy 2. Transportowa spójność wewnętrzna</w:t>
            </w:r>
          </w:p>
        </w:tc>
        <w:tc>
          <w:tcPr>
            <w:tcW w:w="1527" w:type="pct"/>
            <w:vAlign w:val="center"/>
          </w:tcPr>
          <w:p w14:paraId="6FD78689" w14:textId="77777777"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Wojewódzkie mosty i wiadukty ogółem</w:t>
            </w:r>
          </w:p>
        </w:tc>
        <w:tc>
          <w:tcPr>
            <w:tcW w:w="413" w:type="pct"/>
            <w:vAlign w:val="center"/>
          </w:tcPr>
          <w:p w14:paraId="3A513A51"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szt.</w:t>
            </w:r>
          </w:p>
        </w:tc>
        <w:tc>
          <w:tcPr>
            <w:tcW w:w="631" w:type="pct"/>
            <w:vAlign w:val="center"/>
          </w:tcPr>
          <w:p w14:paraId="59371BB4"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383 (2020 r.)</w:t>
            </w:r>
          </w:p>
        </w:tc>
        <w:tc>
          <w:tcPr>
            <w:tcW w:w="506" w:type="pct"/>
            <w:vAlign w:val="center"/>
          </w:tcPr>
          <w:p w14:paraId="322E9FE8"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393</w:t>
            </w:r>
          </w:p>
        </w:tc>
        <w:tc>
          <w:tcPr>
            <w:tcW w:w="475" w:type="pct"/>
            <w:vAlign w:val="center"/>
          </w:tcPr>
          <w:p w14:paraId="41B9671D"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3" w:type="pct"/>
            <w:vAlign w:val="center"/>
          </w:tcPr>
          <w:p w14:paraId="00B5A997"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6BB735AC" w14:textId="77777777" w:rsidTr="00D2626E">
        <w:tc>
          <w:tcPr>
            <w:tcW w:w="885" w:type="pct"/>
            <w:vAlign w:val="center"/>
          </w:tcPr>
          <w:p w14:paraId="7B12696D"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 xml:space="preserve">Cel podstawowy 2. Transportowa spójność wewnętrzna </w:t>
            </w:r>
          </w:p>
        </w:tc>
        <w:tc>
          <w:tcPr>
            <w:tcW w:w="1527" w:type="pct"/>
            <w:vAlign w:val="center"/>
          </w:tcPr>
          <w:p w14:paraId="0C636AFE" w14:textId="4690C7E7"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Lokalne (powiatowe i gminne) mosty </w:t>
            </w:r>
            <w:r w:rsidR="00D2626E">
              <w:rPr>
                <w:rFonts w:ascii="Arial" w:hAnsi="Arial" w:cs="Arial"/>
                <w:color w:val="000000" w:themeColor="text1"/>
                <w:sz w:val="22"/>
                <w:szCs w:val="22"/>
              </w:rPr>
              <w:br/>
            </w:r>
            <w:r w:rsidRPr="00D2626E">
              <w:rPr>
                <w:rFonts w:ascii="Arial" w:hAnsi="Arial" w:cs="Arial"/>
                <w:color w:val="000000" w:themeColor="text1"/>
                <w:sz w:val="22"/>
                <w:szCs w:val="22"/>
              </w:rPr>
              <w:t>i wiadukty ogółem</w:t>
            </w:r>
          </w:p>
        </w:tc>
        <w:tc>
          <w:tcPr>
            <w:tcW w:w="413" w:type="pct"/>
            <w:vAlign w:val="center"/>
          </w:tcPr>
          <w:p w14:paraId="5D0C576E"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szt.</w:t>
            </w:r>
          </w:p>
        </w:tc>
        <w:tc>
          <w:tcPr>
            <w:tcW w:w="631" w:type="pct"/>
            <w:vAlign w:val="center"/>
          </w:tcPr>
          <w:p w14:paraId="3D8309E7"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1649 (2020 r.)</w:t>
            </w:r>
          </w:p>
        </w:tc>
        <w:tc>
          <w:tcPr>
            <w:tcW w:w="506" w:type="pct"/>
            <w:vAlign w:val="center"/>
          </w:tcPr>
          <w:p w14:paraId="671FAED1"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1654</w:t>
            </w:r>
          </w:p>
        </w:tc>
        <w:tc>
          <w:tcPr>
            <w:tcW w:w="475" w:type="pct"/>
            <w:vAlign w:val="center"/>
          </w:tcPr>
          <w:p w14:paraId="45828834"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3" w:type="pct"/>
            <w:vAlign w:val="center"/>
          </w:tcPr>
          <w:p w14:paraId="3BB00B88"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09F41934" w14:textId="77777777" w:rsidTr="00D2626E">
        <w:tc>
          <w:tcPr>
            <w:tcW w:w="885" w:type="pct"/>
            <w:vAlign w:val="center"/>
          </w:tcPr>
          <w:p w14:paraId="6E92FC72"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 xml:space="preserve">Cel podstawowy 2. Transportowa spójność wewnętrzna </w:t>
            </w:r>
          </w:p>
        </w:tc>
        <w:tc>
          <w:tcPr>
            <w:tcW w:w="1527" w:type="pct"/>
            <w:vAlign w:val="center"/>
          </w:tcPr>
          <w:p w14:paraId="17EB9016" w14:textId="47F0425D"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Roczne wydatki (bieżące ogółem) gmin </w:t>
            </w:r>
            <w:r w:rsidR="00D2626E">
              <w:rPr>
                <w:rFonts w:ascii="Arial" w:hAnsi="Arial" w:cs="Arial"/>
                <w:color w:val="000000" w:themeColor="text1"/>
                <w:sz w:val="22"/>
                <w:szCs w:val="22"/>
              </w:rPr>
              <w:br/>
            </w:r>
            <w:r w:rsidRPr="00D2626E">
              <w:rPr>
                <w:rFonts w:ascii="Arial" w:hAnsi="Arial" w:cs="Arial"/>
                <w:color w:val="000000" w:themeColor="text1"/>
                <w:sz w:val="22"/>
                <w:szCs w:val="22"/>
              </w:rPr>
              <w:t>i miast na prawach powiatu w kategorii transport i łączność</w:t>
            </w:r>
          </w:p>
        </w:tc>
        <w:tc>
          <w:tcPr>
            <w:tcW w:w="413" w:type="pct"/>
            <w:vAlign w:val="center"/>
          </w:tcPr>
          <w:p w14:paraId="43035A68"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mln PLN</w:t>
            </w:r>
          </w:p>
        </w:tc>
        <w:tc>
          <w:tcPr>
            <w:tcW w:w="631" w:type="pct"/>
            <w:vAlign w:val="center"/>
          </w:tcPr>
          <w:p w14:paraId="72B02D62"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331,52 (2020 r.)</w:t>
            </w:r>
          </w:p>
        </w:tc>
        <w:tc>
          <w:tcPr>
            <w:tcW w:w="506" w:type="pct"/>
            <w:vAlign w:val="center"/>
          </w:tcPr>
          <w:p w14:paraId="6BC9EE21"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400,00</w:t>
            </w:r>
          </w:p>
        </w:tc>
        <w:tc>
          <w:tcPr>
            <w:tcW w:w="475" w:type="pct"/>
            <w:vAlign w:val="center"/>
          </w:tcPr>
          <w:p w14:paraId="3CC146A0"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3" w:type="pct"/>
            <w:vAlign w:val="center"/>
          </w:tcPr>
          <w:p w14:paraId="5DBF2B7C"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4BF593A8" w14:textId="77777777" w:rsidTr="00D2626E">
        <w:tc>
          <w:tcPr>
            <w:tcW w:w="885" w:type="pct"/>
            <w:vAlign w:val="center"/>
          </w:tcPr>
          <w:p w14:paraId="74779B9B"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 xml:space="preserve">Cel podstawowy 2. Transportowa spójność wewnętrzna </w:t>
            </w:r>
          </w:p>
        </w:tc>
        <w:tc>
          <w:tcPr>
            <w:tcW w:w="1527" w:type="pct"/>
            <w:vAlign w:val="center"/>
          </w:tcPr>
          <w:p w14:paraId="2B998099" w14:textId="77777777"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Linie kolejowe normalnotorowe dwu- i więcej torowe</w:t>
            </w:r>
          </w:p>
        </w:tc>
        <w:tc>
          <w:tcPr>
            <w:tcW w:w="413" w:type="pct"/>
            <w:vAlign w:val="center"/>
          </w:tcPr>
          <w:p w14:paraId="3AE727A7"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km</w:t>
            </w:r>
          </w:p>
        </w:tc>
        <w:tc>
          <w:tcPr>
            <w:tcW w:w="631" w:type="pct"/>
            <w:vAlign w:val="center"/>
          </w:tcPr>
          <w:p w14:paraId="50E902BD"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233 (2020 r.)</w:t>
            </w:r>
          </w:p>
        </w:tc>
        <w:tc>
          <w:tcPr>
            <w:tcW w:w="506" w:type="pct"/>
            <w:vAlign w:val="center"/>
          </w:tcPr>
          <w:p w14:paraId="161AFB08"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250</w:t>
            </w:r>
          </w:p>
        </w:tc>
        <w:tc>
          <w:tcPr>
            <w:tcW w:w="475" w:type="pct"/>
            <w:vAlign w:val="center"/>
          </w:tcPr>
          <w:p w14:paraId="241D2ABD"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3" w:type="pct"/>
            <w:vAlign w:val="center"/>
          </w:tcPr>
          <w:p w14:paraId="0DFD5D6B"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2C372CC9" w14:textId="77777777" w:rsidTr="00D2626E">
        <w:tc>
          <w:tcPr>
            <w:tcW w:w="885" w:type="pct"/>
            <w:vAlign w:val="center"/>
          </w:tcPr>
          <w:p w14:paraId="272E804E"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Cel podstawowy 3. Integracja MOF</w:t>
            </w:r>
          </w:p>
        </w:tc>
        <w:tc>
          <w:tcPr>
            <w:tcW w:w="1527" w:type="pct"/>
            <w:vAlign w:val="center"/>
          </w:tcPr>
          <w:p w14:paraId="3DFCF5DF" w14:textId="77777777"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Linie komunikacji miejskiej – podkarpackie</w:t>
            </w:r>
          </w:p>
        </w:tc>
        <w:tc>
          <w:tcPr>
            <w:tcW w:w="413" w:type="pct"/>
            <w:vAlign w:val="center"/>
          </w:tcPr>
          <w:p w14:paraId="2C713511"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km</w:t>
            </w:r>
          </w:p>
        </w:tc>
        <w:tc>
          <w:tcPr>
            <w:tcW w:w="631" w:type="pct"/>
            <w:vAlign w:val="center"/>
          </w:tcPr>
          <w:p w14:paraId="0E0DAAD7"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3067,2 (2020 r.)</w:t>
            </w:r>
          </w:p>
        </w:tc>
        <w:tc>
          <w:tcPr>
            <w:tcW w:w="506" w:type="pct"/>
            <w:vAlign w:val="center"/>
          </w:tcPr>
          <w:p w14:paraId="3D5FAF88"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3150</w:t>
            </w:r>
          </w:p>
        </w:tc>
        <w:tc>
          <w:tcPr>
            <w:tcW w:w="475" w:type="pct"/>
            <w:vAlign w:val="center"/>
          </w:tcPr>
          <w:p w14:paraId="1ADDBB71"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3" w:type="pct"/>
            <w:vAlign w:val="center"/>
          </w:tcPr>
          <w:p w14:paraId="476C9905"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7B726B35" w14:textId="77777777" w:rsidTr="00D2626E">
        <w:tc>
          <w:tcPr>
            <w:tcW w:w="885" w:type="pct"/>
            <w:vAlign w:val="center"/>
          </w:tcPr>
          <w:p w14:paraId="5BBDD7EF"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Cel podstawowy 3. Integracja MOF</w:t>
            </w:r>
          </w:p>
        </w:tc>
        <w:tc>
          <w:tcPr>
            <w:tcW w:w="1527" w:type="pct"/>
            <w:vAlign w:val="center"/>
          </w:tcPr>
          <w:p w14:paraId="1D11DF84" w14:textId="25AC6361"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Przeciętny przebieg 1 wozu w ciągu doby </w:t>
            </w:r>
            <w:r w:rsidR="00D2626E">
              <w:rPr>
                <w:rFonts w:ascii="Arial" w:hAnsi="Arial" w:cs="Arial"/>
                <w:color w:val="000000" w:themeColor="text1"/>
                <w:sz w:val="22"/>
                <w:szCs w:val="22"/>
              </w:rPr>
              <w:br/>
            </w:r>
            <w:r w:rsidRPr="00D2626E">
              <w:rPr>
                <w:rFonts w:ascii="Arial" w:hAnsi="Arial" w:cs="Arial"/>
                <w:color w:val="000000" w:themeColor="text1"/>
                <w:sz w:val="22"/>
                <w:szCs w:val="22"/>
              </w:rPr>
              <w:t xml:space="preserve">w miejskiej komunikacji autobusowej </w:t>
            </w:r>
            <w:r w:rsidR="00D2626E">
              <w:rPr>
                <w:rFonts w:ascii="Arial" w:hAnsi="Arial" w:cs="Arial"/>
                <w:color w:val="000000" w:themeColor="text1"/>
                <w:sz w:val="22"/>
                <w:szCs w:val="22"/>
              </w:rPr>
              <w:br/>
            </w:r>
            <w:r w:rsidRPr="00D2626E">
              <w:rPr>
                <w:rFonts w:ascii="Arial" w:hAnsi="Arial" w:cs="Arial"/>
                <w:color w:val="000000" w:themeColor="text1"/>
                <w:sz w:val="22"/>
                <w:szCs w:val="22"/>
              </w:rPr>
              <w:t>w województwie</w:t>
            </w:r>
          </w:p>
        </w:tc>
        <w:tc>
          <w:tcPr>
            <w:tcW w:w="413" w:type="pct"/>
            <w:vAlign w:val="center"/>
          </w:tcPr>
          <w:p w14:paraId="51B88FD0"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km</w:t>
            </w:r>
          </w:p>
        </w:tc>
        <w:tc>
          <w:tcPr>
            <w:tcW w:w="631" w:type="pct"/>
            <w:vAlign w:val="center"/>
          </w:tcPr>
          <w:p w14:paraId="3071F5A1"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162 (2020 r.)</w:t>
            </w:r>
          </w:p>
        </w:tc>
        <w:tc>
          <w:tcPr>
            <w:tcW w:w="506" w:type="pct"/>
            <w:vAlign w:val="center"/>
          </w:tcPr>
          <w:p w14:paraId="1EE8FDE1"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130,0</w:t>
            </w:r>
          </w:p>
        </w:tc>
        <w:tc>
          <w:tcPr>
            <w:tcW w:w="475" w:type="pct"/>
            <w:vAlign w:val="center"/>
          </w:tcPr>
          <w:p w14:paraId="6B6052CA"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3" w:type="pct"/>
            <w:vAlign w:val="center"/>
          </w:tcPr>
          <w:p w14:paraId="6954F61B"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2329B6" w:rsidRPr="00D2626E" w14:paraId="16DB184B" w14:textId="77777777" w:rsidTr="00D2626E">
        <w:tc>
          <w:tcPr>
            <w:tcW w:w="885" w:type="pct"/>
            <w:vAlign w:val="center"/>
          </w:tcPr>
          <w:p w14:paraId="6F87C4B1" w14:textId="77777777" w:rsidR="002329B6" w:rsidRPr="00D2626E" w:rsidRDefault="002329B6" w:rsidP="00D2626E">
            <w:pPr>
              <w:spacing w:line="276" w:lineRule="auto"/>
              <w:rPr>
                <w:rFonts w:ascii="Arial" w:hAnsi="Arial" w:cs="Arial"/>
                <w:b/>
                <w:color w:val="000000" w:themeColor="text1"/>
                <w:sz w:val="22"/>
                <w:szCs w:val="22"/>
              </w:rPr>
            </w:pPr>
            <w:r w:rsidRPr="00D2626E">
              <w:rPr>
                <w:rFonts w:ascii="Arial" w:hAnsi="Arial" w:cs="Arial"/>
                <w:b/>
                <w:color w:val="000000" w:themeColor="text1"/>
                <w:sz w:val="22"/>
                <w:szCs w:val="22"/>
              </w:rPr>
              <w:t>Cel podstawowy 3. Integracja MOF</w:t>
            </w:r>
          </w:p>
        </w:tc>
        <w:tc>
          <w:tcPr>
            <w:tcW w:w="1527" w:type="pct"/>
            <w:vAlign w:val="center"/>
          </w:tcPr>
          <w:p w14:paraId="46919EA1" w14:textId="77777777" w:rsidR="002329B6" w:rsidRPr="00D2626E" w:rsidRDefault="002329B6" w:rsidP="00D2626E">
            <w:pPr>
              <w:spacing w:line="276" w:lineRule="auto"/>
              <w:rPr>
                <w:rFonts w:ascii="Arial" w:hAnsi="Arial" w:cs="Arial"/>
                <w:color w:val="000000" w:themeColor="text1"/>
                <w:sz w:val="22"/>
                <w:szCs w:val="22"/>
              </w:rPr>
            </w:pPr>
            <w:r w:rsidRPr="00D2626E">
              <w:rPr>
                <w:rFonts w:ascii="Arial" w:hAnsi="Arial" w:cs="Arial"/>
                <w:color w:val="000000" w:themeColor="text1"/>
                <w:sz w:val="22"/>
                <w:szCs w:val="22"/>
              </w:rPr>
              <w:t>Przewozy pasażerów środkami komunikacji miejskiej</w:t>
            </w:r>
          </w:p>
        </w:tc>
        <w:tc>
          <w:tcPr>
            <w:tcW w:w="413" w:type="pct"/>
            <w:vAlign w:val="center"/>
          </w:tcPr>
          <w:p w14:paraId="5B7F68B8"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na 1 mieszkańca</w:t>
            </w:r>
          </w:p>
        </w:tc>
        <w:tc>
          <w:tcPr>
            <w:tcW w:w="631" w:type="pct"/>
            <w:vAlign w:val="center"/>
          </w:tcPr>
          <w:p w14:paraId="41E139B4"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15,01 (2020 r.)</w:t>
            </w:r>
          </w:p>
        </w:tc>
        <w:tc>
          <w:tcPr>
            <w:tcW w:w="506" w:type="pct"/>
            <w:vAlign w:val="center"/>
          </w:tcPr>
          <w:p w14:paraId="786F8694"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30,0</w:t>
            </w:r>
          </w:p>
        </w:tc>
        <w:tc>
          <w:tcPr>
            <w:tcW w:w="475" w:type="pct"/>
            <w:vAlign w:val="center"/>
          </w:tcPr>
          <w:p w14:paraId="698AD3F3"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3" w:type="pct"/>
            <w:vAlign w:val="center"/>
          </w:tcPr>
          <w:p w14:paraId="0DF1F89B" w14:textId="77777777" w:rsidR="002329B6" w:rsidRPr="00D2626E" w:rsidRDefault="002329B6" w:rsidP="00D2626E">
            <w:pPr>
              <w:spacing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bl>
    <w:p w14:paraId="5BBB1B36" w14:textId="6FB3AB3E" w:rsidR="007F50CA" w:rsidRPr="009B78DA" w:rsidRDefault="007F50CA" w:rsidP="00D2626E">
      <w:pPr>
        <w:pStyle w:val="Legenda"/>
        <w:keepNext/>
        <w:spacing w:before="120" w:after="120" w:line="276" w:lineRule="auto"/>
        <w:jc w:val="both"/>
        <w:rPr>
          <w:rFonts w:ascii="Arial" w:hAnsi="Arial" w:cs="Arial"/>
          <w:i w:val="0"/>
          <w:color w:val="000000" w:themeColor="text1"/>
          <w:sz w:val="22"/>
          <w:szCs w:val="22"/>
        </w:rPr>
      </w:pPr>
      <w:bookmarkStart w:id="425" w:name="_Toc146785770"/>
      <w:bookmarkEnd w:id="424"/>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40</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Wskaźniki produktu i rezultatu służące monitorowaniu osiągania celów horyzontalnych PSRT WP.</w:t>
      </w:r>
      <w:bookmarkEnd w:id="425"/>
    </w:p>
    <w:tbl>
      <w:tblPr>
        <w:tblStyle w:val="Tabela-Siatka"/>
        <w:tblW w:w="5000" w:type="pct"/>
        <w:tblLook w:val="04A0" w:firstRow="1" w:lastRow="0" w:firstColumn="1" w:lastColumn="0" w:noHBand="0" w:noVBand="1"/>
        <w:tblCaption w:val="Tabela 40 Wskaźniki produktu i rezultatu służące monitorowaniu osiągania celów horyzontalnych PSRT WP."/>
        <w:tblDescription w:val="Tabela zawiera L.p., Wskaźnik, Jednostka miary, Opis/uzasadnienie dla wskaźników osiągania celów horyzontalnych, Wartość bazowa wskaźnika, Wartość szacunkowa wskaźnika w 2030 r., Źródło danych, Częstotliwość pomiaru"/>
      </w:tblPr>
      <w:tblGrid>
        <w:gridCol w:w="617"/>
        <w:gridCol w:w="2172"/>
        <w:gridCol w:w="4261"/>
        <w:gridCol w:w="1553"/>
        <w:gridCol w:w="1553"/>
        <w:gridCol w:w="1550"/>
        <w:gridCol w:w="1953"/>
        <w:gridCol w:w="1729"/>
      </w:tblGrid>
      <w:tr w:rsidR="006F4FD2" w:rsidRPr="00D2626E" w14:paraId="4361D866" w14:textId="77777777" w:rsidTr="00D2626E">
        <w:trPr>
          <w:tblHeader/>
        </w:trPr>
        <w:tc>
          <w:tcPr>
            <w:tcW w:w="201" w:type="pct"/>
            <w:shd w:val="clear" w:color="auto" w:fill="DEEAF6" w:themeFill="accent1" w:themeFillTint="33"/>
            <w:vAlign w:val="center"/>
          </w:tcPr>
          <w:p w14:paraId="7B956B45" w14:textId="77777777" w:rsidR="000917DE" w:rsidRPr="00D2626E" w:rsidRDefault="000917DE" w:rsidP="002A0CE7">
            <w:pPr>
              <w:spacing w:before="40" w:after="40"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L.p.</w:t>
            </w:r>
          </w:p>
        </w:tc>
        <w:tc>
          <w:tcPr>
            <w:tcW w:w="706" w:type="pct"/>
            <w:shd w:val="clear" w:color="auto" w:fill="DEEAF6" w:themeFill="accent1" w:themeFillTint="33"/>
            <w:vAlign w:val="center"/>
          </w:tcPr>
          <w:p w14:paraId="2E4135F8" w14:textId="77777777" w:rsidR="000917DE" w:rsidRPr="00D2626E" w:rsidRDefault="000917DE" w:rsidP="002A0CE7">
            <w:pPr>
              <w:spacing w:before="40" w:after="40"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Wskaźnik</w:t>
            </w:r>
          </w:p>
        </w:tc>
        <w:tc>
          <w:tcPr>
            <w:tcW w:w="1385" w:type="pct"/>
            <w:shd w:val="clear" w:color="auto" w:fill="DEEAF6" w:themeFill="accent1" w:themeFillTint="33"/>
            <w:vAlign w:val="center"/>
          </w:tcPr>
          <w:p w14:paraId="16C04755" w14:textId="77777777" w:rsidR="000917DE" w:rsidRPr="00D2626E" w:rsidRDefault="000917DE" w:rsidP="002A0CE7">
            <w:pPr>
              <w:spacing w:before="40" w:after="40"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Opis/uzasadnienie dla wskaźników osiągania celów horyzontalnych</w:t>
            </w:r>
          </w:p>
        </w:tc>
        <w:tc>
          <w:tcPr>
            <w:tcW w:w="505" w:type="pct"/>
            <w:shd w:val="clear" w:color="auto" w:fill="DEEAF6" w:themeFill="accent1" w:themeFillTint="33"/>
            <w:vAlign w:val="center"/>
          </w:tcPr>
          <w:p w14:paraId="697D525B" w14:textId="77777777" w:rsidR="000917DE" w:rsidRPr="00D2626E" w:rsidRDefault="000917DE" w:rsidP="002A0CE7">
            <w:pPr>
              <w:spacing w:before="40" w:after="40"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Jednostka miary</w:t>
            </w:r>
          </w:p>
        </w:tc>
        <w:tc>
          <w:tcPr>
            <w:tcW w:w="505" w:type="pct"/>
            <w:shd w:val="clear" w:color="auto" w:fill="DEEAF6" w:themeFill="accent1" w:themeFillTint="33"/>
            <w:vAlign w:val="center"/>
          </w:tcPr>
          <w:p w14:paraId="07CD5C08" w14:textId="77777777" w:rsidR="000917DE" w:rsidRPr="00D2626E" w:rsidRDefault="000917DE" w:rsidP="002A0CE7">
            <w:pPr>
              <w:spacing w:before="40" w:after="40"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Wartość bazowa wskaźnika</w:t>
            </w:r>
          </w:p>
        </w:tc>
        <w:tc>
          <w:tcPr>
            <w:tcW w:w="504" w:type="pct"/>
            <w:shd w:val="clear" w:color="auto" w:fill="DEEAF6" w:themeFill="accent1" w:themeFillTint="33"/>
            <w:vAlign w:val="center"/>
          </w:tcPr>
          <w:p w14:paraId="6C5052C1" w14:textId="55790D72" w:rsidR="000917DE" w:rsidRPr="00D2626E" w:rsidRDefault="000917DE" w:rsidP="002A0CE7">
            <w:pPr>
              <w:spacing w:before="40" w:after="40"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 xml:space="preserve">Wartość szacunkowa wskaźnika </w:t>
            </w:r>
            <w:r w:rsidR="002A0CE7">
              <w:rPr>
                <w:rFonts w:ascii="Arial" w:hAnsi="Arial" w:cs="Arial"/>
                <w:b/>
                <w:color w:val="000000" w:themeColor="text1"/>
                <w:sz w:val="22"/>
                <w:szCs w:val="22"/>
              </w:rPr>
              <w:br/>
            </w:r>
            <w:r w:rsidRPr="00D2626E">
              <w:rPr>
                <w:rFonts w:ascii="Arial" w:hAnsi="Arial" w:cs="Arial"/>
                <w:b/>
                <w:color w:val="000000" w:themeColor="text1"/>
                <w:sz w:val="22"/>
                <w:szCs w:val="22"/>
              </w:rPr>
              <w:t>w 2030 r.</w:t>
            </w:r>
          </w:p>
        </w:tc>
        <w:tc>
          <w:tcPr>
            <w:tcW w:w="632" w:type="pct"/>
            <w:shd w:val="clear" w:color="auto" w:fill="DEEAF6" w:themeFill="accent1" w:themeFillTint="33"/>
            <w:vAlign w:val="center"/>
          </w:tcPr>
          <w:p w14:paraId="6083AAA0" w14:textId="77777777" w:rsidR="000917DE" w:rsidRPr="00D2626E" w:rsidRDefault="000917DE" w:rsidP="002A0CE7">
            <w:pPr>
              <w:spacing w:before="40" w:after="40"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Źródło danych</w:t>
            </w:r>
          </w:p>
        </w:tc>
        <w:tc>
          <w:tcPr>
            <w:tcW w:w="562" w:type="pct"/>
            <w:shd w:val="clear" w:color="auto" w:fill="DEEAF6" w:themeFill="accent1" w:themeFillTint="33"/>
            <w:vAlign w:val="center"/>
          </w:tcPr>
          <w:p w14:paraId="3635A759" w14:textId="77777777" w:rsidR="000917DE" w:rsidRPr="00D2626E" w:rsidRDefault="000917DE" w:rsidP="002A0CE7">
            <w:pPr>
              <w:spacing w:before="40" w:after="40" w:line="276" w:lineRule="auto"/>
              <w:jc w:val="center"/>
              <w:rPr>
                <w:rFonts w:ascii="Arial" w:hAnsi="Arial" w:cs="Arial"/>
                <w:b/>
                <w:color w:val="000000" w:themeColor="text1"/>
                <w:sz w:val="22"/>
                <w:szCs w:val="22"/>
              </w:rPr>
            </w:pPr>
            <w:r w:rsidRPr="00D2626E">
              <w:rPr>
                <w:rFonts w:ascii="Arial" w:hAnsi="Arial" w:cs="Arial"/>
                <w:b/>
                <w:color w:val="000000" w:themeColor="text1"/>
                <w:sz w:val="22"/>
                <w:szCs w:val="22"/>
              </w:rPr>
              <w:t>Częstotliwość pomiaru</w:t>
            </w:r>
          </w:p>
        </w:tc>
      </w:tr>
      <w:tr w:rsidR="006F4FD2" w:rsidRPr="00D2626E" w14:paraId="608E2E7A" w14:textId="77777777" w:rsidTr="00D2626E">
        <w:tc>
          <w:tcPr>
            <w:tcW w:w="201" w:type="pct"/>
            <w:vAlign w:val="center"/>
          </w:tcPr>
          <w:p w14:paraId="1BB79D72"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1.</w:t>
            </w:r>
          </w:p>
        </w:tc>
        <w:tc>
          <w:tcPr>
            <w:tcW w:w="706" w:type="pct"/>
            <w:vAlign w:val="center"/>
          </w:tcPr>
          <w:p w14:paraId="6E1FD077"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Długość zelektryfikowanych linii kolejowych</w:t>
            </w:r>
          </w:p>
        </w:tc>
        <w:tc>
          <w:tcPr>
            <w:tcW w:w="1385" w:type="pct"/>
            <w:vAlign w:val="center"/>
          </w:tcPr>
          <w:p w14:paraId="558D4BF5"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Zmniejszenie emisji gazów cieplarnianych w transporcie jest możliwe dzięki ograniczeniu wykorzystania lokomotyw spalinowych przy jednoczesnym zwiększeniu roli pojazdów elektrycznych.</w:t>
            </w:r>
          </w:p>
        </w:tc>
        <w:tc>
          <w:tcPr>
            <w:tcW w:w="505" w:type="pct"/>
            <w:vAlign w:val="center"/>
          </w:tcPr>
          <w:p w14:paraId="28A7D10B"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km</w:t>
            </w:r>
          </w:p>
        </w:tc>
        <w:tc>
          <w:tcPr>
            <w:tcW w:w="505" w:type="pct"/>
            <w:vAlign w:val="center"/>
          </w:tcPr>
          <w:p w14:paraId="490B6112"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398 (2020 r.)</w:t>
            </w:r>
          </w:p>
        </w:tc>
        <w:tc>
          <w:tcPr>
            <w:tcW w:w="504" w:type="pct"/>
            <w:vAlign w:val="center"/>
          </w:tcPr>
          <w:p w14:paraId="5497D3B8"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400</w:t>
            </w:r>
          </w:p>
        </w:tc>
        <w:tc>
          <w:tcPr>
            <w:tcW w:w="632" w:type="pct"/>
            <w:vAlign w:val="center"/>
          </w:tcPr>
          <w:p w14:paraId="5FA20E10" w14:textId="77777777" w:rsidR="000917DE" w:rsidRPr="00D2626E" w:rsidRDefault="000917DE" w:rsidP="002A0CE7">
            <w:pPr>
              <w:spacing w:before="40" w:after="40" w:line="276" w:lineRule="auto"/>
              <w:jc w:val="center"/>
              <w:rPr>
                <w:rFonts w:ascii="Arial" w:hAnsi="Arial" w:cs="Arial"/>
                <w:color w:val="000000" w:themeColor="text1"/>
                <w:sz w:val="22"/>
                <w:szCs w:val="22"/>
                <w:lang w:val="en-GB"/>
              </w:rPr>
            </w:pPr>
            <w:r w:rsidRPr="00D2626E">
              <w:rPr>
                <w:rFonts w:ascii="Arial" w:hAnsi="Arial" w:cs="Arial"/>
                <w:color w:val="000000" w:themeColor="text1"/>
                <w:sz w:val="22"/>
                <w:szCs w:val="22"/>
                <w:lang w:val="en-GB"/>
              </w:rPr>
              <w:t>PKP PLK S.A.; GUS (BDL)</w:t>
            </w:r>
          </w:p>
        </w:tc>
        <w:tc>
          <w:tcPr>
            <w:tcW w:w="562" w:type="pct"/>
            <w:vAlign w:val="center"/>
          </w:tcPr>
          <w:p w14:paraId="67025BF2"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6CE725D9" w14:textId="77777777" w:rsidTr="00D2626E">
        <w:tc>
          <w:tcPr>
            <w:tcW w:w="201" w:type="pct"/>
            <w:vAlign w:val="center"/>
          </w:tcPr>
          <w:p w14:paraId="4999D6CF"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2.</w:t>
            </w:r>
          </w:p>
        </w:tc>
        <w:tc>
          <w:tcPr>
            <w:tcW w:w="706" w:type="pct"/>
            <w:vAlign w:val="center"/>
          </w:tcPr>
          <w:p w14:paraId="2DD2B0E5"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Liczba elektrycznych pojazdów autobusowego transportu miejskiego w ROF oraz MOF województwa podkarpackiego</w:t>
            </w:r>
          </w:p>
        </w:tc>
        <w:tc>
          <w:tcPr>
            <w:tcW w:w="1385" w:type="pct"/>
            <w:vAlign w:val="center"/>
          </w:tcPr>
          <w:p w14:paraId="06D9180A"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Ograniczenie emisji gazów cieplarnianych w transporcie jest możliwe dzięki zastosowaniu w transporcie pasażerskim pojazdów elektrycznych.</w:t>
            </w:r>
          </w:p>
        </w:tc>
        <w:tc>
          <w:tcPr>
            <w:tcW w:w="505" w:type="pct"/>
            <w:vAlign w:val="center"/>
          </w:tcPr>
          <w:p w14:paraId="517BD8C0"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szt.</w:t>
            </w:r>
          </w:p>
        </w:tc>
        <w:tc>
          <w:tcPr>
            <w:tcW w:w="505" w:type="pct"/>
            <w:vAlign w:val="center"/>
          </w:tcPr>
          <w:p w14:paraId="17372288"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20 (2020 r.)</w:t>
            </w:r>
          </w:p>
        </w:tc>
        <w:tc>
          <w:tcPr>
            <w:tcW w:w="504" w:type="pct"/>
            <w:vAlign w:val="center"/>
          </w:tcPr>
          <w:p w14:paraId="39347AA5"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121</w:t>
            </w:r>
          </w:p>
        </w:tc>
        <w:tc>
          <w:tcPr>
            <w:tcW w:w="632" w:type="pct"/>
            <w:vAlign w:val="center"/>
          </w:tcPr>
          <w:p w14:paraId="2D51F179"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Informacje od JST lub ich jednostek podległych odpowiedzialnych za transport zbiorowy*</w:t>
            </w:r>
          </w:p>
        </w:tc>
        <w:tc>
          <w:tcPr>
            <w:tcW w:w="562" w:type="pct"/>
            <w:vAlign w:val="center"/>
          </w:tcPr>
          <w:p w14:paraId="3BA96727"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3FDB3B93" w14:textId="77777777" w:rsidTr="00D2626E">
        <w:tc>
          <w:tcPr>
            <w:tcW w:w="201" w:type="pct"/>
            <w:vAlign w:val="center"/>
          </w:tcPr>
          <w:p w14:paraId="7AA3D822"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3.</w:t>
            </w:r>
          </w:p>
        </w:tc>
        <w:tc>
          <w:tcPr>
            <w:tcW w:w="706" w:type="pct"/>
            <w:vAlign w:val="center"/>
          </w:tcPr>
          <w:p w14:paraId="7AA79C8A" w14:textId="124A736B"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Liczba parkingów </w:t>
            </w:r>
            <w:r w:rsidR="002A0CE7">
              <w:rPr>
                <w:rFonts w:ascii="Arial" w:hAnsi="Arial" w:cs="Arial"/>
                <w:color w:val="000000" w:themeColor="text1"/>
                <w:sz w:val="22"/>
                <w:szCs w:val="22"/>
              </w:rPr>
              <w:br/>
            </w:r>
            <w:r w:rsidRPr="00D2626E">
              <w:rPr>
                <w:rFonts w:ascii="Arial" w:hAnsi="Arial" w:cs="Arial"/>
                <w:color w:val="000000" w:themeColor="text1"/>
                <w:sz w:val="22"/>
                <w:szCs w:val="22"/>
              </w:rPr>
              <w:t>w systemie Parkuj i Jedź (Park &amp; Ride)</w:t>
            </w:r>
          </w:p>
        </w:tc>
        <w:tc>
          <w:tcPr>
            <w:tcW w:w="1385" w:type="pct"/>
            <w:vAlign w:val="center"/>
          </w:tcPr>
          <w:p w14:paraId="0B2D54A5" w14:textId="537935A0"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Wdrażanie udogodnień infrastrukturalnych umożliwiających płynną zmianę środka lokomocji (przesiadkę z samochodu do pojazdu transportu zbiorowego, czy na rower) – pozwala </w:t>
            </w:r>
            <w:r w:rsidR="001C5963" w:rsidRPr="00D2626E">
              <w:rPr>
                <w:rFonts w:ascii="Arial" w:hAnsi="Arial" w:cs="Arial"/>
                <w:color w:val="000000" w:themeColor="text1"/>
                <w:sz w:val="22"/>
                <w:szCs w:val="22"/>
              </w:rPr>
              <w:t>m. in.</w:t>
            </w:r>
            <w:r w:rsidRPr="00D2626E">
              <w:rPr>
                <w:rFonts w:ascii="Arial" w:hAnsi="Arial" w:cs="Arial"/>
                <w:color w:val="000000" w:themeColor="text1"/>
                <w:sz w:val="22"/>
                <w:szCs w:val="22"/>
              </w:rPr>
              <w:t xml:space="preserve"> ograniczyć emisję spalin oraz odciążyć ruch uliczny.</w:t>
            </w:r>
          </w:p>
        </w:tc>
        <w:tc>
          <w:tcPr>
            <w:tcW w:w="505" w:type="pct"/>
            <w:vAlign w:val="center"/>
          </w:tcPr>
          <w:p w14:paraId="6514F0D1"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szt.</w:t>
            </w:r>
          </w:p>
        </w:tc>
        <w:tc>
          <w:tcPr>
            <w:tcW w:w="505" w:type="pct"/>
            <w:vAlign w:val="center"/>
          </w:tcPr>
          <w:p w14:paraId="6F676893"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18 (2020 r.)</w:t>
            </w:r>
          </w:p>
        </w:tc>
        <w:tc>
          <w:tcPr>
            <w:tcW w:w="504" w:type="pct"/>
            <w:vAlign w:val="center"/>
          </w:tcPr>
          <w:p w14:paraId="6D23C9C2"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30</w:t>
            </w:r>
          </w:p>
        </w:tc>
        <w:tc>
          <w:tcPr>
            <w:tcW w:w="632" w:type="pct"/>
            <w:vAlign w:val="center"/>
          </w:tcPr>
          <w:p w14:paraId="11000925"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2" w:type="pct"/>
            <w:vAlign w:val="center"/>
          </w:tcPr>
          <w:p w14:paraId="496B990C"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070C82F6" w14:textId="77777777" w:rsidTr="00D2626E">
        <w:tc>
          <w:tcPr>
            <w:tcW w:w="201" w:type="pct"/>
            <w:vAlign w:val="center"/>
          </w:tcPr>
          <w:p w14:paraId="5889448D" w14:textId="77777777" w:rsidR="000917DE" w:rsidRPr="00D2626E" w:rsidRDefault="000917DE" w:rsidP="002A0CE7">
            <w:pPr>
              <w:spacing w:before="40" w:after="40" w:line="276" w:lineRule="auto"/>
              <w:rPr>
                <w:rFonts w:ascii="Arial" w:hAnsi="Arial" w:cs="Arial"/>
                <w:color w:val="000000" w:themeColor="text1"/>
                <w:sz w:val="22"/>
                <w:szCs w:val="22"/>
              </w:rPr>
            </w:pPr>
            <w:bookmarkStart w:id="426" w:name="_Hlk81556998"/>
            <w:r w:rsidRPr="00D2626E">
              <w:rPr>
                <w:rFonts w:ascii="Arial" w:hAnsi="Arial" w:cs="Arial"/>
                <w:color w:val="000000" w:themeColor="text1"/>
                <w:sz w:val="22"/>
                <w:szCs w:val="22"/>
              </w:rPr>
              <w:t>4.</w:t>
            </w:r>
          </w:p>
        </w:tc>
        <w:tc>
          <w:tcPr>
            <w:tcW w:w="706" w:type="pct"/>
            <w:vAlign w:val="center"/>
          </w:tcPr>
          <w:p w14:paraId="2517C05F"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Liczba przystanków autobusowych</w:t>
            </w:r>
          </w:p>
        </w:tc>
        <w:tc>
          <w:tcPr>
            <w:tcW w:w="1385" w:type="pct"/>
            <w:vAlign w:val="center"/>
          </w:tcPr>
          <w:p w14:paraId="1B3BCC9D"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Zwiększenie liczby przystanków autobusowych wpływa na poprawę dostępności transportu publicznego oraz bezpieczeństwa w ruchu drogowym.</w:t>
            </w:r>
          </w:p>
        </w:tc>
        <w:tc>
          <w:tcPr>
            <w:tcW w:w="505" w:type="pct"/>
            <w:vAlign w:val="center"/>
          </w:tcPr>
          <w:p w14:paraId="60255D2E"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szt.</w:t>
            </w:r>
          </w:p>
        </w:tc>
        <w:tc>
          <w:tcPr>
            <w:tcW w:w="505" w:type="pct"/>
            <w:vAlign w:val="center"/>
          </w:tcPr>
          <w:p w14:paraId="147485C1" w14:textId="77777777" w:rsidR="000917DE" w:rsidRPr="00D2626E" w:rsidRDefault="000917DE" w:rsidP="002A0CE7">
            <w:pPr>
              <w:spacing w:before="40" w:after="40" w:line="276" w:lineRule="auto"/>
              <w:ind w:left="-105" w:right="-113"/>
              <w:jc w:val="center"/>
              <w:rPr>
                <w:rFonts w:ascii="Arial" w:hAnsi="Arial" w:cs="Arial"/>
                <w:color w:val="000000" w:themeColor="text1"/>
                <w:sz w:val="22"/>
                <w:szCs w:val="22"/>
              </w:rPr>
            </w:pPr>
            <w:r w:rsidRPr="00D2626E">
              <w:rPr>
                <w:rFonts w:ascii="Arial" w:hAnsi="Arial" w:cs="Arial"/>
                <w:color w:val="000000" w:themeColor="text1"/>
                <w:sz w:val="22"/>
                <w:szCs w:val="22"/>
              </w:rPr>
              <w:t>10389 (2020 r.)</w:t>
            </w:r>
          </w:p>
        </w:tc>
        <w:tc>
          <w:tcPr>
            <w:tcW w:w="504" w:type="pct"/>
            <w:vAlign w:val="center"/>
          </w:tcPr>
          <w:p w14:paraId="553C00FF"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10500</w:t>
            </w:r>
          </w:p>
        </w:tc>
        <w:tc>
          <w:tcPr>
            <w:tcW w:w="632" w:type="pct"/>
            <w:vAlign w:val="center"/>
          </w:tcPr>
          <w:p w14:paraId="79FF2634"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2" w:type="pct"/>
            <w:vAlign w:val="center"/>
          </w:tcPr>
          <w:p w14:paraId="4C69847D"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bookmarkEnd w:id="426"/>
      <w:tr w:rsidR="006F4FD2" w:rsidRPr="00D2626E" w14:paraId="625C40FD" w14:textId="77777777" w:rsidTr="00D2626E">
        <w:tc>
          <w:tcPr>
            <w:tcW w:w="201" w:type="pct"/>
            <w:vAlign w:val="center"/>
          </w:tcPr>
          <w:p w14:paraId="0608B8CA"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5.</w:t>
            </w:r>
          </w:p>
        </w:tc>
        <w:tc>
          <w:tcPr>
            <w:tcW w:w="706" w:type="pct"/>
            <w:vAlign w:val="center"/>
          </w:tcPr>
          <w:p w14:paraId="17A5D150"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Liczba autobusów komunikacji miejskiej przystosowanych do przewozu osób niepełnosprawnych</w:t>
            </w:r>
          </w:p>
        </w:tc>
        <w:tc>
          <w:tcPr>
            <w:tcW w:w="1385" w:type="pct"/>
            <w:vAlign w:val="center"/>
          </w:tcPr>
          <w:p w14:paraId="4F5B98D1" w14:textId="0BB4BD90"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Pojazdy komunikacji miejskiej umożliwiające podróż osobom </w:t>
            </w:r>
            <w:r w:rsidR="002A0CE7">
              <w:rPr>
                <w:rFonts w:ascii="Arial" w:hAnsi="Arial" w:cs="Arial"/>
                <w:color w:val="000000" w:themeColor="text1"/>
                <w:sz w:val="22"/>
                <w:szCs w:val="22"/>
              </w:rPr>
              <w:br/>
            </w:r>
            <w:r w:rsidRPr="00D2626E">
              <w:rPr>
                <w:rFonts w:ascii="Arial" w:hAnsi="Arial" w:cs="Arial"/>
                <w:color w:val="000000" w:themeColor="text1"/>
                <w:sz w:val="22"/>
                <w:szCs w:val="22"/>
              </w:rPr>
              <w:t>z niepełnosprawnością pozwalają ograniczać sferę wykluczenia społecznego ze względu na dysfunkcje motoryczne.</w:t>
            </w:r>
          </w:p>
        </w:tc>
        <w:tc>
          <w:tcPr>
            <w:tcW w:w="505" w:type="pct"/>
            <w:vAlign w:val="center"/>
          </w:tcPr>
          <w:p w14:paraId="080270F5"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szt.</w:t>
            </w:r>
          </w:p>
        </w:tc>
        <w:tc>
          <w:tcPr>
            <w:tcW w:w="505" w:type="pct"/>
            <w:vAlign w:val="center"/>
          </w:tcPr>
          <w:p w14:paraId="60B4111D"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444 (2020 r.)</w:t>
            </w:r>
          </w:p>
        </w:tc>
        <w:tc>
          <w:tcPr>
            <w:tcW w:w="504" w:type="pct"/>
            <w:vAlign w:val="center"/>
          </w:tcPr>
          <w:p w14:paraId="77016285"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550</w:t>
            </w:r>
          </w:p>
        </w:tc>
        <w:tc>
          <w:tcPr>
            <w:tcW w:w="632" w:type="pct"/>
            <w:vAlign w:val="center"/>
          </w:tcPr>
          <w:p w14:paraId="0B2D721E"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GUS (BDL)</w:t>
            </w:r>
          </w:p>
        </w:tc>
        <w:tc>
          <w:tcPr>
            <w:tcW w:w="562" w:type="pct"/>
            <w:vAlign w:val="center"/>
          </w:tcPr>
          <w:p w14:paraId="697FAEA8"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195D4395" w14:textId="77777777" w:rsidTr="00D2626E">
        <w:tc>
          <w:tcPr>
            <w:tcW w:w="201" w:type="pct"/>
            <w:vAlign w:val="center"/>
          </w:tcPr>
          <w:p w14:paraId="08362193"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6.</w:t>
            </w:r>
          </w:p>
        </w:tc>
        <w:tc>
          <w:tcPr>
            <w:tcW w:w="706" w:type="pct"/>
            <w:vAlign w:val="center"/>
          </w:tcPr>
          <w:p w14:paraId="1FB2BAF4"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Długość ścieżek rowerowych</w:t>
            </w:r>
          </w:p>
        </w:tc>
        <w:tc>
          <w:tcPr>
            <w:tcW w:w="1385" w:type="pct"/>
            <w:vAlign w:val="center"/>
          </w:tcPr>
          <w:p w14:paraId="26BADF1C"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Zwiększenie długości ścieżek rowerowych, to jeden z wyznaczników rozwoju i poprawy stanu infrastruktury transportowej dla turystyki oraz promocji transportu neutralnego dla środowiska.</w:t>
            </w:r>
          </w:p>
        </w:tc>
        <w:tc>
          <w:tcPr>
            <w:tcW w:w="505" w:type="pct"/>
            <w:vAlign w:val="center"/>
          </w:tcPr>
          <w:p w14:paraId="6A0DFF0D"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km</w:t>
            </w:r>
          </w:p>
        </w:tc>
        <w:tc>
          <w:tcPr>
            <w:tcW w:w="505" w:type="pct"/>
            <w:vAlign w:val="center"/>
          </w:tcPr>
          <w:p w14:paraId="35FE734F" w14:textId="77777777" w:rsidR="000917DE" w:rsidRPr="00D2626E" w:rsidRDefault="000917DE" w:rsidP="002A0CE7">
            <w:pPr>
              <w:spacing w:before="40" w:after="40" w:line="276" w:lineRule="auto"/>
              <w:ind w:left="-105"/>
              <w:jc w:val="center"/>
              <w:rPr>
                <w:rFonts w:ascii="Arial" w:hAnsi="Arial" w:cs="Arial"/>
                <w:color w:val="000000" w:themeColor="text1"/>
                <w:sz w:val="22"/>
                <w:szCs w:val="22"/>
              </w:rPr>
            </w:pPr>
            <w:r w:rsidRPr="00D2626E">
              <w:rPr>
                <w:rFonts w:ascii="Arial" w:hAnsi="Arial" w:cs="Arial"/>
                <w:color w:val="000000" w:themeColor="text1"/>
                <w:sz w:val="22"/>
                <w:szCs w:val="22"/>
              </w:rPr>
              <w:t>675,5 (2020 r.)</w:t>
            </w:r>
          </w:p>
        </w:tc>
        <w:tc>
          <w:tcPr>
            <w:tcW w:w="504" w:type="pct"/>
            <w:vAlign w:val="center"/>
          </w:tcPr>
          <w:p w14:paraId="7D9A7284"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1850</w:t>
            </w:r>
          </w:p>
        </w:tc>
        <w:tc>
          <w:tcPr>
            <w:tcW w:w="632" w:type="pct"/>
            <w:vAlign w:val="center"/>
          </w:tcPr>
          <w:p w14:paraId="29282379"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UMWP; GUS (BDL)</w:t>
            </w:r>
          </w:p>
        </w:tc>
        <w:tc>
          <w:tcPr>
            <w:tcW w:w="562" w:type="pct"/>
            <w:vAlign w:val="center"/>
          </w:tcPr>
          <w:p w14:paraId="03E593A1"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10A6E4F0" w14:textId="77777777" w:rsidTr="00D2626E">
        <w:tc>
          <w:tcPr>
            <w:tcW w:w="201" w:type="pct"/>
            <w:vAlign w:val="center"/>
          </w:tcPr>
          <w:p w14:paraId="29F67888"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7.</w:t>
            </w:r>
          </w:p>
        </w:tc>
        <w:tc>
          <w:tcPr>
            <w:tcW w:w="706" w:type="pct"/>
            <w:vAlign w:val="center"/>
          </w:tcPr>
          <w:p w14:paraId="6F7AC53B" w14:textId="295586F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Liczba zdarzeń </w:t>
            </w:r>
            <w:r w:rsidR="002A0CE7">
              <w:rPr>
                <w:rFonts w:ascii="Arial" w:hAnsi="Arial" w:cs="Arial"/>
                <w:color w:val="000000" w:themeColor="text1"/>
                <w:sz w:val="22"/>
                <w:szCs w:val="22"/>
              </w:rPr>
              <w:br/>
            </w:r>
            <w:r w:rsidRPr="00D2626E">
              <w:rPr>
                <w:rFonts w:ascii="Arial" w:hAnsi="Arial" w:cs="Arial"/>
                <w:color w:val="000000" w:themeColor="text1"/>
                <w:sz w:val="22"/>
                <w:szCs w:val="22"/>
              </w:rPr>
              <w:t xml:space="preserve">z udziałem rowerzystów na jezdniach </w:t>
            </w:r>
          </w:p>
        </w:tc>
        <w:tc>
          <w:tcPr>
            <w:tcW w:w="1385" w:type="pct"/>
            <w:vAlign w:val="center"/>
          </w:tcPr>
          <w:p w14:paraId="53ED61BE"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Dzięki zwiększeniu długości ścieżek rowerowych następuje poprawa bezpieczeństwa w ruchu drogowym. Przeniesienie ruchu rowerowego z jezdni na trasy przeznaczone do tego celu, ogranicza ryzyko wystąpienia wypadków i kolizji powstających z udziałem rowerów i innych pojazdów.</w:t>
            </w:r>
          </w:p>
        </w:tc>
        <w:tc>
          <w:tcPr>
            <w:tcW w:w="505" w:type="pct"/>
            <w:vAlign w:val="center"/>
          </w:tcPr>
          <w:p w14:paraId="54CB92DC"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szt.</w:t>
            </w:r>
          </w:p>
        </w:tc>
        <w:tc>
          <w:tcPr>
            <w:tcW w:w="505" w:type="pct"/>
            <w:vAlign w:val="center"/>
          </w:tcPr>
          <w:p w14:paraId="20CDDDC9"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451 (2020 r.)</w:t>
            </w:r>
          </w:p>
        </w:tc>
        <w:tc>
          <w:tcPr>
            <w:tcW w:w="504" w:type="pct"/>
            <w:vAlign w:val="center"/>
          </w:tcPr>
          <w:p w14:paraId="14C23606"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350</w:t>
            </w:r>
          </w:p>
        </w:tc>
        <w:tc>
          <w:tcPr>
            <w:tcW w:w="632" w:type="pct"/>
            <w:vAlign w:val="center"/>
          </w:tcPr>
          <w:p w14:paraId="799F3B06"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SEWiK</w:t>
            </w:r>
          </w:p>
        </w:tc>
        <w:tc>
          <w:tcPr>
            <w:tcW w:w="562" w:type="pct"/>
            <w:vAlign w:val="center"/>
          </w:tcPr>
          <w:p w14:paraId="6CA853E2"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6F4FD2" w:rsidRPr="00D2626E" w14:paraId="1949947E" w14:textId="77777777" w:rsidTr="00D2626E">
        <w:tc>
          <w:tcPr>
            <w:tcW w:w="201" w:type="pct"/>
            <w:vAlign w:val="center"/>
          </w:tcPr>
          <w:p w14:paraId="6DA98AF3" w14:textId="77777777"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8.</w:t>
            </w:r>
          </w:p>
        </w:tc>
        <w:tc>
          <w:tcPr>
            <w:tcW w:w="706" w:type="pct"/>
            <w:vAlign w:val="center"/>
          </w:tcPr>
          <w:p w14:paraId="1C447C39" w14:textId="6D5DFB8F"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Liczba zdarzeń na jezdniach </w:t>
            </w:r>
            <w:r w:rsidR="002A0CE7">
              <w:rPr>
                <w:rFonts w:ascii="Arial" w:hAnsi="Arial" w:cs="Arial"/>
                <w:color w:val="000000" w:themeColor="text1"/>
                <w:sz w:val="22"/>
                <w:szCs w:val="22"/>
              </w:rPr>
              <w:br/>
            </w:r>
            <w:r w:rsidRPr="00D2626E">
              <w:rPr>
                <w:rFonts w:ascii="Arial" w:hAnsi="Arial" w:cs="Arial"/>
                <w:color w:val="000000" w:themeColor="text1"/>
                <w:sz w:val="22"/>
                <w:szCs w:val="22"/>
              </w:rPr>
              <w:t xml:space="preserve">z udziałem pojazdów </w:t>
            </w:r>
            <w:r w:rsidR="002A0CE7">
              <w:rPr>
                <w:rFonts w:ascii="Arial" w:hAnsi="Arial" w:cs="Arial"/>
                <w:color w:val="000000" w:themeColor="text1"/>
                <w:sz w:val="22"/>
                <w:szCs w:val="22"/>
              </w:rPr>
              <w:br/>
            </w:r>
            <w:r w:rsidRPr="00D2626E">
              <w:rPr>
                <w:rFonts w:ascii="Arial" w:hAnsi="Arial" w:cs="Arial"/>
                <w:color w:val="000000" w:themeColor="text1"/>
                <w:sz w:val="22"/>
                <w:szCs w:val="22"/>
              </w:rPr>
              <w:t>i pieszych</w:t>
            </w:r>
          </w:p>
        </w:tc>
        <w:tc>
          <w:tcPr>
            <w:tcW w:w="1385" w:type="pct"/>
            <w:vAlign w:val="center"/>
          </w:tcPr>
          <w:p w14:paraId="0A5E5893" w14:textId="57A91AA8" w:rsidR="000917DE" w:rsidRPr="00D2626E" w:rsidRDefault="000917DE"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 xml:space="preserve">Inwestycje dotyczące infrastruktury transportowej realizowane w oparciu </w:t>
            </w:r>
            <w:r w:rsidR="002A0CE7">
              <w:rPr>
                <w:rFonts w:ascii="Arial" w:hAnsi="Arial" w:cs="Arial"/>
                <w:color w:val="000000" w:themeColor="text1"/>
                <w:sz w:val="22"/>
                <w:szCs w:val="22"/>
              </w:rPr>
              <w:br/>
            </w:r>
            <w:r w:rsidRPr="00D2626E">
              <w:rPr>
                <w:rFonts w:ascii="Arial" w:hAnsi="Arial" w:cs="Arial"/>
                <w:color w:val="000000" w:themeColor="text1"/>
                <w:sz w:val="22"/>
                <w:szCs w:val="22"/>
              </w:rPr>
              <w:t>o ideę rozwoju zrównoważonego (tu w zakresie ruchu drogowego) pozwalają na zwiększenie bezpieczeństwa uczestników ruchu.</w:t>
            </w:r>
          </w:p>
        </w:tc>
        <w:tc>
          <w:tcPr>
            <w:tcW w:w="505" w:type="pct"/>
            <w:vAlign w:val="center"/>
          </w:tcPr>
          <w:p w14:paraId="6078A5EA"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szt.</w:t>
            </w:r>
          </w:p>
        </w:tc>
        <w:tc>
          <w:tcPr>
            <w:tcW w:w="505" w:type="pct"/>
            <w:vAlign w:val="center"/>
          </w:tcPr>
          <w:p w14:paraId="0F81E9C9"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244 (2020 r.)</w:t>
            </w:r>
          </w:p>
        </w:tc>
        <w:tc>
          <w:tcPr>
            <w:tcW w:w="504" w:type="pct"/>
            <w:vAlign w:val="center"/>
          </w:tcPr>
          <w:p w14:paraId="05F28D74"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200</w:t>
            </w:r>
          </w:p>
        </w:tc>
        <w:tc>
          <w:tcPr>
            <w:tcW w:w="632" w:type="pct"/>
            <w:vAlign w:val="center"/>
          </w:tcPr>
          <w:p w14:paraId="45294EEB"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SEWiK</w:t>
            </w:r>
          </w:p>
        </w:tc>
        <w:tc>
          <w:tcPr>
            <w:tcW w:w="562" w:type="pct"/>
            <w:vAlign w:val="center"/>
          </w:tcPr>
          <w:p w14:paraId="5CC5548D" w14:textId="77777777" w:rsidR="000917DE" w:rsidRPr="00D2626E" w:rsidRDefault="000917DE"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r w:rsidR="00AE61A7" w:rsidRPr="00D2626E" w14:paraId="4CE5011C" w14:textId="77777777" w:rsidTr="00D2626E">
        <w:tc>
          <w:tcPr>
            <w:tcW w:w="201" w:type="pct"/>
            <w:vAlign w:val="center"/>
          </w:tcPr>
          <w:p w14:paraId="2BC47A37" w14:textId="5B0DDF15" w:rsidR="00AE61A7" w:rsidRPr="00D2626E" w:rsidRDefault="00F33842"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9.</w:t>
            </w:r>
          </w:p>
        </w:tc>
        <w:tc>
          <w:tcPr>
            <w:tcW w:w="706" w:type="pct"/>
            <w:vAlign w:val="center"/>
          </w:tcPr>
          <w:p w14:paraId="2B915FDB" w14:textId="490EC63E" w:rsidR="00AE61A7" w:rsidRPr="00D2626E" w:rsidRDefault="00F33842"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 wykorzystania taboru kolejowego w usługach publicznego transportu zbiorowego kolejowego organizowanych przez JST</w:t>
            </w:r>
          </w:p>
        </w:tc>
        <w:tc>
          <w:tcPr>
            <w:tcW w:w="1385" w:type="pct"/>
            <w:vAlign w:val="center"/>
          </w:tcPr>
          <w:p w14:paraId="0317202A" w14:textId="620DC924" w:rsidR="00AE61A7" w:rsidRPr="00D2626E" w:rsidRDefault="00F33842" w:rsidP="002A0CE7">
            <w:pPr>
              <w:spacing w:before="40" w:after="40" w:line="276" w:lineRule="auto"/>
              <w:rPr>
                <w:rFonts w:ascii="Arial" w:hAnsi="Arial" w:cs="Arial"/>
                <w:color w:val="000000" w:themeColor="text1"/>
                <w:sz w:val="22"/>
                <w:szCs w:val="22"/>
              </w:rPr>
            </w:pPr>
            <w:r w:rsidRPr="00D2626E">
              <w:rPr>
                <w:rFonts w:ascii="Arial" w:hAnsi="Arial" w:cs="Arial"/>
                <w:color w:val="000000" w:themeColor="text1"/>
                <w:sz w:val="22"/>
                <w:szCs w:val="22"/>
              </w:rPr>
              <w:t>Wykorzystanie taboru kolejowego zakupionego z udziałem Funduszy Europejskich dostępnych w ramach perspektywy finansowej Unii Europejskiej na lata 2021-2027</w:t>
            </w:r>
          </w:p>
        </w:tc>
        <w:tc>
          <w:tcPr>
            <w:tcW w:w="505" w:type="pct"/>
            <w:vAlign w:val="center"/>
          </w:tcPr>
          <w:p w14:paraId="2939A94D" w14:textId="4993D3CD" w:rsidR="00AE61A7" w:rsidRPr="00D2626E" w:rsidRDefault="00F33842"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w:t>
            </w:r>
          </w:p>
        </w:tc>
        <w:tc>
          <w:tcPr>
            <w:tcW w:w="505" w:type="pct"/>
            <w:vAlign w:val="center"/>
          </w:tcPr>
          <w:p w14:paraId="2420B1BD" w14:textId="45EA585F" w:rsidR="00AE61A7" w:rsidRPr="00D2626E" w:rsidRDefault="00F33842"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0 (2020)</w:t>
            </w:r>
          </w:p>
        </w:tc>
        <w:tc>
          <w:tcPr>
            <w:tcW w:w="504" w:type="pct"/>
            <w:vAlign w:val="center"/>
          </w:tcPr>
          <w:p w14:paraId="154F6413" w14:textId="245849A6" w:rsidR="00AE61A7" w:rsidRPr="00D2626E" w:rsidRDefault="00F33842"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100</w:t>
            </w:r>
          </w:p>
        </w:tc>
        <w:tc>
          <w:tcPr>
            <w:tcW w:w="632" w:type="pct"/>
            <w:vAlign w:val="center"/>
          </w:tcPr>
          <w:p w14:paraId="21BEDA29" w14:textId="08E4B387" w:rsidR="00AE61A7" w:rsidRPr="00D2626E" w:rsidRDefault="00F33842"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UMWP</w:t>
            </w:r>
          </w:p>
        </w:tc>
        <w:tc>
          <w:tcPr>
            <w:tcW w:w="562" w:type="pct"/>
            <w:vAlign w:val="center"/>
          </w:tcPr>
          <w:p w14:paraId="31C425A5" w14:textId="0AE522FC" w:rsidR="00AE61A7" w:rsidRPr="00D2626E" w:rsidRDefault="00F33842" w:rsidP="002A0CE7">
            <w:pPr>
              <w:spacing w:before="40" w:after="40" w:line="276" w:lineRule="auto"/>
              <w:jc w:val="center"/>
              <w:rPr>
                <w:rFonts w:ascii="Arial" w:hAnsi="Arial" w:cs="Arial"/>
                <w:color w:val="000000" w:themeColor="text1"/>
                <w:sz w:val="22"/>
                <w:szCs w:val="22"/>
              </w:rPr>
            </w:pPr>
            <w:r w:rsidRPr="00D2626E">
              <w:rPr>
                <w:rFonts w:ascii="Arial" w:hAnsi="Arial" w:cs="Arial"/>
                <w:color w:val="000000" w:themeColor="text1"/>
                <w:sz w:val="22"/>
                <w:szCs w:val="22"/>
              </w:rPr>
              <w:t>Roczna</w:t>
            </w:r>
          </w:p>
        </w:tc>
      </w:tr>
    </w:tbl>
    <w:p w14:paraId="3542D940" w14:textId="0381D2EB" w:rsidR="00122D76" w:rsidRPr="002A0CE7" w:rsidRDefault="00122D76" w:rsidP="00590582">
      <w:pPr>
        <w:spacing w:before="120" w:after="120" w:line="276" w:lineRule="auto"/>
        <w:rPr>
          <w:rFonts w:ascii="Arial" w:hAnsi="Arial" w:cs="Arial"/>
          <w:color w:val="000000" w:themeColor="text1"/>
          <w:sz w:val="22"/>
          <w:szCs w:val="22"/>
        </w:rPr>
      </w:pPr>
      <w:r w:rsidRPr="002A0CE7">
        <w:rPr>
          <w:rFonts w:ascii="Arial" w:hAnsi="Arial" w:cs="Arial"/>
          <w:b/>
          <w:color w:val="000000" w:themeColor="text1"/>
          <w:sz w:val="22"/>
          <w:szCs w:val="22"/>
        </w:rPr>
        <w:t>*</w:t>
      </w:r>
      <w:r w:rsidRPr="009B78DA">
        <w:rPr>
          <w:rFonts w:ascii="Arial" w:hAnsi="Arial" w:cs="Arial"/>
          <w:color w:val="000000" w:themeColor="text1"/>
          <w:sz w:val="22"/>
          <w:szCs w:val="22"/>
        </w:rPr>
        <w:t xml:space="preserve"> Wartości dla transportu autobusowego zostały przyjęte na podstawie danych ankietowych dotyczących transportu miejskiego w ROF oraz wybranych MOF województwa podkarpackiego pozyskanych w ramach kwerendy przeprowadzanej na rzecz przygotowania </w:t>
      </w:r>
      <w:r w:rsidRPr="009B78DA">
        <w:rPr>
          <w:rFonts w:ascii="Arial" w:hAnsi="Arial" w:cs="Arial"/>
          <w:i/>
          <w:color w:val="000000" w:themeColor="text1"/>
          <w:sz w:val="22"/>
          <w:szCs w:val="22"/>
        </w:rPr>
        <w:t>Fundusz</w:t>
      </w:r>
      <w:r w:rsidR="00005FE2" w:rsidRPr="009B78DA">
        <w:rPr>
          <w:rFonts w:ascii="Arial" w:hAnsi="Arial" w:cs="Arial"/>
          <w:i/>
          <w:color w:val="000000" w:themeColor="text1"/>
          <w:sz w:val="22"/>
          <w:szCs w:val="22"/>
        </w:rPr>
        <w:t>y</w:t>
      </w:r>
      <w:r w:rsidRPr="009B78DA">
        <w:rPr>
          <w:rFonts w:ascii="Arial" w:hAnsi="Arial" w:cs="Arial"/>
          <w:i/>
          <w:color w:val="000000" w:themeColor="text1"/>
          <w:sz w:val="22"/>
          <w:szCs w:val="22"/>
        </w:rPr>
        <w:t xml:space="preserve"> Europejski</w:t>
      </w:r>
      <w:r w:rsidR="00005FE2" w:rsidRPr="009B78DA">
        <w:rPr>
          <w:rFonts w:ascii="Arial" w:hAnsi="Arial" w:cs="Arial"/>
          <w:i/>
          <w:color w:val="000000" w:themeColor="text1"/>
          <w:sz w:val="22"/>
          <w:szCs w:val="22"/>
        </w:rPr>
        <w:t>ch</w:t>
      </w:r>
      <w:r w:rsidRPr="009B78DA">
        <w:rPr>
          <w:rFonts w:ascii="Arial" w:hAnsi="Arial" w:cs="Arial"/>
          <w:i/>
          <w:color w:val="000000" w:themeColor="text1"/>
          <w:sz w:val="22"/>
          <w:szCs w:val="22"/>
        </w:rPr>
        <w:t xml:space="preserve"> dla Polski Wschodniej na lata 2021-2027</w:t>
      </w:r>
      <w:r w:rsidRPr="009B78DA">
        <w:rPr>
          <w:rFonts w:ascii="Arial" w:hAnsi="Arial" w:cs="Arial"/>
          <w:color w:val="000000" w:themeColor="text1"/>
          <w:sz w:val="22"/>
          <w:szCs w:val="22"/>
        </w:rPr>
        <w:t xml:space="preserve"> przez Ministerstwo Funduszy i Polityki Regionalnej.</w:t>
      </w:r>
    </w:p>
    <w:p w14:paraId="659CFF06" w14:textId="7769D015" w:rsidR="00122D76" w:rsidRPr="009B78DA" w:rsidRDefault="00122D76" w:rsidP="00590582">
      <w:pPr>
        <w:spacing w:before="120"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Należy mieć na uwadze, że plan transportowy jest ściśle powiązany z podstawowymi dokumentami programowymi Samorządu Województwa Podkarpackiego (strategia, program </w:t>
      </w:r>
      <w:r w:rsidR="00541015" w:rsidRPr="009B78DA">
        <w:rPr>
          <w:rFonts w:ascii="Arial" w:hAnsi="Arial" w:cs="Arial"/>
          <w:color w:val="000000" w:themeColor="text1"/>
          <w:sz w:val="22"/>
          <w:szCs w:val="22"/>
        </w:rPr>
        <w:t>regionalny</w:t>
      </w:r>
      <w:r w:rsidRPr="009B78DA">
        <w:rPr>
          <w:rFonts w:ascii="Arial" w:hAnsi="Arial" w:cs="Arial"/>
          <w:color w:val="000000" w:themeColor="text1"/>
          <w:sz w:val="22"/>
          <w:szCs w:val="22"/>
        </w:rPr>
        <w:t xml:space="preserve">), dlatego jego realizacja będzie wpływać na osiągnięcie wskaźników określonych w tych dokumentach. </w:t>
      </w:r>
      <w:r w:rsidR="005D2573" w:rsidRPr="009B78DA">
        <w:rPr>
          <w:rFonts w:ascii="Arial" w:hAnsi="Arial" w:cs="Arial"/>
          <w:color w:val="000000" w:themeColor="text1"/>
          <w:sz w:val="22"/>
          <w:szCs w:val="22"/>
        </w:rPr>
        <w:br/>
      </w:r>
      <w:r w:rsidRPr="009B78DA">
        <w:rPr>
          <w:rFonts w:ascii="Arial" w:hAnsi="Arial" w:cs="Arial"/>
          <w:color w:val="000000" w:themeColor="text1"/>
          <w:sz w:val="22"/>
          <w:szCs w:val="22"/>
        </w:rPr>
        <w:t>W związku z powyższym, mając na uwadze zapewnienie spójności planu transportowego z regionalnymi dokumentami wyższego rzędu, system monitorowania PSRT WP będzie uwzględniał pomocniczo:</w:t>
      </w:r>
    </w:p>
    <w:p w14:paraId="52F0730D" w14:textId="77777777" w:rsidR="00122D76" w:rsidRPr="009B78DA" w:rsidRDefault="00122D76" w:rsidP="00590582">
      <w:pPr>
        <w:pStyle w:val="Akapitzlist"/>
        <w:numPr>
          <w:ilvl w:val="0"/>
          <w:numId w:val="205"/>
        </w:num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system monitorowania </w:t>
      </w:r>
      <w:r w:rsidRPr="009B78DA">
        <w:rPr>
          <w:rFonts w:ascii="Arial" w:hAnsi="Arial" w:cs="Arial"/>
          <w:i/>
          <w:color w:val="000000" w:themeColor="text1"/>
          <w:sz w:val="22"/>
          <w:szCs w:val="22"/>
        </w:rPr>
        <w:t>Strategii rozwoju województwa – Podkarpackie 2030</w:t>
      </w:r>
      <w:r w:rsidRPr="009B78DA">
        <w:rPr>
          <w:rFonts w:ascii="Arial" w:hAnsi="Arial" w:cs="Arial"/>
          <w:color w:val="000000" w:themeColor="text1"/>
          <w:sz w:val="22"/>
          <w:szCs w:val="22"/>
        </w:rPr>
        <w:t>,</w:t>
      </w:r>
    </w:p>
    <w:p w14:paraId="6D7AACCF" w14:textId="77777777" w:rsidR="00122D76" w:rsidRPr="009B78DA" w:rsidRDefault="00122D76" w:rsidP="00590582">
      <w:pPr>
        <w:pStyle w:val="Akapitzlist"/>
        <w:numPr>
          <w:ilvl w:val="0"/>
          <w:numId w:val="205"/>
        </w:num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system monitorowania </w:t>
      </w:r>
      <w:r w:rsidRPr="009B78DA">
        <w:rPr>
          <w:rFonts w:ascii="Arial" w:hAnsi="Arial" w:cs="Arial"/>
          <w:i/>
          <w:color w:val="000000" w:themeColor="text1"/>
          <w:sz w:val="22"/>
          <w:szCs w:val="22"/>
        </w:rPr>
        <w:t>Regionalnego Programu Operacyjnego Województwa Podkarpackiego na lata 2014-2020,</w:t>
      </w:r>
    </w:p>
    <w:p w14:paraId="16448168" w14:textId="5CCDE7E3" w:rsidR="00122D76" w:rsidRPr="009B78DA" w:rsidRDefault="00122D76" w:rsidP="00590582">
      <w:pPr>
        <w:pStyle w:val="Akapitzlist"/>
        <w:numPr>
          <w:ilvl w:val="0"/>
          <w:numId w:val="205"/>
        </w:numPr>
        <w:spacing w:before="120" w:after="120" w:line="276" w:lineRule="auto"/>
        <w:rPr>
          <w:rFonts w:ascii="Arial" w:hAnsi="Arial" w:cs="Arial"/>
          <w:i/>
          <w:color w:val="000000" w:themeColor="text1"/>
          <w:sz w:val="22"/>
          <w:szCs w:val="22"/>
        </w:rPr>
      </w:pPr>
      <w:r w:rsidRPr="009B78DA">
        <w:rPr>
          <w:rFonts w:ascii="Arial" w:hAnsi="Arial" w:cs="Arial"/>
          <w:color w:val="000000" w:themeColor="text1"/>
          <w:sz w:val="22"/>
          <w:szCs w:val="22"/>
        </w:rPr>
        <w:t xml:space="preserve">system monitorowania </w:t>
      </w:r>
      <w:r w:rsidR="00EE6369" w:rsidRPr="009B78DA">
        <w:rPr>
          <w:rFonts w:ascii="Arial" w:hAnsi="Arial" w:cs="Arial"/>
          <w:color w:val="000000" w:themeColor="text1"/>
          <w:sz w:val="22"/>
          <w:szCs w:val="22"/>
        </w:rPr>
        <w:t xml:space="preserve">Programu </w:t>
      </w:r>
      <w:r w:rsidRPr="009B78DA">
        <w:rPr>
          <w:rFonts w:ascii="Arial" w:hAnsi="Arial" w:cs="Arial"/>
          <w:i/>
          <w:color w:val="000000" w:themeColor="text1"/>
          <w:sz w:val="22"/>
          <w:szCs w:val="22"/>
        </w:rPr>
        <w:t>Fundusze Europejskie dla Podkarpacia na lata 2021-2027.</w:t>
      </w:r>
    </w:p>
    <w:p w14:paraId="606FD6B5" w14:textId="2685306E" w:rsidR="00D24B89" w:rsidRPr="009B78DA" w:rsidRDefault="00122D76" w:rsidP="00590582">
      <w:pPr>
        <w:spacing w:before="120"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ramach systemu monitorowania dopuszcza się wykorzystanie eksperckich analiz zewnętrznych.</w:t>
      </w:r>
    </w:p>
    <w:p w14:paraId="50F9F7F6" w14:textId="77777777" w:rsidR="00541015" w:rsidRPr="009B78DA" w:rsidRDefault="00541015" w:rsidP="00590582">
      <w:pPr>
        <w:spacing w:before="120" w:after="12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Monitorowanie wskaźników właściwych dla </w:t>
      </w:r>
      <w:r w:rsidR="00D24B89" w:rsidRPr="009B78DA">
        <w:rPr>
          <w:rFonts w:ascii="Arial" w:hAnsi="Arial" w:cs="Arial"/>
          <w:color w:val="000000" w:themeColor="text1"/>
          <w:sz w:val="22"/>
          <w:szCs w:val="22"/>
        </w:rPr>
        <w:t xml:space="preserve">ukazania postępów w </w:t>
      </w:r>
      <w:r w:rsidRPr="009B78DA">
        <w:rPr>
          <w:rFonts w:ascii="Arial" w:hAnsi="Arial" w:cs="Arial"/>
          <w:color w:val="000000" w:themeColor="text1"/>
          <w:sz w:val="22"/>
          <w:szCs w:val="22"/>
        </w:rPr>
        <w:t>osiągani</w:t>
      </w:r>
      <w:r w:rsidR="00D24B89" w:rsidRPr="009B78DA">
        <w:rPr>
          <w:rFonts w:ascii="Arial" w:hAnsi="Arial" w:cs="Arial"/>
          <w:color w:val="000000" w:themeColor="text1"/>
          <w:sz w:val="22"/>
          <w:szCs w:val="22"/>
        </w:rPr>
        <w:t>u</w:t>
      </w:r>
      <w:r w:rsidRPr="009B78DA">
        <w:rPr>
          <w:rFonts w:ascii="Arial" w:hAnsi="Arial" w:cs="Arial"/>
          <w:color w:val="000000" w:themeColor="text1"/>
          <w:sz w:val="22"/>
          <w:szCs w:val="22"/>
        </w:rPr>
        <w:t xml:space="preserve"> celów</w:t>
      </w:r>
      <w:r w:rsidR="00D24B89" w:rsidRPr="009B78DA">
        <w:rPr>
          <w:rFonts w:ascii="Arial" w:hAnsi="Arial" w:cs="Arial"/>
          <w:color w:val="000000" w:themeColor="text1"/>
          <w:sz w:val="22"/>
          <w:szCs w:val="22"/>
        </w:rPr>
        <w:t xml:space="preserve"> przewidzianych</w:t>
      </w:r>
      <w:r w:rsidRPr="009B78DA">
        <w:rPr>
          <w:rFonts w:ascii="Arial" w:hAnsi="Arial" w:cs="Arial"/>
          <w:color w:val="000000" w:themeColor="text1"/>
          <w:sz w:val="22"/>
          <w:szCs w:val="22"/>
        </w:rPr>
        <w:t xml:space="preserve"> do uzyskania dzięki realizacji projektów wybranych do dofinansowania w ramach </w:t>
      </w:r>
      <w:r w:rsidR="00EE6369" w:rsidRPr="009B78DA">
        <w:rPr>
          <w:rFonts w:ascii="Arial" w:hAnsi="Arial" w:cs="Arial"/>
          <w:color w:val="000000" w:themeColor="text1"/>
          <w:sz w:val="22"/>
          <w:szCs w:val="22"/>
        </w:rPr>
        <w:t xml:space="preserve">Programu </w:t>
      </w:r>
      <w:r w:rsidRPr="009B78DA">
        <w:rPr>
          <w:rFonts w:ascii="Arial" w:hAnsi="Arial" w:cs="Arial"/>
          <w:i/>
          <w:color w:val="000000" w:themeColor="text1"/>
          <w:sz w:val="22"/>
          <w:szCs w:val="22"/>
        </w:rPr>
        <w:t>Fundusze Europejskie dla Podkarpacia na lata 2021-2027</w:t>
      </w:r>
      <w:r w:rsidR="00D24B89" w:rsidRPr="009B78DA">
        <w:rPr>
          <w:rFonts w:ascii="Arial" w:hAnsi="Arial" w:cs="Arial"/>
          <w:color w:val="000000" w:themeColor="text1"/>
          <w:sz w:val="22"/>
          <w:szCs w:val="22"/>
        </w:rPr>
        <w:t xml:space="preserve"> będzie prowadzone przez </w:t>
      </w:r>
      <w:r w:rsidR="00FE1957" w:rsidRPr="009B78DA">
        <w:rPr>
          <w:rFonts w:ascii="Arial" w:hAnsi="Arial" w:cs="Arial"/>
          <w:color w:val="000000" w:themeColor="text1"/>
          <w:sz w:val="22"/>
          <w:szCs w:val="22"/>
        </w:rPr>
        <w:t>cały okres</w:t>
      </w:r>
      <w:r w:rsidR="00D24B89" w:rsidRPr="009B78DA">
        <w:rPr>
          <w:rFonts w:ascii="Arial" w:hAnsi="Arial" w:cs="Arial"/>
          <w:color w:val="000000" w:themeColor="text1"/>
          <w:sz w:val="22"/>
          <w:szCs w:val="22"/>
        </w:rPr>
        <w:t xml:space="preserve"> procesu wdrażania ww. </w:t>
      </w:r>
      <w:r w:rsidR="00334CAC" w:rsidRPr="009B78DA">
        <w:rPr>
          <w:rFonts w:ascii="Arial" w:hAnsi="Arial" w:cs="Arial"/>
          <w:color w:val="000000" w:themeColor="text1"/>
          <w:sz w:val="22"/>
          <w:szCs w:val="22"/>
        </w:rPr>
        <w:t>dokumentu</w:t>
      </w:r>
      <w:r w:rsidR="00D24B89" w:rsidRPr="009B78DA">
        <w:rPr>
          <w:rFonts w:ascii="Arial" w:hAnsi="Arial" w:cs="Arial"/>
          <w:color w:val="000000" w:themeColor="text1"/>
          <w:sz w:val="22"/>
          <w:szCs w:val="22"/>
        </w:rPr>
        <w:t>.</w:t>
      </w:r>
      <w:r w:rsidR="001C7DB9" w:rsidRPr="009B78DA">
        <w:rPr>
          <w:rFonts w:ascii="Arial" w:hAnsi="Arial" w:cs="Arial"/>
          <w:color w:val="000000" w:themeColor="text1"/>
          <w:sz w:val="22"/>
          <w:szCs w:val="22"/>
        </w:rPr>
        <w:t xml:space="preserve"> </w:t>
      </w:r>
    </w:p>
    <w:p w14:paraId="5D251E2A" w14:textId="44C18339" w:rsidR="003E1979" w:rsidRPr="009B78DA" w:rsidRDefault="003E1979" w:rsidP="005D2573">
      <w:pPr>
        <w:spacing w:after="0" w:line="240" w:lineRule="auto"/>
        <w:ind w:firstLine="709"/>
        <w:jc w:val="both"/>
        <w:rPr>
          <w:rFonts w:ascii="Arial" w:hAnsi="Arial" w:cs="Arial"/>
          <w:color w:val="000000" w:themeColor="text1"/>
          <w:sz w:val="22"/>
          <w:szCs w:val="22"/>
        </w:rPr>
        <w:sectPr w:rsidR="003E1979" w:rsidRPr="009B78DA" w:rsidSect="00BD4116">
          <w:pgSz w:w="16838" w:h="11906" w:orient="landscape"/>
          <w:pgMar w:top="720" w:right="720" w:bottom="720" w:left="720" w:header="708" w:footer="708" w:gutter="0"/>
          <w:cols w:space="708"/>
          <w:docGrid w:linePitch="360"/>
        </w:sectPr>
      </w:pPr>
    </w:p>
    <w:p w14:paraId="195D3CC3" w14:textId="2F4474D1" w:rsidR="00D90C10" w:rsidRPr="009B78DA" w:rsidRDefault="00D90C10" w:rsidP="00C71459">
      <w:pPr>
        <w:spacing w:after="0" w:line="288" w:lineRule="auto"/>
        <w:ind w:firstLine="681"/>
        <w:rPr>
          <w:rFonts w:ascii="Arial" w:hAnsi="Arial" w:cs="Arial"/>
          <w:color w:val="000000" w:themeColor="text1"/>
          <w:sz w:val="22"/>
          <w:szCs w:val="22"/>
        </w:rPr>
      </w:pPr>
      <w:bookmarkStart w:id="427" w:name="_Toc100335085"/>
      <w:r w:rsidRPr="009B78DA">
        <w:rPr>
          <w:rFonts w:ascii="Arial" w:hAnsi="Arial" w:cs="Arial"/>
          <w:color w:val="000000" w:themeColor="text1"/>
          <w:sz w:val="22"/>
          <w:szCs w:val="22"/>
        </w:rPr>
        <w:t>Ewaluacja</w:t>
      </w:r>
      <w:r w:rsidR="00434C48" w:rsidRPr="009B78DA">
        <w:rPr>
          <w:rFonts w:ascii="Arial" w:hAnsi="Arial" w:cs="Arial"/>
          <w:color w:val="000000" w:themeColor="text1"/>
          <w:sz w:val="22"/>
          <w:szCs w:val="22"/>
        </w:rPr>
        <w:t xml:space="preserve"> </w:t>
      </w:r>
      <w:r w:rsidRPr="009B78DA">
        <w:rPr>
          <w:rFonts w:ascii="Arial" w:hAnsi="Arial" w:cs="Arial"/>
          <w:i/>
          <w:iCs/>
          <w:color w:val="000000" w:themeColor="text1"/>
          <w:sz w:val="22"/>
          <w:szCs w:val="22"/>
        </w:rPr>
        <w:t xml:space="preserve">Programu Strategicznego Rozwoju Transportu Województwa Podkarpackiego do roku 2030 </w:t>
      </w:r>
      <w:r w:rsidRPr="009B78DA">
        <w:rPr>
          <w:rFonts w:ascii="Arial" w:hAnsi="Arial" w:cs="Arial"/>
          <w:color w:val="000000" w:themeColor="text1"/>
          <w:sz w:val="22"/>
          <w:szCs w:val="22"/>
        </w:rPr>
        <w:t xml:space="preserve">będzie prowadzona zgodnie </w:t>
      </w:r>
      <w:r w:rsidR="0085299A" w:rsidRPr="009B78DA">
        <w:rPr>
          <w:rFonts w:ascii="Arial" w:hAnsi="Arial" w:cs="Arial"/>
          <w:color w:val="000000" w:themeColor="text1"/>
          <w:sz w:val="22"/>
          <w:szCs w:val="22"/>
        </w:rPr>
        <w:t xml:space="preserve">z zapisami </w:t>
      </w:r>
      <w:r w:rsidR="00694A18" w:rsidRPr="009B78DA">
        <w:rPr>
          <w:rFonts w:ascii="Arial" w:hAnsi="Arial" w:cs="Arial"/>
          <w:color w:val="000000" w:themeColor="text1"/>
          <w:sz w:val="22"/>
          <w:szCs w:val="22"/>
        </w:rPr>
        <w:t xml:space="preserve">Ustawy z dnia 6 grudnia 2006 r. o zasadach prowadzenia polityki rozwoju </w:t>
      </w:r>
      <w:r w:rsidR="00062E7C" w:rsidRPr="009B78DA">
        <w:rPr>
          <w:rFonts w:ascii="Arial" w:hAnsi="Arial" w:cs="Arial"/>
          <w:color w:val="000000" w:themeColor="text1"/>
          <w:sz w:val="22"/>
          <w:szCs w:val="22"/>
        </w:rPr>
        <w:t>(Dz.U. z 2023 r. poz.1259).</w:t>
      </w:r>
    </w:p>
    <w:p w14:paraId="4A1524EB" w14:textId="7DF5E5F4" w:rsidR="00D90C10" w:rsidRPr="009B78DA" w:rsidRDefault="0085299A" w:rsidP="00C71459">
      <w:pPr>
        <w:spacing w:after="0" w:line="288" w:lineRule="auto"/>
        <w:ind w:firstLine="681"/>
        <w:rPr>
          <w:rFonts w:ascii="Arial" w:hAnsi="Arial" w:cs="Arial"/>
          <w:color w:val="000000" w:themeColor="text1"/>
          <w:sz w:val="22"/>
          <w:szCs w:val="22"/>
        </w:rPr>
      </w:pPr>
      <w:r w:rsidRPr="009B78DA">
        <w:rPr>
          <w:rFonts w:ascii="Arial" w:hAnsi="Arial" w:cs="Arial"/>
          <w:color w:val="000000" w:themeColor="text1"/>
          <w:sz w:val="22"/>
          <w:szCs w:val="22"/>
        </w:rPr>
        <w:t xml:space="preserve">W </w:t>
      </w:r>
      <w:r w:rsidR="00E06056" w:rsidRPr="009B78DA">
        <w:rPr>
          <w:rFonts w:ascii="Arial" w:hAnsi="Arial" w:cs="Arial"/>
          <w:color w:val="000000" w:themeColor="text1"/>
          <w:sz w:val="22"/>
          <w:szCs w:val="22"/>
        </w:rPr>
        <w:t xml:space="preserve">celu </w:t>
      </w:r>
      <w:r w:rsidRPr="009B78DA">
        <w:rPr>
          <w:rFonts w:ascii="Arial" w:hAnsi="Arial" w:cs="Arial"/>
          <w:color w:val="000000" w:themeColor="text1"/>
          <w:sz w:val="22"/>
          <w:szCs w:val="22"/>
        </w:rPr>
        <w:t>skuteczn</w:t>
      </w:r>
      <w:r w:rsidR="00E06056" w:rsidRPr="009B78DA">
        <w:rPr>
          <w:rFonts w:ascii="Arial" w:hAnsi="Arial" w:cs="Arial"/>
          <w:color w:val="000000" w:themeColor="text1"/>
          <w:sz w:val="22"/>
          <w:szCs w:val="22"/>
        </w:rPr>
        <w:t>ego</w:t>
      </w:r>
      <w:r w:rsidRPr="009B78DA">
        <w:rPr>
          <w:rFonts w:ascii="Arial" w:hAnsi="Arial" w:cs="Arial"/>
          <w:color w:val="000000" w:themeColor="text1"/>
          <w:sz w:val="22"/>
          <w:szCs w:val="22"/>
        </w:rPr>
        <w:t xml:space="preserve"> i efektywn</w:t>
      </w:r>
      <w:r w:rsidR="00E06056" w:rsidRPr="009B78DA">
        <w:rPr>
          <w:rFonts w:ascii="Arial" w:hAnsi="Arial" w:cs="Arial"/>
          <w:color w:val="000000" w:themeColor="text1"/>
          <w:sz w:val="22"/>
          <w:szCs w:val="22"/>
        </w:rPr>
        <w:t>ego</w:t>
      </w:r>
      <w:r w:rsidRPr="009B78DA">
        <w:rPr>
          <w:rFonts w:ascii="Arial" w:hAnsi="Arial" w:cs="Arial"/>
          <w:color w:val="000000" w:themeColor="text1"/>
          <w:sz w:val="22"/>
          <w:szCs w:val="22"/>
        </w:rPr>
        <w:t xml:space="preserve"> wdrażani</w:t>
      </w:r>
      <w:r w:rsidR="00E06056"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PSRT WP </w:t>
      </w:r>
      <w:r w:rsidR="00E06056" w:rsidRPr="009B78DA">
        <w:rPr>
          <w:rFonts w:ascii="Arial" w:hAnsi="Arial" w:cs="Arial"/>
          <w:color w:val="000000" w:themeColor="text1"/>
          <w:sz w:val="22"/>
          <w:szCs w:val="22"/>
        </w:rPr>
        <w:t>będzie</w:t>
      </w:r>
      <w:r w:rsidRPr="009B78DA">
        <w:rPr>
          <w:rFonts w:ascii="Arial" w:hAnsi="Arial" w:cs="Arial"/>
          <w:color w:val="000000" w:themeColor="text1"/>
          <w:sz w:val="22"/>
          <w:szCs w:val="22"/>
        </w:rPr>
        <w:t xml:space="preserve"> </w:t>
      </w:r>
      <w:r w:rsidR="008928E0" w:rsidRPr="009B78DA">
        <w:rPr>
          <w:rFonts w:ascii="Arial" w:hAnsi="Arial" w:cs="Arial"/>
          <w:color w:val="000000" w:themeColor="text1"/>
          <w:sz w:val="22"/>
          <w:szCs w:val="22"/>
        </w:rPr>
        <w:t>realizowany proces</w:t>
      </w:r>
      <w:r w:rsidRPr="009B78DA">
        <w:rPr>
          <w:rFonts w:ascii="Arial" w:hAnsi="Arial" w:cs="Arial"/>
          <w:color w:val="000000" w:themeColor="text1"/>
          <w:sz w:val="22"/>
          <w:szCs w:val="22"/>
        </w:rPr>
        <w:t xml:space="preserve"> </w:t>
      </w:r>
      <w:r w:rsidR="008318A5" w:rsidRPr="009B78DA">
        <w:rPr>
          <w:rFonts w:ascii="Arial" w:hAnsi="Arial" w:cs="Arial"/>
          <w:color w:val="000000" w:themeColor="text1"/>
          <w:sz w:val="22"/>
          <w:szCs w:val="22"/>
        </w:rPr>
        <w:t xml:space="preserve">bieżącego monitoringu i ewaluacji. </w:t>
      </w:r>
      <w:r w:rsidR="008928E0" w:rsidRPr="009B78DA">
        <w:rPr>
          <w:rFonts w:ascii="Arial" w:hAnsi="Arial" w:cs="Arial"/>
          <w:color w:val="000000" w:themeColor="text1"/>
          <w:sz w:val="22"/>
          <w:szCs w:val="22"/>
        </w:rPr>
        <w:t>Celem prowadzenia takiego procesu będzie</w:t>
      </w:r>
      <w:r w:rsidR="003E1979" w:rsidRPr="009B78DA">
        <w:rPr>
          <w:rFonts w:ascii="Arial" w:hAnsi="Arial" w:cs="Arial"/>
          <w:color w:val="000000" w:themeColor="text1"/>
          <w:sz w:val="22"/>
          <w:szCs w:val="22"/>
        </w:rPr>
        <w:t xml:space="preserve"> przede wszystkim stymulowanie usprawnień i poprawa jakości zarządzania programem</w:t>
      </w:r>
      <w:r w:rsidR="008928E0" w:rsidRPr="009B78DA">
        <w:rPr>
          <w:rFonts w:ascii="Arial" w:hAnsi="Arial" w:cs="Arial"/>
          <w:color w:val="000000" w:themeColor="text1"/>
          <w:sz w:val="22"/>
          <w:szCs w:val="22"/>
        </w:rPr>
        <w:t xml:space="preserve">, a także weryfikacja </w:t>
      </w:r>
      <w:r w:rsidR="003E1979" w:rsidRPr="009B78DA">
        <w:rPr>
          <w:rFonts w:ascii="Arial" w:hAnsi="Arial" w:cs="Arial"/>
          <w:color w:val="000000" w:themeColor="text1"/>
          <w:sz w:val="22"/>
          <w:szCs w:val="22"/>
        </w:rPr>
        <w:t>aktualności celów i</w:t>
      </w:r>
      <w:r w:rsidR="00D90C10" w:rsidRPr="009B78DA">
        <w:rPr>
          <w:rFonts w:ascii="Arial" w:hAnsi="Arial" w:cs="Arial"/>
          <w:color w:val="000000" w:themeColor="text1"/>
          <w:sz w:val="22"/>
          <w:szCs w:val="22"/>
        </w:rPr>
        <w:t xml:space="preserve"> </w:t>
      </w:r>
      <w:r w:rsidR="008928E0" w:rsidRPr="009B78DA">
        <w:rPr>
          <w:rFonts w:ascii="Arial" w:hAnsi="Arial" w:cs="Arial"/>
          <w:color w:val="000000" w:themeColor="text1"/>
          <w:sz w:val="22"/>
          <w:szCs w:val="22"/>
        </w:rPr>
        <w:t>wariantów</w:t>
      </w:r>
      <w:r w:rsidR="00D90C10" w:rsidRPr="009B78DA">
        <w:rPr>
          <w:rFonts w:ascii="Arial" w:hAnsi="Arial" w:cs="Arial"/>
          <w:color w:val="000000" w:themeColor="text1"/>
          <w:sz w:val="22"/>
          <w:szCs w:val="22"/>
        </w:rPr>
        <w:t xml:space="preserve"> programu w odniesieniu do bieżących warunków ekonomiczno-społecznych.</w:t>
      </w:r>
      <w:r w:rsidR="008318A5" w:rsidRPr="009B78DA">
        <w:rPr>
          <w:rFonts w:ascii="Arial" w:hAnsi="Arial" w:cs="Arial"/>
          <w:color w:val="000000" w:themeColor="text1"/>
          <w:sz w:val="22"/>
          <w:szCs w:val="22"/>
        </w:rPr>
        <w:t xml:space="preserve"> Będzie on realizowany na podstawie </w:t>
      </w:r>
      <w:r w:rsidR="006242E8" w:rsidRPr="009B78DA">
        <w:rPr>
          <w:rFonts w:ascii="Arial" w:hAnsi="Arial" w:cs="Arial"/>
          <w:color w:val="000000" w:themeColor="text1"/>
          <w:sz w:val="22"/>
          <w:szCs w:val="22"/>
        </w:rPr>
        <w:t>prowadzonych procesów badawczych oraz przygotowywanych analiz przez podmioty zaangażowan</w:t>
      </w:r>
      <w:r w:rsidR="00C71459">
        <w:rPr>
          <w:rFonts w:ascii="Arial" w:hAnsi="Arial" w:cs="Arial"/>
          <w:color w:val="000000" w:themeColor="text1"/>
          <w:sz w:val="22"/>
          <w:szCs w:val="22"/>
        </w:rPr>
        <w:t>e w proces wdrażania dokumentu.</w:t>
      </w:r>
    </w:p>
    <w:p w14:paraId="2BB0E35F" w14:textId="77777777" w:rsidR="00E22FF8" w:rsidRPr="009B78DA" w:rsidRDefault="00E22FF8" w:rsidP="00C71459">
      <w:pPr>
        <w:spacing w:after="0" w:line="288" w:lineRule="auto"/>
        <w:ind w:firstLine="681"/>
        <w:rPr>
          <w:rFonts w:ascii="Arial" w:hAnsi="Arial" w:cs="Arial"/>
          <w:color w:val="000000" w:themeColor="text1"/>
          <w:sz w:val="22"/>
          <w:szCs w:val="22"/>
        </w:rPr>
      </w:pPr>
      <w:r w:rsidRPr="009B78DA">
        <w:rPr>
          <w:rFonts w:ascii="Arial" w:hAnsi="Arial" w:cs="Arial"/>
          <w:color w:val="000000" w:themeColor="text1"/>
          <w:sz w:val="22"/>
          <w:szCs w:val="22"/>
        </w:rPr>
        <w:t>W ramach procesu realizacji PSRT WP będzie przeprowadzony ponadto proces ewaluacji ex-post jako społeczno-ekonomicznego badania oceniającego znaczenie przeprowadzonej interwencji w zakresie realizacji potrzeb, na które miała ona odpowiadać, jak również oceniający osiągnięte efekty założone w ramach Programu. Tego typu badanie dokonane będzie po zakończeniu realizowanej interwencji obejmując całościową jej ocenę.</w:t>
      </w:r>
    </w:p>
    <w:p w14:paraId="3E443CC0" w14:textId="31BFF1ED" w:rsidR="003E1979" w:rsidRPr="009B78DA" w:rsidRDefault="00D90C10" w:rsidP="00C71459">
      <w:pPr>
        <w:spacing w:after="0" w:line="288" w:lineRule="auto"/>
        <w:ind w:firstLine="681"/>
        <w:rPr>
          <w:rFonts w:ascii="Arial" w:hAnsi="Arial" w:cs="Arial"/>
          <w:color w:val="000000" w:themeColor="text1"/>
          <w:sz w:val="22"/>
          <w:szCs w:val="22"/>
        </w:rPr>
      </w:pPr>
      <w:r w:rsidRPr="009B78DA">
        <w:rPr>
          <w:rFonts w:ascii="Arial" w:hAnsi="Arial" w:cs="Arial"/>
          <w:color w:val="000000" w:themeColor="text1"/>
          <w:sz w:val="22"/>
          <w:szCs w:val="22"/>
        </w:rPr>
        <w:t>Tego typu badanie dokon</w:t>
      </w:r>
      <w:r w:rsidR="003A6B6D" w:rsidRPr="009B78DA">
        <w:rPr>
          <w:rFonts w:ascii="Arial" w:hAnsi="Arial" w:cs="Arial"/>
          <w:color w:val="000000" w:themeColor="text1"/>
          <w:sz w:val="22"/>
          <w:szCs w:val="22"/>
        </w:rPr>
        <w:t xml:space="preserve">ane będzie </w:t>
      </w:r>
      <w:r w:rsidRPr="009B78DA">
        <w:rPr>
          <w:rFonts w:ascii="Arial" w:hAnsi="Arial" w:cs="Arial"/>
          <w:color w:val="000000" w:themeColor="text1"/>
          <w:sz w:val="22"/>
          <w:szCs w:val="22"/>
        </w:rPr>
        <w:t>po zakończeniu realizowanej interwencji</w:t>
      </w:r>
      <w:r w:rsidR="003A6B6D" w:rsidRPr="009B78DA">
        <w:rPr>
          <w:rFonts w:ascii="Arial" w:hAnsi="Arial" w:cs="Arial"/>
          <w:color w:val="000000" w:themeColor="text1"/>
          <w:sz w:val="22"/>
          <w:szCs w:val="22"/>
        </w:rPr>
        <w:t xml:space="preserve"> obejmując </w:t>
      </w:r>
      <w:r w:rsidRPr="009B78DA">
        <w:rPr>
          <w:rFonts w:ascii="Arial" w:hAnsi="Arial" w:cs="Arial"/>
          <w:color w:val="000000" w:themeColor="text1"/>
          <w:sz w:val="22"/>
          <w:szCs w:val="22"/>
        </w:rPr>
        <w:t xml:space="preserve">całościową </w:t>
      </w:r>
      <w:r w:rsidR="003A6B6D" w:rsidRPr="009B78DA">
        <w:rPr>
          <w:rFonts w:ascii="Arial" w:hAnsi="Arial" w:cs="Arial"/>
          <w:color w:val="000000" w:themeColor="text1"/>
          <w:sz w:val="22"/>
          <w:szCs w:val="22"/>
        </w:rPr>
        <w:t xml:space="preserve">jej </w:t>
      </w:r>
      <w:r w:rsidRPr="009B78DA">
        <w:rPr>
          <w:rFonts w:ascii="Arial" w:hAnsi="Arial" w:cs="Arial"/>
          <w:color w:val="000000" w:themeColor="text1"/>
          <w:sz w:val="22"/>
          <w:szCs w:val="22"/>
        </w:rPr>
        <w:t>ocen</w:t>
      </w:r>
      <w:r w:rsidR="003A6B6D" w:rsidRPr="009B78DA">
        <w:rPr>
          <w:rFonts w:ascii="Arial" w:hAnsi="Arial" w:cs="Arial"/>
          <w:color w:val="000000" w:themeColor="text1"/>
          <w:sz w:val="22"/>
          <w:szCs w:val="22"/>
        </w:rPr>
        <w:t>ę.</w:t>
      </w:r>
    </w:p>
    <w:p w14:paraId="433ADCE2" w14:textId="64950369" w:rsidR="003E1979" w:rsidRPr="009B78DA" w:rsidRDefault="008318A5" w:rsidP="00C71459">
      <w:pPr>
        <w:spacing w:after="0" w:line="288"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N</w:t>
      </w:r>
      <w:r w:rsidR="003E1979" w:rsidRPr="009B78DA">
        <w:rPr>
          <w:rFonts w:ascii="Arial" w:hAnsi="Arial" w:cs="Arial"/>
          <w:color w:val="000000" w:themeColor="text1"/>
          <w:sz w:val="22"/>
          <w:szCs w:val="22"/>
        </w:rPr>
        <w:t xml:space="preserve">a przygotowanie raportu ewaluacyjnego podsumowującego efekty realizacji </w:t>
      </w:r>
      <w:r w:rsidR="00726DBD" w:rsidRPr="009B78DA">
        <w:rPr>
          <w:rFonts w:ascii="Arial" w:hAnsi="Arial" w:cs="Arial"/>
          <w:color w:val="000000" w:themeColor="text1"/>
          <w:sz w:val="22"/>
          <w:szCs w:val="22"/>
        </w:rPr>
        <w:t>PSRT WP</w:t>
      </w:r>
      <w:r w:rsidRPr="009B78DA">
        <w:rPr>
          <w:rFonts w:ascii="Arial" w:hAnsi="Arial" w:cs="Arial"/>
          <w:color w:val="000000" w:themeColor="text1"/>
          <w:sz w:val="22"/>
          <w:szCs w:val="22"/>
        </w:rPr>
        <w:t>, planuje się zabezpieczyć środki finansowe adekwatne do cen rynkowych, w ramach budżetu Samorządu Województwa Podkarpackiego</w:t>
      </w:r>
      <w:r w:rsidR="00726DBD" w:rsidRPr="009B78DA">
        <w:rPr>
          <w:rFonts w:ascii="Arial" w:hAnsi="Arial" w:cs="Arial"/>
          <w:color w:val="000000" w:themeColor="text1"/>
          <w:sz w:val="22"/>
          <w:szCs w:val="22"/>
        </w:rPr>
        <w:t>.</w:t>
      </w:r>
      <w:r w:rsidR="003E1979" w:rsidRPr="009B78DA">
        <w:rPr>
          <w:rFonts w:ascii="Arial" w:hAnsi="Arial" w:cs="Arial"/>
          <w:color w:val="000000" w:themeColor="text1"/>
          <w:sz w:val="22"/>
          <w:szCs w:val="22"/>
        </w:rPr>
        <w:br w:type="page"/>
      </w:r>
    </w:p>
    <w:p w14:paraId="155F44C5" w14:textId="56883A8B" w:rsidR="00846F58" w:rsidRPr="009B78DA" w:rsidRDefault="00284B82" w:rsidP="00C71459">
      <w:pPr>
        <w:pStyle w:val="Nagwek1"/>
        <w:numPr>
          <w:ilvl w:val="0"/>
          <w:numId w:val="283"/>
        </w:numPr>
        <w:rPr>
          <w:rFonts w:cs="Arial"/>
          <w:b/>
          <w:bCs/>
          <w:color w:val="000000" w:themeColor="text1"/>
          <w:sz w:val="26"/>
          <w:szCs w:val="26"/>
        </w:rPr>
      </w:pPr>
      <w:bookmarkStart w:id="428" w:name="_Toc146785811"/>
      <w:r w:rsidRPr="009B78DA">
        <w:rPr>
          <w:rFonts w:cs="Arial"/>
          <w:b/>
          <w:bCs/>
          <w:color w:val="000000" w:themeColor="text1"/>
          <w:sz w:val="26"/>
          <w:szCs w:val="26"/>
        </w:rPr>
        <w:t>Prognoza oddziaływania na środowisko – najważniejsze wnioski</w:t>
      </w:r>
      <w:bookmarkEnd w:id="427"/>
      <w:bookmarkEnd w:id="428"/>
    </w:p>
    <w:p w14:paraId="5EB0277A" w14:textId="69F9E45B"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Prognoza oddziaływania na środowisko jest dokumentem wspierającym proces decyzyjny i procedurę konsultacji społecznych</w:t>
      </w:r>
      <w:r w:rsidR="009C69D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Programu i została opracowana </w:t>
      </w:r>
      <w:r w:rsidR="005D2573" w:rsidRPr="009B78DA">
        <w:rPr>
          <w:rFonts w:ascii="Arial" w:hAnsi="Arial" w:cs="Arial"/>
          <w:color w:val="000000" w:themeColor="text1"/>
          <w:sz w:val="22"/>
          <w:szCs w:val="22"/>
        </w:rPr>
        <w:br/>
      </w:r>
      <w:r w:rsidRPr="009B78DA">
        <w:rPr>
          <w:rFonts w:ascii="Arial" w:hAnsi="Arial" w:cs="Arial"/>
          <w:color w:val="000000" w:themeColor="text1"/>
          <w:sz w:val="22"/>
          <w:szCs w:val="22"/>
        </w:rPr>
        <w:t>w ramach strategicznej oce</w:t>
      </w:r>
      <w:r w:rsidR="00C71459">
        <w:rPr>
          <w:rFonts w:ascii="Arial" w:hAnsi="Arial" w:cs="Arial"/>
          <w:color w:val="000000" w:themeColor="text1"/>
          <w:sz w:val="22"/>
          <w:szCs w:val="22"/>
        </w:rPr>
        <w:t>ny oddziaływania na środowisko.</w:t>
      </w:r>
    </w:p>
    <w:p w14:paraId="2D455C95" w14:textId="340B7335"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Prognoza oddziaływania na środowisko opracowywana dla dokumentów, które są niezbędne do ubiegania się o dofinansowanie realizacji przedsięwzięcia ze środków unijnych, nie wskazuje szczegółowych oddziaływań na środowisko poszczególnych przedsięwzięć, niemniej wskazuje na prawdopodobne oddziaływania oraz kolizje wynikające z realizacji</w:t>
      </w:r>
      <w:r w:rsidR="009C69D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Programu w sąsiedztwie lub w obszarach podlegających ochronie na podstawie przepi</w:t>
      </w:r>
      <w:r w:rsidR="00C71459">
        <w:rPr>
          <w:rFonts w:ascii="Arial" w:hAnsi="Arial" w:cs="Arial"/>
          <w:color w:val="000000" w:themeColor="text1"/>
          <w:sz w:val="22"/>
          <w:szCs w:val="22"/>
        </w:rPr>
        <w:t>sów ustawy o ochronie przyrody.</w:t>
      </w:r>
    </w:p>
    <w:p w14:paraId="31673720" w14:textId="223A9BB5"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Prognoza nie jest dokumentem rozstrzygającym o słuszności realizacji Programu, </w:t>
      </w:r>
      <w:r w:rsidR="005D2573"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a jedynie przedstawia prawdopodobne skutki, jakie jego realizacja może powodować </w:t>
      </w:r>
      <w:r w:rsidR="005D2573" w:rsidRPr="009B78DA">
        <w:rPr>
          <w:rFonts w:ascii="Arial" w:hAnsi="Arial" w:cs="Arial"/>
          <w:color w:val="000000" w:themeColor="text1"/>
          <w:sz w:val="22"/>
          <w:szCs w:val="22"/>
        </w:rPr>
        <w:br/>
      </w:r>
      <w:r w:rsidR="00C71459">
        <w:rPr>
          <w:rFonts w:ascii="Arial" w:hAnsi="Arial" w:cs="Arial"/>
          <w:color w:val="000000" w:themeColor="text1"/>
          <w:sz w:val="22"/>
          <w:szCs w:val="22"/>
        </w:rPr>
        <w:t>w środowisku.</w:t>
      </w:r>
    </w:p>
    <w:p w14:paraId="3FBEB0EC" w14:textId="136570E1"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Ocena potencjalnych oddziaływań ma charakter hipotetyczny, ze względu na bardzo ogólny i deklaratywny charakter Programu.</w:t>
      </w:r>
    </w:p>
    <w:p w14:paraId="30CEBB49" w14:textId="35A8131F"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Analizy przeprowadzone w Prognozie wskazują na możliwe potencjalnie negatywne skutki realizacji</w:t>
      </w:r>
      <w:r w:rsidR="009C69D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Programu, przy czym zostały przedstawione sposoby przeciwdziałania ewentualnym niekorzystnym oddziaływaniom poprzez zastosowanie środków minimalizujących oraz przykładowe sposoby, których zastosowanie może ograniczyć potencjalny negatywny wpływ na zasoby przyrodnicze.</w:t>
      </w:r>
    </w:p>
    <w:p w14:paraId="56A65E0F" w14:textId="700ACBBF"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Realizacja poszczególnych przedsięwzięć wyszczególnionych w Program</w:t>
      </w:r>
      <w:r w:rsidR="00E274D1" w:rsidRPr="009B78DA">
        <w:rPr>
          <w:rFonts w:ascii="Arial" w:hAnsi="Arial" w:cs="Arial"/>
          <w:color w:val="000000" w:themeColor="text1"/>
          <w:sz w:val="22"/>
          <w:szCs w:val="22"/>
        </w:rPr>
        <w:t>ie</w:t>
      </w:r>
      <w:r w:rsidRPr="009B78DA">
        <w:rPr>
          <w:rFonts w:ascii="Arial" w:hAnsi="Arial" w:cs="Arial"/>
          <w:color w:val="000000" w:themeColor="text1"/>
          <w:sz w:val="22"/>
          <w:szCs w:val="22"/>
        </w:rPr>
        <w:t>, będzie poprzedzona procedurą oceny oddziaływania przedsięwzięcia na środowisko oraz uzyskaniem decyzji o środowiskowych uwarunkowaniach.</w:t>
      </w:r>
    </w:p>
    <w:p w14:paraId="54D92A79" w14:textId="77777777"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Przewiduje się, iż brak realizacji Programu, przyniesie negatywne zmiany w odniesieniu do aktualnego stanu środowiska, szczególnie w miastach. </w:t>
      </w:r>
    </w:p>
    <w:p w14:paraId="4D7ACD7E" w14:textId="61092DF6"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Program</w:t>
      </w:r>
      <w:r w:rsidR="009C69D8" w:rsidRPr="009B78DA">
        <w:rPr>
          <w:rFonts w:ascii="Arial" w:hAnsi="Arial" w:cs="Arial"/>
          <w:color w:val="000000" w:themeColor="text1"/>
          <w:sz w:val="22"/>
          <w:szCs w:val="22"/>
        </w:rPr>
        <w:t>ie</w:t>
      </w:r>
      <w:r w:rsidRPr="009B78DA">
        <w:rPr>
          <w:rFonts w:ascii="Arial" w:hAnsi="Arial" w:cs="Arial"/>
          <w:color w:val="000000" w:themeColor="text1"/>
          <w:sz w:val="22"/>
          <w:szCs w:val="22"/>
        </w:rPr>
        <w:t xml:space="preserve"> aspekty środowiskowe zostały uwzględnione w ogólnym założeniu, jako cele horyzontalne. Przyjęte kierunki rozwoju regionalnego systemu transportowego oraz zrealizowane kluczowe przedsięwzięcia, w przeważającej większości i w dłuższej perspektywie czasowej, będą miały pozytywny wpływ na środowisko.</w:t>
      </w:r>
    </w:p>
    <w:p w14:paraId="6ECFD55F" w14:textId="2F06986E"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Rozwiązania w zakresie zapobiegania, ograniczania i kompensacji przyrodniczej przewidywanych potencjalnych negatywnych oddziaływań na środowisko, zwłaszcza w obszarach kolizyjnych, nie są możliwe do określenia, ponieważ: dokument ma charakter deklaratywny, nie ma dokładnych wskazań lokalizacyjnych nowych przedsięwzięć liniowych, każde z realizowanych w przyszłości przedsięwzięć będzie poddane procedurze oceny oddziaływania przedsięwzięcia na środowisko oraz będzie musiało uzyskać decyzję o środowiskowych uwarunkowaniach zgody na realizację przedsięwzięcia (na etapie wydawania dokumentów decyzyjnych), dlatego też można jedynie wskazać potrzebę stosowania rozwiązań alternatywnych i wybierania do realizacji takiego wariantu, który </w:t>
      </w:r>
      <w:r w:rsidR="005D2573" w:rsidRPr="009B78DA">
        <w:rPr>
          <w:rFonts w:ascii="Arial" w:hAnsi="Arial" w:cs="Arial"/>
          <w:color w:val="000000" w:themeColor="text1"/>
          <w:sz w:val="22"/>
          <w:szCs w:val="22"/>
        </w:rPr>
        <w:br/>
      </w:r>
      <w:r w:rsidRPr="009B78DA">
        <w:rPr>
          <w:rFonts w:ascii="Arial" w:hAnsi="Arial" w:cs="Arial"/>
          <w:color w:val="000000" w:themeColor="text1"/>
          <w:sz w:val="22"/>
          <w:szCs w:val="22"/>
        </w:rPr>
        <w:t>w sposób maksymalny będzie chronić zasoby przyrodnicze, zarówno rośliny, zwierzęta, ich siedliska, jak i miejsca przemieszczania się zw</w:t>
      </w:r>
      <w:r w:rsidR="00C71459">
        <w:rPr>
          <w:rFonts w:ascii="Arial" w:hAnsi="Arial" w:cs="Arial"/>
          <w:color w:val="000000" w:themeColor="text1"/>
          <w:sz w:val="22"/>
          <w:szCs w:val="22"/>
        </w:rPr>
        <w:t>ierząt (korytarze ekologiczne).</w:t>
      </w:r>
    </w:p>
    <w:p w14:paraId="57441854" w14:textId="77777777"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Funkcjonowanie zrealizowanych już działań będzie korzystnie wpływać na stan środowiska i zdrowie ludzi zwłaszcza, gdy stosowane będą najnowsze technologie oraz „dobre praktyki” (np. ciche nawierzchnie, przeźroczyste ekrany, nastąpi wyprowadzenie ciężkiego transportu z centrum miast, prowadzenie szlaków komunikacyjnych, zwłaszcza tych o potencjalnie dużym natężeniu ruchu, poza terenami zwartej zabudowy i obszarami najcenniejszymi pod względem przyrodniczym), niemniej pozytywnych efektów należy spodziewać się w dłuższej perspektywie czasowej.</w:t>
      </w:r>
    </w:p>
    <w:p w14:paraId="06FD028E" w14:textId="25060C49"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eastAsia="Calibri" w:hAnsi="Arial" w:cs="Arial"/>
          <w:color w:val="000000" w:themeColor="text1"/>
          <w:sz w:val="22"/>
          <w:szCs w:val="22"/>
        </w:rPr>
        <w:t>Skala przedsi</w:t>
      </w:r>
      <w:r w:rsidRPr="009B78DA">
        <w:rPr>
          <w:rFonts w:ascii="Arial" w:eastAsia="TimesNewRoman" w:hAnsi="Arial" w:cs="Arial"/>
          <w:color w:val="000000" w:themeColor="text1"/>
          <w:sz w:val="22"/>
          <w:szCs w:val="22"/>
        </w:rPr>
        <w:t>ę</w:t>
      </w:r>
      <w:r w:rsidRPr="009B78DA">
        <w:rPr>
          <w:rFonts w:ascii="Arial" w:eastAsia="Calibri" w:hAnsi="Arial" w:cs="Arial"/>
          <w:color w:val="000000" w:themeColor="text1"/>
          <w:sz w:val="22"/>
          <w:szCs w:val="22"/>
        </w:rPr>
        <w:t>wzi</w:t>
      </w:r>
      <w:r w:rsidRPr="009B78DA">
        <w:rPr>
          <w:rFonts w:ascii="Arial" w:eastAsia="TimesNewRoman" w:hAnsi="Arial" w:cs="Arial"/>
          <w:color w:val="000000" w:themeColor="text1"/>
          <w:sz w:val="22"/>
          <w:szCs w:val="22"/>
        </w:rPr>
        <w:t>ęć wyszczególnionych w Program</w:t>
      </w:r>
      <w:r w:rsidR="009C69D8" w:rsidRPr="009B78DA">
        <w:rPr>
          <w:rFonts w:ascii="Arial" w:eastAsia="TimesNewRoman" w:hAnsi="Arial" w:cs="Arial"/>
          <w:color w:val="000000" w:themeColor="text1"/>
          <w:sz w:val="22"/>
          <w:szCs w:val="22"/>
        </w:rPr>
        <w:t>ie</w:t>
      </w:r>
      <w:r w:rsidRPr="009B78DA">
        <w:rPr>
          <w:rFonts w:ascii="Arial" w:eastAsia="TimesNewRoman" w:hAnsi="Arial" w:cs="Arial"/>
          <w:color w:val="000000" w:themeColor="text1"/>
          <w:sz w:val="22"/>
          <w:szCs w:val="22"/>
        </w:rPr>
        <w:t xml:space="preserve"> </w:t>
      </w:r>
      <w:r w:rsidRPr="009B78DA">
        <w:rPr>
          <w:rFonts w:ascii="Arial" w:eastAsia="Calibri" w:hAnsi="Arial" w:cs="Arial"/>
          <w:color w:val="000000" w:themeColor="text1"/>
          <w:sz w:val="22"/>
          <w:szCs w:val="22"/>
        </w:rPr>
        <w:t>ma przede wszystkim charakter regionalny, a ewentualne, prognozowane oddziaływanie powodowane ich realizacją, będzie miało przeważnie zasi</w:t>
      </w:r>
      <w:r w:rsidRPr="009B78DA">
        <w:rPr>
          <w:rFonts w:ascii="Arial" w:eastAsia="TimesNewRoman" w:hAnsi="Arial" w:cs="Arial"/>
          <w:color w:val="000000" w:themeColor="text1"/>
          <w:sz w:val="22"/>
          <w:szCs w:val="22"/>
        </w:rPr>
        <w:t>ę</w:t>
      </w:r>
      <w:r w:rsidR="00C71459">
        <w:rPr>
          <w:rFonts w:ascii="Arial" w:eastAsia="Calibri" w:hAnsi="Arial" w:cs="Arial"/>
          <w:color w:val="000000" w:themeColor="text1"/>
          <w:sz w:val="22"/>
          <w:szCs w:val="22"/>
        </w:rPr>
        <w:t>g lokalny.</w:t>
      </w:r>
    </w:p>
    <w:p w14:paraId="1698375E" w14:textId="77777777"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Poziom ochrony wód może być osłabiony w czasie prowadzenia prac budowlanych przedsięwzięć transportowych (szczególnie drogi) oraz funkcjonowania szlaków transportowych, przede wszystkim dróg o dużym natężeniu ruchu komunikacyjnego.</w:t>
      </w:r>
    </w:p>
    <w:p w14:paraId="5F0BF553" w14:textId="77777777"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Rozwiązania alternatywne mogą stanowić: wariantowe przebiegi tras komunikacyjnych (drogowych i kolejowych), różne rozwiązania konstrukcyjne dla przedsięwzięć modernizowanych, rozbudowywanych, remontowanych, stosowanie różnych sposobów realizacji przedsięwzięć (np. metody budowy przedsięwzięć, metody transportu ludzi i towarów – komunikacja drogowa czy kolejowa), wariantowe lokalizacje przedsięwzięć.</w:t>
      </w:r>
    </w:p>
    <w:p w14:paraId="378BC934" w14:textId="74F224A3"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Zamierzenia wyszczególnione w</w:t>
      </w:r>
      <w:r w:rsidR="009C69D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Progra</w:t>
      </w:r>
      <w:r w:rsidR="009C69D8" w:rsidRPr="009B78DA">
        <w:rPr>
          <w:rFonts w:ascii="Arial" w:hAnsi="Arial" w:cs="Arial"/>
          <w:color w:val="000000" w:themeColor="text1"/>
          <w:sz w:val="22"/>
          <w:szCs w:val="22"/>
        </w:rPr>
        <w:t>mie</w:t>
      </w:r>
      <w:r w:rsidRPr="009B78DA">
        <w:rPr>
          <w:rFonts w:ascii="Arial" w:hAnsi="Arial" w:cs="Arial"/>
          <w:color w:val="000000" w:themeColor="text1"/>
          <w:sz w:val="22"/>
          <w:szCs w:val="22"/>
        </w:rPr>
        <w:t xml:space="preserve"> powinny być realizowane z zapewnieniem minimalnej ingerencji w tereny o dużym potencjale</w:t>
      </w:r>
      <w:r w:rsidR="00C71459">
        <w:rPr>
          <w:rFonts w:ascii="Arial" w:hAnsi="Arial" w:cs="Arial"/>
          <w:color w:val="000000" w:themeColor="text1"/>
          <w:sz w:val="22"/>
          <w:szCs w:val="22"/>
        </w:rPr>
        <w:t xml:space="preserve"> przyrodniczym i krajobrazowym.</w:t>
      </w:r>
    </w:p>
    <w:p w14:paraId="08A02EE2" w14:textId="08747C7A"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Stopień ogólności</w:t>
      </w:r>
      <w:r w:rsidR="009C69D8"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Programu, jego deklaratywny charakter, brak sprecyzowanych informacji o lokalizacji kluczowych przedsięwzięć oraz brak wiedzy o stanie, funkcji </w:t>
      </w:r>
      <w:r w:rsidR="00C71459">
        <w:rPr>
          <w:rFonts w:ascii="Arial" w:hAnsi="Arial" w:cs="Arial"/>
          <w:color w:val="000000" w:themeColor="text1"/>
          <w:sz w:val="22"/>
          <w:szCs w:val="22"/>
        </w:rPr>
        <w:br/>
      </w:r>
      <w:r w:rsidRPr="009B78DA">
        <w:rPr>
          <w:rFonts w:ascii="Arial" w:hAnsi="Arial" w:cs="Arial"/>
          <w:color w:val="000000" w:themeColor="text1"/>
          <w:sz w:val="22"/>
          <w:szCs w:val="22"/>
        </w:rPr>
        <w:t>i strukturze lokalnych wartości przyrodniczych, utrudnia wypracowanie szczegółowych ocen oddziaływania na środowisko przyrodnicze, w tym na obszary Natura 2000.</w:t>
      </w:r>
    </w:p>
    <w:p w14:paraId="02D302F7" w14:textId="77777777"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Nie można w sposób jednoznaczny wykluczyć negatywnego wpływu realizacji niektórych przedsięwzięć kluczowych na obszary Natura 2000, ale wpływ negatywny nie oznacza wpływu znaczącego. Należy zaznaczyć, że obowiązujące prawo wyklucza realizację przedsięwzięć mogących w sposób znaczący oddziaływać na obszary Natura 2000, ale dopuszcza odstępstwa od tej reguły (art. 34. Ustawy o ochronie przyrody), a dla przedsięwzięć ustawodawca przewidział odpowiednie procedury ocen, które przeprowadza się na etapie wydawania decyzji o ich realizacji. </w:t>
      </w:r>
    </w:p>
    <w:p w14:paraId="1FB214F8" w14:textId="77777777"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Potencjalne, negatywne oddziaływania na środowisko, a w szczególności na obszary cenne przyrodniczo, w tym na obszary Natura 2000, mogą zostać istotnie zminimalizowane lub wyeliminowane poprzez zastosowanie odpowiednich procedur, technologii i rozwiązań projektowych, które wykonuje się na etapie opracowywania dokumentów wykonawczych.</w:t>
      </w:r>
    </w:p>
    <w:p w14:paraId="6FA4B391" w14:textId="495A1733"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odniesieniu do dokumentu o tak dużym stopniu ogólności, jakim jest</w:t>
      </w:r>
      <w:r w:rsidR="003364A0"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Progra</w:t>
      </w:r>
      <w:r w:rsidR="003364A0" w:rsidRPr="009B78DA">
        <w:rPr>
          <w:rFonts w:ascii="Arial" w:hAnsi="Arial" w:cs="Arial"/>
          <w:color w:val="000000" w:themeColor="text1"/>
          <w:sz w:val="22"/>
          <w:szCs w:val="22"/>
        </w:rPr>
        <w:t>m</w:t>
      </w:r>
      <w:r w:rsidRPr="009B78DA">
        <w:rPr>
          <w:rFonts w:ascii="Arial" w:hAnsi="Arial" w:cs="Arial"/>
          <w:color w:val="000000" w:themeColor="text1"/>
          <w:sz w:val="22"/>
          <w:szCs w:val="22"/>
        </w:rPr>
        <w:t>, utrudnione jest zaproponowanie rozwiązań mających na celu kompensację przyrodniczą potencjalnych negatywnych oddziaływań na środowisko. Taka możliwość i potrzeba może powstać, jako wynik oceny oddziaływania na środowisko przedsięwzięcia, przy realizacji konkretnych zamierzeń inwestycyjnych, wynikających z wyboru konkretnego projektu. Będzie to miało miejsce na etapie procesów decyzyjnych (plany zagospodarowania przestrzen</w:t>
      </w:r>
      <w:r w:rsidR="00C71459">
        <w:rPr>
          <w:rFonts w:ascii="Arial" w:hAnsi="Arial" w:cs="Arial"/>
          <w:color w:val="000000" w:themeColor="text1"/>
          <w:sz w:val="22"/>
          <w:szCs w:val="22"/>
        </w:rPr>
        <w:t>nego, decyzje administracyjne).</w:t>
      </w:r>
    </w:p>
    <w:p w14:paraId="3D4D8B96" w14:textId="2FEE0C22"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Sformułowane w</w:t>
      </w:r>
      <w:r w:rsidR="008B304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Program</w:t>
      </w:r>
      <w:r w:rsidR="008B3041" w:rsidRPr="009B78DA">
        <w:rPr>
          <w:rFonts w:ascii="Arial" w:hAnsi="Arial" w:cs="Arial"/>
          <w:color w:val="000000" w:themeColor="text1"/>
          <w:sz w:val="22"/>
          <w:szCs w:val="22"/>
        </w:rPr>
        <w:t>ie</w:t>
      </w:r>
      <w:r w:rsidRPr="009B78DA">
        <w:rPr>
          <w:rFonts w:ascii="Arial" w:hAnsi="Arial" w:cs="Arial"/>
          <w:color w:val="000000" w:themeColor="text1"/>
          <w:sz w:val="22"/>
          <w:szCs w:val="22"/>
        </w:rPr>
        <w:t xml:space="preserve"> cele podstawowe i realizujące je kierunki rozwoju regionalnego systemu transportowego są bezalternatywne, w szczególności w kontekście ustaleń i postanowień wcześniej przyjętych dokumentów programowych szczebla krajowego, dotyczących dziedziny rozwoju transportu.</w:t>
      </w:r>
    </w:p>
    <w:p w14:paraId="06B5D786" w14:textId="77777777"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Alternatywne rozwiązania lokalizacyjne w kontekście łagodzenia potencjalnego negatywnego wpływu proponowanych przedsięwzięć kluczowych na obszary Natura 2000, winny być rozważone na etapie oceny oddziaływania konkretnych przedsięwzięć.</w:t>
      </w:r>
    </w:p>
    <w:p w14:paraId="2AD5BDA0" w14:textId="6BD6072C" w:rsidR="00362837" w:rsidRPr="009B78DA" w:rsidRDefault="00362837" w:rsidP="00C71459">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Realizując przedsięwzięcia wytypowane do wsparcia finansowego ze środków europejskich, wyszczególnione w</w:t>
      </w:r>
      <w:r w:rsidR="008B304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Program</w:t>
      </w:r>
      <w:r w:rsidR="008B3041" w:rsidRPr="009B78DA">
        <w:rPr>
          <w:rFonts w:ascii="Arial" w:hAnsi="Arial" w:cs="Arial"/>
          <w:color w:val="000000" w:themeColor="text1"/>
          <w:sz w:val="22"/>
          <w:szCs w:val="22"/>
        </w:rPr>
        <w:t>ie</w:t>
      </w:r>
      <w:r w:rsidRPr="009B78DA">
        <w:rPr>
          <w:rFonts w:ascii="Arial" w:hAnsi="Arial" w:cs="Arial"/>
          <w:color w:val="000000" w:themeColor="text1"/>
          <w:sz w:val="22"/>
          <w:szCs w:val="22"/>
        </w:rPr>
        <w:t xml:space="preserve"> należy przede wszystkim: </w:t>
      </w:r>
    </w:p>
    <w:p w14:paraId="64D86CB4" w14:textId="77777777" w:rsidR="00362837" w:rsidRPr="009B78DA" w:rsidRDefault="00362837" w:rsidP="00C71459">
      <w:pPr>
        <w:numPr>
          <w:ilvl w:val="0"/>
          <w:numId w:val="282"/>
        </w:numPr>
        <w:spacing w:after="0" w:line="276" w:lineRule="auto"/>
        <w:ind w:left="284" w:hanging="284"/>
        <w:rPr>
          <w:rFonts w:ascii="Arial" w:hAnsi="Arial" w:cs="Arial"/>
          <w:color w:val="000000" w:themeColor="text1"/>
          <w:sz w:val="22"/>
          <w:szCs w:val="22"/>
        </w:rPr>
      </w:pPr>
      <w:r w:rsidRPr="009B78DA">
        <w:rPr>
          <w:rFonts w:ascii="Arial" w:hAnsi="Arial" w:cs="Arial"/>
          <w:color w:val="000000" w:themeColor="text1"/>
          <w:sz w:val="22"/>
          <w:szCs w:val="22"/>
        </w:rPr>
        <w:t xml:space="preserve">zachować spójność i integralność obszarów Natura 2000; </w:t>
      </w:r>
    </w:p>
    <w:p w14:paraId="5DCF1D77" w14:textId="77777777" w:rsidR="00362837" w:rsidRPr="009B78DA" w:rsidRDefault="00362837" w:rsidP="00C71459">
      <w:pPr>
        <w:numPr>
          <w:ilvl w:val="0"/>
          <w:numId w:val="282"/>
        </w:numPr>
        <w:spacing w:after="0" w:line="276" w:lineRule="auto"/>
        <w:ind w:left="284" w:hanging="284"/>
        <w:rPr>
          <w:rFonts w:ascii="Arial" w:hAnsi="Arial" w:cs="Arial"/>
          <w:color w:val="000000" w:themeColor="text1"/>
          <w:sz w:val="22"/>
          <w:szCs w:val="22"/>
        </w:rPr>
      </w:pPr>
      <w:r w:rsidRPr="009B78DA">
        <w:rPr>
          <w:rFonts w:ascii="Arial" w:hAnsi="Arial" w:cs="Arial"/>
          <w:color w:val="000000" w:themeColor="text1"/>
          <w:sz w:val="22"/>
          <w:szCs w:val="22"/>
        </w:rPr>
        <w:t>unikać tworzenia barier dla przemieszczających się zwierząt;</w:t>
      </w:r>
    </w:p>
    <w:p w14:paraId="6DAA4388" w14:textId="77777777" w:rsidR="00362837" w:rsidRPr="009B78DA" w:rsidRDefault="00362837" w:rsidP="00C71459">
      <w:pPr>
        <w:numPr>
          <w:ilvl w:val="0"/>
          <w:numId w:val="282"/>
        </w:numPr>
        <w:spacing w:after="0" w:line="276" w:lineRule="auto"/>
        <w:ind w:left="284" w:hanging="284"/>
        <w:rPr>
          <w:rFonts w:ascii="Arial" w:hAnsi="Arial" w:cs="Arial"/>
          <w:color w:val="000000" w:themeColor="text1"/>
          <w:sz w:val="22"/>
          <w:szCs w:val="22"/>
        </w:rPr>
      </w:pPr>
      <w:r w:rsidRPr="009B78DA">
        <w:rPr>
          <w:rFonts w:ascii="Arial" w:hAnsi="Arial" w:cs="Arial"/>
          <w:color w:val="000000" w:themeColor="text1"/>
          <w:sz w:val="22"/>
          <w:szCs w:val="22"/>
        </w:rPr>
        <w:t xml:space="preserve">zapewniać prawidłowe funkcjonowanie układów przyrodniczych; </w:t>
      </w:r>
    </w:p>
    <w:p w14:paraId="37EDA86D" w14:textId="77777777" w:rsidR="00362837" w:rsidRPr="009B78DA" w:rsidRDefault="00362837" w:rsidP="00C71459">
      <w:pPr>
        <w:numPr>
          <w:ilvl w:val="0"/>
          <w:numId w:val="282"/>
        </w:numPr>
        <w:spacing w:after="0" w:line="276" w:lineRule="auto"/>
        <w:ind w:left="284" w:hanging="284"/>
        <w:rPr>
          <w:rFonts w:ascii="Arial" w:hAnsi="Arial" w:cs="Arial"/>
          <w:color w:val="000000" w:themeColor="text1"/>
          <w:sz w:val="22"/>
          <w:szCs w:val="22"/>
        </w:rPr>
      </w:pPr>
      <w:r w:rsidRPr="009B78DA">
        <w:rPr>
          <w:rFonts w:ascii="Arial" w:hAnsi="Arial" w:cs="Arial"/>
          <w:color w:val="000000" w:themeColor="text1"/>
          <w:sz w:val="22"/>
          <w:szCs w:val="22"/>
        </w:rPr>
        <w:t>ograniczać presję inwestycyjną na tereny najcenniejsze pod względem przyrodniczym;</w:t>
      </w:r>
    </w:p>
    <w:p w14:paraId="3363265B" w14:textId="3E3FF09C" w:rsidR="00362837" w:rsidRPr="009B78DA" w:rsidRDefault="00362837" w:rsidP="00C71459">
      <w:pPr>
        <w:numPr>
          <w:ilvl w:val="0"/>
          <w:numId w:val="282"/>
        </w:numPr>
        <w:spacing w:after="0" w:line="276" w:lineRule="auto"/>
        <w:ind w:left="284" w:hanging="284"/>
        <w:rPr>
          <w:rFonts w:ascii="Arial" w:hAnsi="Arial" w:cs="Arial"/>
          <w:color w:val="000000" w:themeColor="text1"/>
          <w:sz w:val="22"/>
          <w:szCs w:val="22"/>
        </w:rPr>
      </w:pPr>
      <w:r w:rsidRPr="009B78DA">
        <w:rPr>
          <w:rFonts w:ascii="Arial" w:hAnsi="Arial" w:cs="Arial"/>
          <w:color w:val="000000" w:themeColor="text1"/>
          <w:sz w:val="22"/>
          <w:szCs w:val="22"/>
        </w:rPr>
        <w:t>wykluczać, lub w uzasadnionych przypadkach ograniczać, fragmentację śro</w:t>
      </w:r>
      <w:r w:rsidR="00C71459">
        <w:rPr>
          <w:rFonts w:ascii="Arial" w:hAnsi="Arial" w:cs="Arial"/>
          <w:color w:val="000000" w:themeColor="text1"/>
          <w:sz w:val="22"/>
          <w:szCs w:val="22"/>
        </w:rPr>
        <w:t>dowiska do niezbędnego minimum;</w:t>
      </w:r>
    </w:p>
    <w:p w14:paraId="44051639" w14:textId="77777777" w:rsidR="00362837" w:rsidRPr="009B78DA" w:rsidRDefault="00362837" w:rsidP="00C71459">
      <w:pPr>
        <w:numPr>
          <w:ilvl w:val="0"/>
          <w:numId w:val="282"/>
        </w:numPr>
        <w:spacing w:after="0" w:line="276" w:lineRule="auto"/>
        <w:ind w:left="284" w:hanging="284"/>
        <w:rPr>
          <w:rFonts w:ascii="Arial" w:hAnsi="Arial" w:cs="Arial"/>
          <w:color w:val="000000" w:themeColor="text1"/>
          <w:sz w:val="22"/>
          <w:szCs w:val="22"/>
        </w:rPr>
      </w:pPr>
      <w:r w:rsidRPr="009B78DA">
        <w:rPr>
          <w:rFonts w:ascii="Arial" w:hAnsi="Arial" w:cs="Arial"/>
          <w:color w:val="000000" w:themeColor="text1"/>
          <w:sz w:val="22"/>
          <w:szCs w:val="22"/>
        </w:rPr>
        <w:t>zapewniać drożność korytarzy ekologicznych oraz szlaków migracyjnych zwierząt.</w:t>
      </w:r>
    </w:p>
    <w:p w14:paraId="40805C81" w14:textId="77777777" w:rsidR="00362837" w:rsidRPr="009B78DA" w:rsidRDefault="00362837" w:rsidP="00C71459">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Prawdopodobne jest, iż realizacja części przedsięwzięć może spowodować długotrwałe zmiany oraz przekształcenia środowiska w wymiarze lokalnym, ale efekt ekologiczny ich realizacji będzie pozytywny w dłuższym horyzoncie czasowym i w wymiarze ponadlokalnym.</w:t>
      </w:r>
    </w:p>
    <w:p w14:paraId="785E4B2C" w14:textId="78F8FB69" w:rsidR="00362837" w:rsidRPr="009B78DA" w:rsidRDefault="00362837" w:rsidP="00C71459">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Biorąc pod uwagę analizy przeprowadzone w Prognozie należy stwierdzić, że realizacja</w:t>
      </w:r>
      <w:r w:rsidR="008B304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Programu przyczyni się do zmniejszenia emisji gazów cieplarnianych</w:t>
      </w:r>
      <w:r w:rsidR="00C71459">
        <w:rPr>
          <w:rFonts w:ascii="Arial" w:hAnsi="Arial" w:cs="Arial"/>
          <w:color w:val="000000" w:themeColor="text1"/>
          <w:sz w:val="22"/>
          <w:szCs w:val="22"/>
        </w:rPr>
        <w:t xml:space="preserve"> </w:t>
      </w:r>
      <w:r w:rsidRPr="009B78DA">
        <w:rPr>
          <w:rFonts w:ascii="Arial" w:hAnsi="Arial" w:cs="Arial"/>
          <w:color w:val="000000" w:themeColor="text1"/>
          <w:sz w:val="22"/>
          <w:szCs w:val="22"/>
        </w:rPr>
        <w:t>i wpisze się w działania zmierzające do poprawy klimatu – szczególnie realizacja kierunków wyszczególnionych w ramach celów horyzontalnych: Ograniczenie negatywnego oddziaływania sektora transportu na klimat oraz na regionalne środowisko naturalne; Wzmocnienie rozwiązań multimodalnych.</w:t>
      </w:r>
    </w:p>
    <w:p w14:paraId="3E65B0E0" w14:textId="4E615529" w:rsidR="00362837" w:rsidRPr="009B78DA" w:rsidRDefault="00362837" w:rsidP="00C71459">
      <w:pPr>
        <w:spacing w:after="0" w:line="276" w:lineRule="auto"/>
        <w:ind w:firstLine="851"/>
        <w:rPr>
          <w:rFonts w:ascii="Arial" w:hAnsi="Arial" w:cs="Arial"/>
          <w:color w:val="000000" w:themeColor="text1"/>
          <w:sz w:val="22"/>
          <w:szCs w:val="22"/>
        </w:rPr>
      </w:pPr>
      <w:r w:rsidRPr="009B78DA">
        <w:rPr>
          <w:rFonts w:ascii="Arial" w:hAnsi="Arial" w:cs="Arial"/>
          <w:color w:val="000000" w:themeColor="text1"/>
          <w:sz w:val="22"/>
          <w:szCs w:val="22"/>
        </w:rPr>
        <w:t>Pomimo oddziaływania</w:t>
      </w:r>
      <w:r w:rsidR="008B3041"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Programu w sensie transgranicznym, na etapie oceny strategicznej, nie przewiduje się znaczącego transgranicznego oddziaływania na środowisko. Nie przewiduje się by oddziaływania poszczególnych odcinków tras komunikacyjnych, linii kolejowych powodowały znaczące oddziaływania na środowisko o zasięgu wykraczającym poza granice województwa, skutkujące uruchomieniem procedury oceny oddziaływania na środowisko w kontekście transgranicznym. </w:t>
      </w:r>
    </w:p>
    <w:p w14:paraId="2DF18063" w14:textId="526291A8" w:rsidR="002A2F34" w:rsidRPr="009B78DA" w:rsidRDefault="002A2F34">
      <w:pPr>
        <w:rPr>
          <w:color w:val="000000" w:themeColor="text1"/>
        </w:rPr>
      </w:pPr>
      <w:r w:rsidRPr="009B78DA">
        <w:rPr>
          <w:color w:val="000000" w:themeColor="text1"/>
        </w:rPr>
        <w:br w:type="page"/>
      </w:r>
    </w:p>
    <w:p w14:paraId="6914901B" w14:textId="2A65E7AC" w:rsidR="00126313" w:rsidRPr="00C71459" w:rsidRDefault="002A2F34" w:rsidP="00C71459">
      <w:pPr>
        <w:pStyle w:val="Nagwek1"/>
        <w:numPr>
          <w:ilvl w:val="0"/>
          <w:numId w:val="283"/>
        </w:numPr>
        <w:rPr>
          <w:rFonts w:cs="Arial"/>
          <w:b/>
          <w:bCs/>
          <w:color w:val="000000" w:themeColor="text1"/>
          <w:sz w:val="26"/>
          <w:szCs w:val="26"/>
        </w:rPr>
      </w:pPr>
      <w:bookmarkStart w:id="429" w:name="_Toc100335086"/>
      <w:bookmarkStart w:id="430" w:name="_Toc146785812"/>
      <w:r w:rsidRPr="009B78DA">
        <w:rPr>
          <w:rFonts w:cs="Arial"/>
          <w:b/>
          <w:bCs/>
          <w:color w:val="000000" w:themeColor="text1"/>
          <w:sz w:val="26"/>
          <w:szCs w:val="26"/>
        </w:rPr>
        <w:t>Podsumowanie z przeprowadzonych konsultacji społecznych</w:t>
      </w:r>
      <w:bookmarkEnd w:id="429"/>
      <w:bookmarkEnd w:id="430"/>
    </w:p>
    <w:p w14:paraId="1AE406B9" w14:textId="5014C7B7" w:rsidR="00CF3FF5" w:rsidRPr="009B78DA" w:rsidRDefault="00CF3FF5" w:rsidP="00C7145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Zgodnie z art. 6 i art. 19a ustawy z dnia 6 grudnia 2006 r. o zasadach prowadzenia polityki rozwoju </w:t>
      </w:r>
      <w:r w:rsidR="00062E7C" w:rsidRPr="009B78DA">
        <w:rPr>
          <w:rFonts w:ascii="Arial" w:hAnsi="Arial" w:cs="Arial"/>
          <w:color w:val="000000" w:themeColor="text1"/>
          <w:sz w:val="22"/>
          <w:szCs w:val="22"/>
        </w:rPr>
        <w:t xml:space="preserve">(Dz.U. z 2023 r. poz.1259) </w:t>
      </w:r>
      <w:r w:rsidRPr="009B78DA">
        <w:rPr>
          <w:rFonts w:ascii="Arial" w:hAnsi="Arial" w:cs="Arial"/>
          <w:color w:val="000000" w:themeColor="text1"/>
          <w:sz w:val="22"/>
          <w:szCs w:val="22"/>
        </w:rPr>
        <w:t xml:space="preserve"> oraz art. 39, art. 40 i art. 54 ust. 2 ustawy </w:t>
      </w:r>
      <w:r w:rsidRPr="009B78DA">
        <w:rPr>
          <w:rFonts w:ascii="Arial" w:hAnsi="Arial" w:cs="Arial"/>
          <w:color w:val="000000" w:themeColor="text1"/>
          <w:sz w:val="22"/>
          <w:szCs w:val="22"/>
        </w:rPr>
        <w:br/>
        <w:t xml:space="preserve">z dnia 3 października 2008 r. o udostępnianiu informacji o środowisku i jego ochronie, udziale społeczeństwa w ochronie środowiska oraz o ocenach oddziaływania na środowisko </w:t>
      </w:r>
      <w:r w:rsidRPr="009B78DA">
        <w:rPr>
          <w:rFonts w:ascii="Arial" w:hAnsi="Arial" w:cs="Arial"/>
          <w:color w:val="000000" w:themeColor="text1"/>
          <w:sz w:val="22"/>
          <w:szCs w:val="22"/>
        </w:rPr>
        <w:br/>
      </w:r>
      <w:r w:rsidR="001F7F77" w:rsidRPr="009B78DA">
        <w:rPr>
          <w:rFonts w:ascii="Arial" w:hAnsi="Arial" w:cs="Arial"/>
          <w:color w:val="000000" w:themeColor="text1"/>
          <w:sz w:val="22"/>
          <w:szCs w:val="22"/>
        </w:rPr>
        <w:t>(Dz.U. z 2023 r. poz. 1094),</w:t>
      </w:r>
      <w:r w:rsidRPr="009B78DA">
        <w:rPr>
          <w:rFonts w:ascii="Arial" w:hAnsi="Arial" w:cs="Arial"/>
          <w:color w:val="000000" w:themeColor="text1"/>
          <w:sz w:val="22"/>
          <w:szCs w:val="22"/>
        </w:rPr>
        <w:t xml:space="preserve"> Zarząd Województwa Podkarpackiego, skierował projekt Programu wraz z projektem </w:t>
      </w:r>
      <w:r w:rsidRPr="009B78DA">
        <w:rPr>
          <w:rFonts w:ascii="Arial" w:hAnsi="Arial" w:cs="Arial"/>
          <w:i/>
          <w:iCs/>
          <w:color w:val="000000" w:themeColor="text1"/>
          <w:sz w:val="22"/>
          <w:szCs w:val="22"/>
        </w:rPr>
        <w:t>Prognozy oddziaływania na środowisko</w:t>
      </w:r>
      <w:r w:rsidRPr="009B78DA">
        <w:rPr>
          <w:rFonts w:ascii="Arial" w:hAnsi="Arial" w:cs="Arial"/>
          <w:color w:val="000000" w:themeColor="text1"/>
          <w:sz w:val="22"/>
          <w:szCs w:val="22"/>
        </w:rPr>
        <w:t xml:space="preserve"> do konsultacji społecznych, realizując obowiązek zapewnienia udziału społeczeństwa w tworzeniu dokumentów strategicznych. </w:t>
      </w:r>
    </w:p>
    <w:p w14:paraId="38E2B8CC" w14:textId="1A024321" w:rsidR="00CF3FF5" w:rsidRPr="009B78DA" w:rsidRDefault="00CF3FF5" w:rsidP="00C7145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Konsultacje społeczne przeprowadzono z jednostkami samorządu terytorialnego, Komisją Wspólną Rządu i Samorządu Terytorialnego, partnerami społecznymi </w:t>
      </w:r>
      <w:r w:rsidRPr="009B78DA">
        <w:rPr>
          <w:rFonts w:ascii="Arial" w:hAnsi="Arial" w:cs="Arial"/>
          <w:color w:val="000000" w:themeColor="text1"/>
          <w:sz w:val="22"/>
          <w:szCs w:val="22"/>
        </w:rPr>
        <w:br/>
        <w:t xml:space="preserve">i gospodarczymi z terenu województwa, interesariuszami regionalnego systemu </w:t>
      </w:r>
      <w:r w:rsidR="00876892" w:rsidRPr="009B78DA">
        <w:rPr>
          <w:rFonts w:ascii="Arial" w:hAnsi="Arial" w:cs="Arial"/>
          <w:color w:val="000000" w:themeColor="text1"/>
          <w:sz w:val="22"/>
          <w:szCs w:val="22"/>
        </w:rPr>
        <w:t>transportowego</w:t>
      </w:r>
      <w:r w:rsidRPr="009B78DA">
        <w:rPr>
          <w:rFonts w:ascii="Arial" w:hAnsi="Arial" w:cs="Arial"/>
          <w:color w:val="000000" w:themeColor="text1"/>
          <w:sz w:val="22"/>
          <w:szCs w:val="22"/>
        </w:rPr>
        <w:t>, a także z mieszkańcami Podkarpacia.</w:t>
      </w:r>
    </w:p>
    <w:p w14:paraId="6CD82D48" w14:textId="0122B15D" w:rsidR="00CF3FF5" w:rsidRPr="009B78DA" w:rsidRDefault="00CF3FF5" w:rsidP="00C7145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Konsultacje przeprowadzone zostały w okresie od </w:t>
      </w:r>
      <w:r w:rsidRPr="009B78DA">
        <w:rPr>
          <w:rStyle w:val="Pogrubienie"/>
          <w:rFonts w:ascii="Arial" w:hAnsi="Arial" w:cs="Arial"/>
          <w:b w:val="0"/>
          <w:color w:val="000000" w:themeColor="text1"/>
          <w:sz w:val="22"/>
          <w:szCs w:val="22"/>
        </w:rPr>
        <w:t xml:space="preserve">28 stycznia 2022 r. </w:t>
      </w:r>
      <w:r w:rsidRPr="009B78DA">
        <w:rPr>
          <w:rFonts w:ascii="Arial" w:hAnsi="Arial" w:cs="Arial"/>
          <w:color w:val="000000" w:themeColor="text1"/>
          <w:sz w:val="22"/>
          <w:szCs w:val="22"/>
        </w:rPr>
        <w:t>do</w:t>
      </w:r>
      <w:r w:rsidRPr="009B78DA">
        <w:rPr>
          <w:rStyle w:val="Pogrubienie"/>
          <w:rFonts w:ascii="Arial" w:hAnsi="Arial" w:cs="Arial"/>
          <w:b w:val="0"/>
          <w:color w:val="000000" w:themeColor="text1"/>
          <w:sz w:val="22"/>
          <w:szCs w:val="22"/>
        </w:rPr>
        <w:t xml:space="preserve"> 7 marca 2022 r.</w:t>
      </w:r>
      <w:r w:rsidRPr="009B78DA">
        <w:rPr>
          <w:rFonts w:ascii="Arial" w:hAnsi="Arial" w:cs="Arial"/>
          <w:color w:val="000000" w:themeColor="text1"/>
          <w:sz w:val="22"/>
          <w:szCs w:val="22"/>
        </w:rPr>
        <w:t xml:space="preserve"> Ogłoszenie o konsultacjach społecznych projektu </w:t>
      </w:r>
      <w:r w:rsidRPr="009B78DA">
        <w:rPr>
          <w:rFonts w:ascii="Arial" w:hAnsi="Arial" w:cs="Arial"/>
          <w:i/>
          <w:iCs/>
          <w:color w:val="000000" w:themeColor="text1"/>
          <w:sz w:val="22"/>
          <w:szCs w:val="22"/>
        </w:rPr>
        <w:t>Programu Strategicznego Rozwoju Transportu Województwa Podkarpackiego</w:t>
      </w:r>
      <w:r w:rsidRPr="009B78DA">
        <w:rPr>
          <w:rFonts w:ascii="Arial" w:hAnsi="Arial" w:cs="Arial"/>
          <w:color w:val="000000" w:themeColor="text1"/>
          <w:sz w:val="22"/>
          <w:szCs w:val="22"/>
        </w:rPr>
        <w:t xml:space="preserve"> do roku 2030 oraz projektu </w:t>
      </w:r>
      <w:r w:rsidRPr="009B78DA">
        <w:rPr>
          <w:rFonts w:ascii="Arial" w:hAnsi="Arial" w:cs="Arial"/>
          <w:i/>
          <w:iCs/>
          <w:color w:val="000000" w:themeColor="text1"/>
          <w:sz w:val="22"/>
          <w:szCs w:val="22"/>
        </w:rPr>
        <w:t>Prognozy oddziaływania na środowisko</w:t>
      </w:r>
      <w:r w:rsidRPr="009B78DA">
        <w:rPr>
          <w:rFonts w:ascii="Arial" w:hAnsi="Arial" w:cs="Arial"/>
          <w:color w:val="000000" w:themeColor="text1"/>
          <w:sz w:val="22"/>
          <w:szCs w:val="22"/>
        </w:rPr>
        <w:t xml:space="preserve"> ukazało się w dniu 28 stycznia</w:t>
      </w:r>
      <w:r w:rsidR="00C71459">
        <w:rPr>
          <w:rFonts w:ascii="Arial" w:hAnsi="Arial" w:cs="Arial"/>
          <w:color w:val="000000" w:themeColor="text1"/>
          <w:sz w:val="22"/>
          <w:szCs w:val="22"/>
        </w:rPr>
        <w:t xml:space="preserve"> 2022 r. w gazetach codziennych </w:t>
      </w:r>
      <w:r w:rsidRPr="009B78DA">
        <w:rPr>
          <w:rFonts w:ascii="Arial" w:hAnsi="Arial" w:cs="Arial"/>
          <w:color w:val="000000" w:themeColor="text1"/>
          <w:sz w:val="22"/>
          <w:szCs w:val="22"/>
        </w:rPr>
        <w:t>o zasięgu regionalnym oraz na stronie internetowej Samorządu Województwa Podkarpackiego.</w:t>
      </w:r>
    </w:p>
    <w:p w14:paraId="3C4E0A1C" w14:textId="75A125E0" w:rsidR="00CF3FF5" w:rsidRPr="009B78DA" w:rsidRDefault="00CF3FF5" w:rsidP="00C7145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Uwagi, sugestie, komentarze do projektów dokumentów można było składać zarówno w formie pisemnej (za pomocą formularzy uwag lub pism tradycyjnych), a także w formie ustnej podczas organizowanych spotkań konsultacyjnych lub w bezpośrednio</w:t>
      </w:r>
      <w:r w:rsidR="00C71459">
        <w:rPr>
          <w:rFonts w:ascii="Arial" w:hAnsi="Arial" w:cs="Arial"/>
          <w:color w:val="000000" w:themeColor="text1"/>
          <w:sz w:val="22"/>
          <w:szCs w:val="22"/>
        </w:rPr>
        <w:t xml:space="preserve"> w siedzibie tutejszego Urzędu.</w:t>
      </w:r>
    </w:p>
    <w:p w14:paraId="18E69DD4" w14:textId="521BD89E" w:rsidR="00CF3FF5" w:rsidRPr="009B78DA" w:rsidRDefault="00CF3FF5" w:rsidP="00C7145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Zaproszenia do udziału w konsultacjach społecznych zostały przesłane do Ministra </w:t>
      </w:r>
      <w:r w:rsidRPr="009B78DA">
        <w:rPr>
          <w:rFonts w:ascii="Arial" w:hAnsi="Arial" w:cs="Arial"/>
          <w:bCs/>
          <w:color w:val="000000" w:themeColor="text1"/>
          <w:sz w:val="22"/>
          <w:szCs w:val="22"/>
        </w:rPr>
        <w:t xml:space="preserve">Funduszy i Polityki Regionalnej, Posłów na Sejm i Senatorów </w:t>
      </w:r>
      <w:r w:rsidRPr="009B78DA">
        <w:rPr>
          <w:rFonts w:ascii="Arial" w:hAnsi="Arial" w:cs="Arial"/>
          <w:color w:val="000000" w:themeColor="text1"/>
          <w:sz w:val="22"/>
          <w:szCs w:val="22"/>
        </w:rPr>
        <w:t xml:space="preserve">Rzeczypospolitej Polskiej </w:t>
      </w:r>
      <w:r w:rsidRPr="009B78DA">
        <w:rPr>
          <w:rFonts w:ascii="Arial" w:hAnsi="Arial" w:cs="Arial"/>
          <w:color w:val="000000" w:themeColor="text1"/>
          <w:sz w:val="22"/>
          <w:szCs w:val="22"/>
        </w:rPr>
        <w:br/>
        <w:t>z województwa podkarpackiego, Radnych Sejmiku Województwa Podkarpackiego, Wojewody Podkarpackiego oraz Prezydentów, Burmistrzów i Wójtów jednostek samorządu terytorialnego z terenu całego województwa, a także do Marszałków województw sąsiednich: województwa lubelskiego, świętokrzyskiego oraz małopolskiego. Zaproszenia pisemne skierowano także do członków Zespołu powołanych do opracowania</w:t>
      </w:r>
      <w:r w:rsidR="00C71459">
        <w:rPr>
          <w:rFonts w:ascii="Arial" w:hAnsi="Arial" w:cs="Arial"/>
          <w:i/>
          <w:iCs/>
          <w:color w:val="000000" w:themeColor="text1"/>
          <w:sz w:val="22"/>
          <w:szCs w:val="22"/>
        </w:rPr>
        <w:t xml:space="preserve"> Programu.</w:t>
      </w:r>
    </w:p>
    <w:p w14:paraId="624196B2" w14:textId="106F07B5" w:rsidR="00CF3FF5" w:rsidRPr="009B78DA" w:rsidRDefault="00CF3FF5" w:rsidP="00C7145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Zgodnie z art. 19a ust. 1 ustawy z 6 grudnia 2006r. o zasadach prowadzenia polityki rozwoju </w:t>
      </w:r>
      <w:r w:rsidR="00062E7C" w:rsidRPr="009B78DA">
        <w:rPr>
          <w:rFonts w:ascii="Arial" w:hAnsi="Arial" w:cs="Arial"/>
          <w:color w:val="000000" w:themeColor="text1"/>
          <w:sz w:val="22"/>
          <w:szCs w:val="22"/>
        </w:rPr>
        <w:t xml:space="preserve">(Dz.U. z 2023 r. poz.1259) </w:t>
      </w:r>
      <w:r w:rsidRPr="009B78DA">
        <w:rPr>
          <w:rFonts w:ascii="Arial" w:hAnsi="Arial" w:cs="Arial"/>
          <w:color w:val="000000" w:themeColor="text1"/>
          <w:sz w:val="22"/>
          <w:szCs w:val="22"/>
        </w:rPr>
        <w:t xml:space="preserve"> w dniu 27 stycznia 2022</w:t>
      </w:r>
      <w:r w:rsidR="001F7F7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r. zwrócono się do Komisji Wspólnej Rządu i Samorządu Terytorialnego o wydanie opinii</w:t>
      </w:r>
      <w:r w:rsidR="00C71459">
        <w:rPr>
          <w:rFonts w:ascii="Arial" w:hAnsi="Arial" w:cs="Arial"/>
          <w:color w:val="000000" w:themeColor="text1"/>
          <w:sz w:val="22"/>
          <w:szCs w:val="22"/>
        </w:rPr>
        <w:t xml:space="preserve"> do konsultowanych dokumentów.</w:t>
      </w:r>
    </w:p>
    <w:p w14:paraId="093F0BDA" w14:textId="7C2DD878" w:rsidR="00CF3FF5" w:rsidRPr="009B78DA" w:rsidRDefault="00CF3FF5" w:rsidP="00C7145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Zgodnie art. 54 ust. 1 ustawy z dnia 3 października 2008 r. o udostępnieniu informacji o środowisku i jego ochronie, udziale społeczeństwa w ochronie środowiska oraz ocenach oddziaływania na środowisko </w:t>
      </w:r>
      <w:r w:rsidR="001F7F77" w:rsidRPr="009B78DA">
        <w:rPr>
          <w:rFonts w:ascii="Arial" w:hAnsi="Arial" w:cs="Arial"/>
          <w:color w:val="000000" w:themeColor="text1"/>
          <w:sz w:val="22"/>
          <w:szCs w:val="22"/>
        </w:rPr>
        <w:t>(Dz.U. z 2023 r. poz. 1094)</w:t>
      </w:r>
      <w:r w:rsidRPr="009B78DA">
        <w:rPr>
          <w:rFonts w:ascii="Arial" w:hAnsi="Arial" w:cs="Arial"/>
          <w:color w:val="000000" w:themeColor="text1"/>
          <w:sz w:val="22"/>
          <w:szCs w:val="22"/>
        </w:rPr>
        <w:t>, w dniu 11 lutego 2022</w:t>
      </w:r>
      <w:r w:rsidR="001F7F7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r. zwrócono się do Regionalnego Dyrektora Ochrony Środowiska w Rzeszowie oraz Państwowego Wojewódzkiego Inspektora Sanitarnego w Rzeszowie o wydanie opinii</w:t>
      </w:r>
      <w:r w:rsidR="00C71459">
        <w:rPr>
          <w:rFonts w:ascii="Arial" w:hAnsi="Arial" w:cs="Arial"/>
          <w:color w:val="000000" w:themeColor="text1"/>
          <w:sz w:val="22"/>
          <w:szCs w:val="22"/>
        </w:rPr>
        <w:t xml:space="preserve"> do konsultowanych dokumentów.</w:t>
      </w:r>
    </w:p>
    <w:p w14:paraId="52B64DDC" w14:textId="05D67B11" w:rsidR="00CF3FF5" w:rsidRPr="009B78DA" w:rsidRDefault="00CF3FF5" w:rsidP="00C7145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Zgodnie z art. 2 ust. 2 Regulaminu organizacji i trybu działania oraz trybu powoływania członków Rady Działalności Pożytku Publicznego Województwa Podkarpackiego, stanowiącego załącznik nr 1 do Uchwały Nr 337/7217/17 Zarządu Województwa Podkarpackiego z dnia 5 września 2017 r. w dniu 3 marca 2022r., zwrócono się do Rady Działalności Pożytku Publicznego Województwa Podkarpackiego o wydanie opinii do konsultowanych dokumentów.</w:t>
      </w:r>
    </w:p>
    <w:p w14:paraId="36D5DC72" w14:textId="68953370" w:rsidR="00CF3FF5" w:rsidRPr="009B78DA" w:rsidRDefault="00CF3FF5" w:rsidP="00C7145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Po raz pierwszy projekt </w:t>
      </w:r>
      <w:r w:rsidRPr="009B78DA">
        <w:rPr>
          <w:rFonts w:ascii="Arial" w:hAnsi="Arial" w:cs="Arial"/>
          <w:i/>
          <w:iCs/>
          <w:color w:val="000000" w:themeColor="text1"/>
          <w:sz w:val="22"/>
          <w:szCs w:val="22"/>
        </w:rPr>
        <w:t>Programu</w:t>
      </w:r>
      <w:r w:rsidRPr="009B78DA">
        <w:rPr>
          <w:rFonts w:ascii="Arial" w:hAnsi="Arial" w:cs="Arial"/>
          <w:color w:val="000000" w:themeColor="text1"/>
          <w:sz w:val="22"/>
          <w:szCs w:val="22"/>
        </w:rPr>
        <w:t xml:space="preserve"> oraz projekt </w:t>
      </w:r>
      <w:r w:rsidRPr="009B78DA">
        <w:rPr>
          <w:rFonts w:ascii="Arial" w:hAnsi="Arial" w:cs="Arial"/>
          <w:i/>
          <w:iCs/>
          <w:color w:val="000000" w:themeColor="text1"/>
          <w:sz w:val="22"/>
          <w:szCs w:val="22"/>
        </w:rPr>
        <w:t>Prognozy oddziaływania na środowisko</w:t>
      </w:r>
      <w:r w:rsidRPr="009B78DA">
        <w:rPr>
          <w:rFonts w:ascii="Arial" w:hAnsi="Arial" w:cs="Arial"/>
          <w:color w:val="000000" w:themeColor="text1"/>
          <w:sz w:val="22"/>
          <w:szCs w:val="22"/>
        </w:rPr>
        <w:t xml:space="preserve"> zaprezentowany został na Sesji Sejmiku Województwa Po</w:t>
      </w:r>
      <w:r w:rsidR="00C71459">
        <w:rPr>
          <w:rFonts w:ascii="Arial" w:hAnsi="Arial" w:cs="Arial"/>
          <w:color w:val="000000" w:themeColor="text1"/>
          <w:sz w:val="22"/>
          <w:szCs w:val="22"/>
        </w:rPr>
        <w:t xml:space="preserve">dkarpackiego, która odbyła się </w:t>
      </w:r>
      <w:r w:rsidRPr="009B78DA">
        <w:rPr>
          <w:rFonts w:ascii="Arial" w:hAnsi="Arial" w:cs="Arial"/>
          <w:color w:val="000000" w:themeColor="text1"/>
          <w:sz w:val="22"/>
          <w:szCs w:val="22"/>
        </w:rPr>
        <w:t>w formie zdalnej w dniu 31 stycznia 2022r.</w:t>
      </w:r>
    </w:p>
    <w:p w14:paraId="4576CDFE" w14:textId="48CAE02E" w:rsidR="00CF3FF5" w:rsidRPr="009B78DA" w:rsidRDefault="00CF3FF5" w:rsidP="00C7145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Ponadto przeprowadzono także 8 spotkań konsultacyjnych w następujących miastach: Rzeszów 03.02.2022 r., Przemyśl, 04.02.2022 r., Stalowa Wola, 07.02.2022 r., Dębica, 09.02.2022 r., Sanok, 10.02.2022 r., Ustrzyki Dolne, 10.02.2022 r., Tarnobrzeg, 11.02.2022 r. oraz Krosno, 14.02.2022 r. Z wyjątkiem spotkania organizowanego </w:t>
      </w:r>
      <w:r w:rsidR="000E1E87">
        <w:rPr>
          <w:rFonts w:ascii="Arial" w:hAnsi="Arial" w:cs="Arial"/>
          <w:color w:val="000000" w:themeColor="text1"/>
          <w:sz w:val="22"/>
          <w:szCs w:val="22"/>
        </w:rPr>
        <w:br/>
      </w:r>
      <w:r w:rsidRPr="009B78DA">
        <w:rPr>
          <w:rFonts w:ascii="Arial" w:hAnsi="Arial" w:cs="Arial"/>
          <w:color w:val="000000" w:themeColor="text1"/>
          <w:sz w:val="22"/>
          <w:szCs w:val="22"/>
        </w:rPr>
        <w:t xml:space="preserve">w Ustrzykach Dolnych, które przybrało formę stacjonarną, pozostałe spotkania zorganizowane zostały w formie hybrydowej, umożliwiając zainteresowanym także udział </w:t>
      </w:r>
      <w:r w:rsidR="000E1E87">
        <w:rPr>
          <w:rFonts w:ascii="Arial" w:hAnsi="Arial" w:cs="Arial"/>
          <w:color w:val="000000" w:themeColor="text1"/>
          <w:sz w:val="22"/>
          <w:szCs w:val="22"/>
        </w:rPr>
        <w:br/>
      </w:r>
      <w:r w:rsidRPr="009B78DA">
        <w:rPr>
          <w:rFonts w:ascii="Arial" w:hAnsi="Arial" w:cs="Arial"/>
          <w:color w:val="000000" w:themeColor="text1"/>
          <w:sz w:val="22"/>
          <w:szCs w:val="22"/>
        </w:rPr>
        <w:t xml:space="preserve">on-line za pomocą mediów społecznościowych oraz za pomocą platformy internetowej. Spotkania konsultacyjne poświęcone zostały prezentacji konsultowanych dokumentów, dyskusji nad zaproponowanymi w projekcie </w:t>
      </w:r>
      <w:r w:rsidRPr="009B78DA">
        <w:rPr>
          <w:rFonts w:ascii="Arial" w:hAnsi="Arial" w:cs="Arial"/>
          <w:i/>
          <w:iCs/>
          <w:color w:val="000000" w:themeColor="text1"/>
          <w:sz w:val="22"/>
          <w:szCs w:val="22"/>
        </w:rPr>
        <w:t xml:space="preserve">Programu </w:t>
      </w:r>
      <w:r w:rsidRPr="009B78DA">
        <w:rPr>
          <w:rFonts w:ascii="Arial" w:hAnsi="Arial" w:cs="Arial"/>
          <w:color w:val="000000" w:themeColor="text1"/>
          <w:sz w:val="22"/>
          <w:szCs w:val="22"/>
        </w:rPr>
        <w:t xml:space="preserve">oraz w projekcie </w:t>
      </w:r>
      <w:r w:rsidRPr="009B78DA">
        <w:rPr>
          <w:rFonts w:ascii="Arial" w:hAnsi="Arial" w:cs="Arial"/>
          <w:i/>
          <w:iCs/>
          <w:color w:val="000000" w:themeColor="text1"/>
          <w:sz w:val="22"/>
          <w:szCs w:val="22"/>
        </w:rPr>
        <w:t>Prognozy oddziaływania na środowisko</w:t>
      </w:r>
      <w:r w:rsidRPr="009B78DA">
        <w:rPr>
          <w:rFonts w:ascii="Arial" w:hAnsi="Arial" w:cs="Arial"/>
          <w:color w:val="000000" w:themeColor="text1"/>
          <w:sz w:val="22"/>
          <w:szCs w:val="22"/>
        </w:rPr>
        <w:t xml:space="preserve"> zapisami, jak również zebraniu</w:t>
      </w:r>
      <w:r w:rsidR="00C71459">
        <w:rPr>
          <w:rFonts w:ascii="Arial" w:hAnsi="Arial" w:cs="Arial"/>
          <w:color w:val="000000" w:themeColor="text1"/>
          <w:sz w:val="22"/>
          <w:szCs w:val="22"/>
        </w:rPr>
        <w:t xml:space="preserve"> uwag od uczestników spotkania.</w:t>
      </w:r>
    </w:p>
    <w:p w14:paraId="79C9552C" w14:textId="77777777" w:rsidR="00CF3FF5" w:rsidRPr="009B78DA" w:rsidRDefault="00CF3FF5" w:rsidP="00C71459">
      <w:pPr>
        <w:spacing w:after="0" w:line="276" w:lineRule="auto"/>
        <w:ind w:firstLine="708"/>
        <w:rPr>
          <w:rFonts w:ascii="Arial" w:eastAsiaTheme="minorHAnsi" w:hAnsi="Arial" w:cs="Arial"/>
          <w:i/>
          <w:iCs/>
          <w:color w:val="000000" w:themeColor="text1"/>
          <w:sz w:val="22"/>
          <w:szCs w:val="22"/>
        </w:rPr>
      </w:pPr>
      <w:r w:rsidRPr="009B78DA">
        <w:rPr>
          <w:rFonts w:ascii="Arial" w:hAnsi="Arial" w:cs="Arial"/>
          <w:color w:val="000000" w:themeColor="text1"/>
          <w:sz w:val="22"/>
          <w:szCs w:val="22"/>
        </w:rPr>
        <w:t xml:space="preserve">W trakcie trwania konsultacji do Urzędu Marszałkowskiego Województwa Podkarpackiego wpłynęło </w:t>
      </w:r>
      <w:r w:rsidRPr="009B78DA">
        <w:rPr>
          <w:rFonts w:ascii="Arial" w:eastAsiaTheme="minorHAnsi" w:hAnsi="Arial" w:cs="Arial"/>
          <w:color w:val="000000" w:themeColor="text1"/>
          <w:sz w:val="22"/>
          <w:szCs w:val="22"/>
        </w:rPr>
        <w:t xml:space="preserve">ogółem 269 uwag do projektu </w:t>
      </w:r>
      <w:r w:rsidRPr="009B78DA">
        <w:rPr>
          <w:rFonts w:ascii="Arial" w:hAnsi="Arial" w:cs="Arial"/>
          <w:i/>
          <w:iCs/>
          <w:color w:val="000000" w:themeColor="text1"/>
          <w:sz w:val="22"/>
          <w:szCs w:val="22"/>
        </w:rPr>
        <w:t>Programu Strategicznego Rozwoju Transportu Województwa Podkarpackiego do roku 2030</w:t>
      </w:r>
      <w:r w:rsidRPr="009B78DA">
        <w:rPr>
          <w:rFonts w:ascii="Arial" w:hAnsi="Arial" w:cs="Arial"/>
          <w:color w:val="000000" w:themeColor="text1"/>
          <w:sz w:val="22"/>
          <w:szCs w:val="22"/>
        </w:rPr>
        <w:t xml:space="preserve"> </w:t>
      </w:r>
      <w:r w:rsidRPr="009B78DA">
        <w:rPr>
          <w:rFonts w:ascii="Arial" w:eastAsiaTheme="minorHAnsi" w:hAnsi="Arial" w:cs="Arial"/>
          <w:color w:val="000000" w:themeColor="text1"/>
          <w:sz w:val="22"/>
          <w:szCs w:val="22"/>
        </w:rPr>
        <w:t xml:space="preserve">oraz 33 uwagi do projektu </w:t>
      </w:r>
      <w:r w:rsidRPr="009B78DA">
        <w:rPr>
          <w:rFonts w:ascii="Arial" w:eastAsiaTheme="minorHAnsi" w:hAnsi="Arial" w:cs="Arial"/>
          <w:i/>
          <w:iCs/>
          <w:color w:val="000000" w:themeColor="text1"/>
          <w:sz w:val="22"/>
          <w:szCs w:val="22"/>
        </w:rPr>
        <w:t>Prognozy oddziaływania na środowisko.</w:t>
      </w:r>
    </w:p>
    <w:p w14:paraId="3BD57943" w14:textId="19958AC1" w:rsidR="00CF3FF5" w:rsidRPr="009B78DA" w:rsidRDefault="00CF3FF5" w:rsidP="00C71459">
      <w:pPr>
        <w:spacing w:after="0" w:line="276" w:lineRule="auto"/>
        <w:ind w:firstLine="708"/>
        <w:rPr>
          <w:rFonts w:ascii="Arial" w:hAnsi="Arial" w:cs="Arial"/>
          <w:color w:val="000000" w:themeColor="text1"/>
          <w:sz w:val="22"/>
          <w:szCs w:val="22"/>
        </w:rPr>
      </w:pPr>
      <w:bookmarkStart w:id="431" w:name="_Hlk100064663"/>
      <w:r w:rsidRPr="009B78DA">
        <w:rPr>
          <w:rFonts w:ascii="Arial" w:eastAsiaTheme="minorHAnsi" w:hAnsi="Arial" w:cs="Arial"/>
          <w:color w:val="000000" w:themeColor="text1"/>
          <w:sz w:val="22"/>
          <w:szCs w:val="22"/>
        </w:rPr>
        <w:t>Zgodnie z art. 6 pkt. 6</w:t>
      </w:r>
      <w:r w:rsidRPr="009B78DA">
        <w:rPr>
          <w:rFonts w:ascii="Arial" w:eastAsiaTheme="minorHAnsi" w:hAnsi="Arial" w:cs="Arial"/>
          <w:i/>
          <w:iCs/>
          <w:color w:val="000000" w:themeColor="text1"/>
          <w:sz w:val="22"/>
          <w:szCs w:val="22"/>
        </w:rPr>
        <w:t xml:space="preserve"> </w:t>
      </w:r>
      <w:r w:rsidRPr="009B78DA">
        <w:rPr>
          <w:rFonts w:ascii="Arial" w:hAnsi="Arial" w:cs="Arial"/>
          <w:color w:val="000000" w:themeColor="text1"/>
          <w:sz w:val="22"/>
          <w:szCs w:val="22"/>
        </w:rPr>
        <w:t>ustawy z dnia 6 grudnia 2006 r. o zasadach prowadzenia polityki rozwoju</w:t>
      </w:r>
      <w:r w:rsidR="00062E7C" w:rsidRPr="009B78DA">
        <w:rPr>
          <w:color w:val="000000" w:themeColor="text1"/>
        </w:rPr>
        <w:t xml:space="preserve"> </w:t>
      </w:r>
      <w:r w:rsidR="00062E7C" w:rsidRPr="009B78DA">
        <w:rPr>
          <w:rFonts w:ascii="Arial" w:hAnsi="Arial" w:cs="Arial"/>
          <w:color w:val="000000" w:themeColor="text1"/>
          <w:sz w:val="22"/>
          <w:szCs w:val="22"/>
        </w:rPr>
        <w:t>(Dz.U. z 2023 r. poz.1259)</w:t>
      </w:r>
      <w:r w:rsidRPr="009B78DA">
        <w:rPr>
          <w:rFonts w:ascii="Arial" w:hAnsi="Arial" w:cs="Arial"/>
          <w:color w:val="000000" w:themeColor="text1"/>
          <w:sz w:val="22"/>
          <w:szCs w:val="22"/>
        </w:rPr>
        <w:t xml:space="preserve">, przygotowane zostało sprawozdanie </w:t>
      </w:r>
      <w:r w:rsidRPr="009B78DA">
        <w:rPr>
          <w:rFonts w:ascii="Arial" w:hAnsi="Arial" w:cs="Arial"/>
          <w:color w:val="000000" w:themeColor="text1"/>
          <w:sz w:val="22"/>
          <w:szCs w:val="22"/>
        </w:rPr>
        <w:br/>
        <w:t>z przeprowadzonych konsultacji społecznych ww. projektów dokumentów -</w:t>
      </w:r>
      <w:r w:rsidRPr="009B78DA">
        <w:rPr>
          <w:rFonts w:ascii="Arial" w:hAnsi="Arial" w:cs="Arial"/>
          <w:i/>
          <w:iCs/>
          <w:color w:val="000000" w:themeColor="text1"/>
          <w:sz w:val="22"/>
          <w:szCs w:val="22"/>
        </w:rPr>
        <w:t xml:space="preserve"> Raport </w:t>
      </w:r>
      <w:r w:rsidR="00CD74F2" w:rsidRPr="009B78DA">
        <w:rPr>
          <w:rFonts w:ascii="Arial" w:hAnsi="Arial" w:cs="Arial"/>
          <w:i/>
          <w:iCs/>
          <w:color w:val="000000" w:themeColor="text1"/>
          <w:sz w:val="22"/>
          <w:szCs w:val="22"/>
        </w:rPr>
        <w:br/>
      </w:r>
      <w:r w:rsidRPr="009B78DA">
        <w:rPr>
          <w:rFonts w:ascii="Arial" w:hAnsi="Arial" w:cs="Arial"/>
          <w:i/>
          <w:iCs/>
          <w:color w:val="000000" w:themeColor="text1"/>
          <w:sz w:val="22"/>
          <w:szCs w:val="22"/>
        </w:rPr>
        <w:t>z konsultacji społecznych projektu Programu Strategicznego Rozwoju Transportu Województwa Podkarpackiego do roku 2030 oraz projektu Prognozy Oddziaływania na środowisko</w:t>
      </w:r>
      <w:r w:rsidRPr="009B78DA">
        <w:rPr>
          <w:rFonts w:ascii="Arial" w:hAnsi="Arial" w:cs="Arial"/>
          <w:color w:val="000000" w:themeColor="text1"/>
          <w:sz w:val="22"/>
          <w:szCs w:val="22"/>
        </w:rPr>
        <w:t>, zawierające ustosunkowanie się do zgłoszonych uwag wraz z uzasadnieniem</w:t>
      </w:r>
      <w:bookmarkEnd w:id="431"/>
      <w:r w:rsidRPr="009B78DA">
        <w:rPr>
          <w:rFonts w:ascii="Arial" w:hAnsi="Arial" w:cs="Arial"/>
          <w:color w:val="000000" w:themeColor="text1"/>
          <w:sz w:val="22"/>
          <w:szCs w:val="22"/>
        </w:rPr>
        <w:t>.</w:t>
      </w:r>
    </w:p>
    <w:p w14:paraId="0799D7FC" w14:textId="56A1039C" w:rsidR="00CF3FF5" w:rsidRPr="009B78DA" w:rsidRDefault="00CF3FF5" w:rsidP="00C71459">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Celem wypracowania ostatecznego stanowiska do poszczególnych uwag, zostały one skonsultowane zarówno wewnętrznie pomiędzy merytorycznymi Departamentami tutejszego Urzędu, z Podkarpackim Biurem Planowania Przestrzennego w Rzeszowie m.in. w zakresie przygotowanego projektu </w:t>
      </w:r>
      <w:r w:rsidRPr="009B78DA">
        <w:rPr>
          <w:rFonts w:ascii="Arial" w:hAnsi="Arial" w:cs="Arial"/>
          <w:i/>
          <w:iCs/>
          <w:color w:val="000000" w:themeColor="text1"/>
          <w:sz w:val="22"/>
          <w:szCs w:val="22"/>
        </w:rPr>
        <w:t>Prognozy Odziaływania na środowisko</w:t>
      </w:r>
      <w:r w:rsidR="00C71459">
        <w:rPr>
          <w:rFonts w:ascii="Arial" w:hAnsi="Arial" w:cs="Arial"/>
          <w:color w:val="000000" w:themeColor="text1"/>
          <w:sz w:val="22"/>
          <w:szCs w:val="22"/>
        </w:rPr>
        <w:t xml:space="preserve"> do projektu Programu, </w:t>
      </w:r>
      <w:r w:rsidRPr="009B78DA">
        <w:rPr>
          <w:rFonts w:ascii="Arial" w:hAnsi="Arial" w:cs="Arial"/>
          <w:color w:val="000000" w:themeColor="text1"/>
          <w:sz w:val="22"/>
          <w:szCs w:val="22"/>
        </w:rPr>
        <w:t>a także z przedstawicielami kluczowych systemów transportowych: Generalną Dyrekcją Dróg Krajowych i Autostrad, odział w Rzeszowie oraz Zakłade</w:t>
      </w:r>
      <w:r w:rsidR="00C71459">
        <w:rPr>
          <w:rFonts w:ascii="Arial" w:hAnsi="Arial" w:cs="Arial"/>
          <w:color w:val="000000" w:themeColor="text1"/>
          <w:sz w:val="22"/>
          <w:szCs w:val="22"/>
        </w:rPr>
        <w:t xml:space="preserve">m Linii Kolejowych </w:t>
      </w:r>
      <w:r w:rsidR="00C71459">
        <w:rPr>
          <w:rFonts w:ascii="Arial" w:hAnsi="Arial" w:cs="Arial"/>
          <w:color w:val="000000" w:themeColor="text1"/>
          <w:sz w:val="22"/>
          <w:szCs w:val="22"/>
        </w:rPr>
        <w:br/>
        <w:t xml:space="preserve">w Rzeszowie </w:t>
      </w:r>
      <w:r w:rsidRPr="009B78DA">
        <w:rPr>
          <w:rFonts w:ascii="Arial" w:hAnsi="Arial" w:cs="Arial"/>
          <w:color w:val="000000" w:themeColor="text1"/>
          <w:sz w:val="22"/>
          <w:szCs w:val="22"/>
        </w:rPr>
        <w:t xml:space="preserve">i Lublinie PKP PLK S.A., </w:t>
      </w:r>
      <w:r w:rsidR="00C71459">
        <w:rPr>
          <w:rFonts w:ascii="Arial" w:hAnsi="Arial" w:cs="Arial"/>
          <w:color w:val="000000" w:themeColor="text1"/>
          <w:sz w:val="22"/>
          <w:szCs w:val="22"/>
        </w:rPr>
        <w:t>zgodnie z zakresem kompetencji.</w:t>
      </w:r>
    </w:p>
    <w:p w14:paraId="33FF8D74" w14:textId="7A14587A" w:rsidR="00CF3FF5" w:rsidRPr="009B78DA" w:rsidRDefault="00CF3FF5" w:rsidP="00C71459">
      <w:pPr>
        <w:autoSpaceDE w:val="0"/>
        <w:autoSpaceDN w:val="0"/>
        <w:adjustRightInd w:val="0"/>
        <w:spacing w:after="0" w:line="276" w:lineRule="auto"/>
        <w:ind w:firstLine="708"/>
        <w:rPr>
          <w:rFonts w:ascii="Arial" w:eastAsiaTheme="minorHAnsi" w:hAnsi="Arial" w:cs="Arial"/>
          <w:color w:val="000000" w:themeColor="text1"/>
          <w:sz w:val="22"/>
          <w:szCs w:val="22"/>
        </w:rPr>
      </w:pPr>
      <w:bookmarkStart w:id="432" w:name="_Hlk100064747"/>
      <w:r w:rsidRPr="009B78DA">
        <w:rPr>
          <w:rFonts w:ascii="Arial" w:eastAsiaTheme="minorHAnsi" w:hAnsi="Arial" w:cs="Arial"/>
          <w:color w:val="000000" w:themeColor="text1"/>
          <w:sz w:val="22"/>
          <w:szCs w:val="22"/>
        </w:rPr>
        <w:t>W dniu 5 kwietnia 2022 r., Zarząd Województwa Podkarpackiego uchwałą nr 376/7505/22 w sprawie rozpatrzenia uwag i wniosków zgłoszonych do p</w:t>
      </w:r>
      <w:r w:rsidRPr="009B78DA">
        <w:rPr>
          <w:rFonts w:ascii="Arial" w:hAnsi="Arial" w:cs="Arial"/>
          <w:color w:val="000000" w:themeColor="text1"/>
          <w:sz w:val="22"/>
          <w:szCs w:val="22"/>
        </w:rPr>
        <w:t xml:space="preserve">rojektu </w:t>
      </w:r>
      <w:r w:rsidRPr="009B78DA">
        <w:rPr>
          <w:rFonts w:ascii="Arial" w:hAnsi="Arial" w:cs="Arial"/>
          <w:i/>
          <w:iCs/>
          <w:color w:val="000000" w:themeColor="text1"/>
          <w:sz w:val="22"/>
          <w:szCs w:val="22"/>
        </w:rPr>
        <w:t>Programu Strategicznego Rozwoju Transportu Województwa Podkarpackiego do roku 2030</w:t>
      </w:r>
      <w:r w:rsidRPr="009B78DA">
        <w:rPr>
          <w:rFonts w:ascii="Arial" w:hAnsi="Arial" w:cs="Arial"/>
          <w:color w:val="000000" w:themeColor="text1"/>
          <w:sz w:val="22"/>
          <w:szCs w:val="22"/>
        </w:rPr>
        <w:t xml:space="preserve"> wraz </w:t>
      </w:r>
      <w:r w:rsidRPr="009B78DA">
        <w:rPr>
          <w:rFonts w:ascii="Arial" w:hAnsi="Arial" w:cs="Arial"/>
          <w:color w:val="000000" w:themeColor="text1"/>
          <w:sz w:val="22"/>
          <w:szCs w:val="22"/>
        </w:rPr>
        <w:br/>
        <w:t xml:space="preserve">z projektem </w:t>
      </w:r>
      <w:r w:rsidRPr="009B78DA">
        <w:rPr>
          <w:rFonts w:ascii="Arial" w:hAnsi="Arial" w:cs="Arial"/>
          <w:i/>
          <w:iCs/>
          <w:color w:val="000000" w:themeColor="text1"/>
          <w:sz w:val="22"/>
          <w:szCs w:val="22"/>
        </w:rPr>
        <w:t>Prognozy oddziaływania na środowisko</w:t>
      </w:r>
      <w:r w:rsidRPr="009B78DA">
        <w:rPr>
          <w:rFonts w:ascii="Arial" w:eastAsiaTheme="minorHAnsi" w:hAnsi="Arial" w:cs="Arial"/>
          <w:color w:val="000000" w:themeColor="text1"/>
          <w:sz w:val="22"/>
          <w:szCs w:val="22"/>
        </w:rPr>
        <w:t xml:space="preserve">, przyjął </w:t>
      </w:r>
      <w:r w:rsidRPr="009B78DA">
        <w:rPr>
          <w:rFonts w:ascii="Arial" w:eastAsiaTheme="minorHAnsi" w:hAnsi="Arial" w:cs="Arial"/>
          <w:i/>
          <w:iCs/>
          <w:color w:val="000000" w:themeColor="text1"/>
          <w:sz w:val="22"/>
          <w:szCs w:val="22"/>
        </w:rPr>
        <w:t>Raport z przeprowadzonych konsultacji,</w:t>
      </w:r>
      <w:r w:rsidRPr="009B78DA">
        <w:rPr>
          <w:rFonts w:ascii="Arial" w:eastAsiaTheme="minorHAnsi" w:hAnsi="Arial" w:cs="Arial"/>
          <w:color w:val="000000" w:themeColor="text1"/>
          <w:sz w:val="22"/>
          <w:szCs w:val="22"/>
        </w:rPr>
        <w:t xml:space="preserve"> zajmując stanowisko w sprawie zgłoszonych uwag. </w:t>
      </w:r>
      <w:r w:rsidRPr="009B78DA">
        <w:rPr>
          <w:rFonts w:ascii="Arial" w:eastAsiaTheme="minorHAnsi" w:hAnsi="Arial" w:cs="Arial"/>
          <w:i/>
          <w:iCs/>
          <w:color w:val="000000" w:themeColor="text1"/>
          <w:sz w:val="22"/>
          <w:szCs w:val="22"/>
        </w:rPr>
        <w:t xml:space="preserve">Raport </w:t>
      </w:r>
      <w:r w:rsidRPr="009B78DA">
        <w:rPr>
          <w:rFonts w:ascii="Arial" w:eastAsiaTheme="minorHAnsi" w:hAnsi="Arial" w:cs="Arial"/>
          <w:color w:val="000000" w:themeColor="text1"/>
          <w:sz w:val="22"/>
          <w:szCs w:val="22"/>
        </w:rPr>
        <w:t xml:space="preserve">został zamieszczony do publicznej wiadomości na stronach internetowych </w:t>
      </w:r>
      <w:r w:rsidRPr="009B78DA">
        <w:rPr>
          <w:rFonts w:ascii="Arial" w:hAnsi="Arial" w:cs="Arial"/>
          <w:color w:val="000000" w:themeColor="text1"/>
          <w:sz w:val="22"/>
          <w:szCs w:val="22"/>
        </w:rPr>
        <w:t>Samorządu Województwa Podkarpackiego.</w:t>
      </w:r>
    </w:p>
    <w:bookmarkEnd w:id="432"/>
    <w:p w14:paraId="35E89B44" w14:textId="1DF62DF7" w:rsidR="00CF3FF5" w:rsidRPr="009B78DA" w:rsidRDefault="00CF3FF5" w:rsidP="00C71459">
      <w:pPr>
        <w:autoSpaceDE w:val="0"/>
        <w:autoSpaceDN w:val="0"/>
        <w:adjustRightInd w:val="0"/>
        <w:spacing w:after="0" w:line="276" w:lineRule="auto"/>
        <w:ind w:firstLine="708"/>
        <w:rPr>
          <w:rFonts w:ascii="Arial" w:eastAsiaTheme="minorHAnsi" w:hAnsi="Arial" w:cs="Arial"/>
          <w:color w:val="000000" w:themeColor="text1"/>
          <w:sz w:val="22"/>
          <w:szCs w:val="22"/>
        </w:rPr>
      </w:pPr>
      <w:r w:rsidRPr="009B78DA">
        <w:rPr>
          <w:rFonts w:ascii="Arial" w:eastAsiaTheme="minorHAnsi" w:hAnsi="Arial" w:cs="Arial"/>
          <w:color w:val="000000" w:themeColor="text1"/>
          <w:sz w:val="22"/>
          <w:szCs w:val="22"/>
        </w:rPr>
        <w:t xml:space="preserve">Z łącznej liczby 269 uwag zgłoszonych do projektu </w:t>
      </w:r>
      <w:r w:rsidRPr="009B78DA">
        <w:rPr>
          <w:rFonts w:ascii="Arial" w:hAnsi="Arial" w:cs="Arial"/>
          <w:color w:val="000000" w:themeColor="text1"/>
          <w:sz w:val="22"/>
          <w:szCs w:val="22"/>
        </w:rPr>
        <w:t>Programu Strategicznego Rozwoju Transportu Województwa Podkarpackiego do roku 2030</w:t>
      </w:r>
      <w:r w:rsidRPr="009B78DA">
        <w:rPr>
          <w:rFonts w:ascii="Arial" w:eastAsiaTheme="minorHAnsi" w:hAnsi="Arial" w:cs="Arial"/>
          <w:color w:val="000000" w:themeColor="text1"/>
          <w:sz w:val="22"/>
          <w:szCs w:val="22"/>
        </w:rPr>
        <w:t xml:space="preserve">, 85 uwag zawierało się </w:t>
      </w:r>
      <w:r w:rsidR="00C71459">
        <w:rPr>
          <w:rFonts w:ascii="Arial" w:eastAsiaTheme="minorHAnsi" w:hAnsi="Arial" w:cs="Arial"/>
          <w:color w:val="000000" w:themeColor="text1"/>
          <w:sz w:val="22"/>
          <w:szCs w:val="22"/>
        </w:rPr>
        <w:br/>
      </w:r>
      <w:r w:rsidRPr="009B78DA">
        <w:rPr>
          <w:rFonts w:ascii="Arial" w:eastAsiaTheme="minorHAnsi" w:hAnsi="Arial" w:cs="Arial"/>
          <w:color w:val="000000" w:themeColor="text1"/>
          <w:sz w:val="22"/>
          <w:szCs w:val="22"/>
        </w:rPr>
        <w:t>w istniejących zapisach Programu (co stanowi 32% łącznej liczby uwag do projektu Programu), 46 uwag zostało uwzględnionych (co stanowi 17% łącznej liczby uwag do projektu Programu), 75 uwag zostało częściowo uwzględnionych (co stanowi 28% łącznej liczby uwag do projektu Programu), 63 uwag zostało nieuwzględnionych (co stanowi 23% łącznej lic</w:t>
      </w:r>
      <w:r w:rsidR="00C71459">
        <w:rPr>
          <w:rFonts w:ascii="Arial" w:eastAsiaTheme="minorHAnsi" w:hAnsi="Arial" w:cs="Arial"/>
          <w:color w:val="000000" w:themeColor="text1"/>
          <w:sz w:val="22"/>
          <w:szCs w:val="22"/>
        </w:rPr>
        <w:t>zby uwag do projektu Programu).</w:t>
      </w:r>
    </w:p>
    <w:p w14:paraId="03D2E3E0" w14:textId="3489DBDE" w:rsidR="00CB0643" w:rsidRPr="009B78DA" w:rsidRDefault="00CB0643" w:rsidP="00C71459">
      <w:pPr>
        <w:pStyle w:val="Legenda"/>
        <w:keepNext/>
        <w:spacing w:after="0" w:line="276" w:lineRule="auto"/>
        <w:rPr>
          <w:rFonts w:ascii="Arial" w:hAnsi="Arial" w:cs="Arial"/>
          <w:i w:val="0"/>
          <w:color w:val="000000" w:themeColor="text1"/>
          <w:sz w:val="22"/>
          <w:szCs w:val="22"/>
        </w:rPr>
      </w:pPr>
      <w:bookmarkStart w:id="433" w:name="_Toc146785712"/>
      <w:r w:rsidRPr="009B78DA">
        <w:rPr>
          <w:rFonts w:ascii="Arial" w:hAnsi="Arial" w:cs="Arial"/>
          <w:b/>
          <w:i w:val="0"/>
          <w:color w:val="000000" w:themeColor="text1"/>
          <w:sz w:val="22"/>
          <w:szCs w:val="22"/>
        </w:rPr>
        <w:t xml:space="preserve">Wykres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Wykres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Procentowy udział poszczególnych odniesień do uwag projektu PSRT WP</w:t>
      </w:r>
      <w:bookmarkEnd w:id="433"/>
    </w:p>
    <w:p w14:paraId="123ACD98" w14:textId="77777777" w:rsidR="00CF3FF5" w:rsidRPr="009B78DA" w:rsidRDefault="00CF3FF5" w:rsidP="00CF3FF5">
      <w:pPr>
        <w:autoSpaceDE w:val="0"/>
        <w:autoSpaceDN w:val="0"/>
        <w:adjustRightInd w:val="0"/>
        <w:spacing w:after="0" w:line="288" w:lineRule="auto"/>
        <w:jc w:val="center"/>
        <w:rPr>
          <w:rFonts w:ascii="Arial" w:eastAsiaTheme="minorHAnsi" w:hAnsi="Arial" w:cs="Arial"/>
          <w:color w:val="000000" w:themeColor="text1"/>
          <w:sz w:val="22"/>
          <w:szCs w:val="22"/>
        </w:rPr>
      </w:pPr>
      <w:r w:rsidRPr="009B78DA">
        <w:rPr>
          <w:rFonts w:ascii="Arial" w:eastAsiaTheme="minorHAnsi" w:hAnsi="Arial" w:cs="Arial"/>
          <w:noProof/>
          <w:color w:val="000000" w:themeColor="text1"/>
          <w:sz w:val="22"/>
          <w:szCs w:val="22"/>
        </w:rPr>
        <w:drawing>
          <wp:inline distT="0" distB="0" distL="0" distR="0" wp14:anchorId="0AD6798B" wp14:editId="178F63FA">
            <wp:extent cx="4094922" cy="2313390"/>
            <wp:effectExtent l="0" t="0" r="1270" b="0"/>
            <wp:docPr id="28" name="Obraz 28" descr="Kolor niebieski – 17% uwagi uwzględnione, kolor pomarańczowy – 28% uwagi częściowo uwzględnione, kolor szary – 23% uwagi nieuwzględnione, kolor żółty – 32% uwagi zawierające się w istniejących zapisach Programu " title="Wykres 5 Procentowy udział poszczególnych odniesień do uwag projektu PSRT W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102841" cy="2317864"/>
                    </a:xfrm>
                    <a:prstGeom prst="rect">
                      <a:avLst/>
                    </a:prstGeom>
                    <a:noFill/>
                  </pic:spPr>
                </pic:pic>
              </a:graphicData>
            </a:graphic>
          </wp:inline>
        </w:drawing>
      </w:r>
    </w:p>
    <w:p w14:paraId="65FE789A" w14:textId="72FB3646" w:rsidR="00CF3FF5" w:rsidRPr="00C71459" w:rsidRDefault="00CF3FF5" w:rsidP="00C71459">
      <w:pPr>
        <w:autoSpaceDE w:val="0"/>
        <w:autoSpaceDN w:val="0"/>
        <w:adjustRightInd w:val="0"/>
        <w:spacing w:after="120" w:line="288" w:lineRule="auto"/>
        <w:rPr>
          <w:rFonts w:ascii="Arial" w:eastAsiaTheme="minorHAnsi" w:hAnsi="Arial" w:cs="Arial"/>
          <w:color w:val="000000" w:themeColor="text1"/>
          <w:sz w:val="22"/>
          <w:szCs w:val="22"/>
        </w:rPr>
      </w:pPr>
      <w:r w:rsidRPr="009B78DA">
        <w:rPr>
          <w:rFonts w:ascii="Arial" w:eastAsiaTheme="minorHAnsi" w:hAnsi="Arial" w:cs="Arial"/>
          <w:color w:val="000000" w:themeColor="text1"/>
          <w:sz w:val="22"/>
          <w:szCs w:val="22"/>
        </w:rPr>
        <w:t xml:space="preserve">Źródło: </w:t>
      </w:r>
      <w:r w:rsidR="006F4FD2" w:rsidRPr="009B78DA">
        <w:rPr>
          <w:rFonts w:ascii="Arial" w:eastAsiaTheme="minorHAnsi" w:hAnsi="Arial" w:cs="Arial"/>
          <w:color w:val="000000" w:themeColor="text1"/>
          <w:sz w:val="22"/>
          <w:szCs w:val="22"/>
        </w:rPr>
        <w:t>O</w:t>
      </w:r>
      <w:r w:rsidRPr="009B78DA">
        <w:rPr>
          <w:rFonts w:ascii="Arial" w:eastAsiaTheme="minorHAnsi" w:hAnsi="Arial" w:cs="Arial"/>
          <w:color w:val="000000" w:themeColor="text1"/>
          <w:sz w:val="22"/>
          <w:szCs w:val="22"/>
        </w:rPr>
        <w:t>pracowanie własne</w:t>
      </w:r>
      <w:r w:rsidR="006F4FD2" w:rsidRPr="009B78DA">
        <w:rPr>
          <w:rFonts w:ascii="Arial" w:eastAsiaTheme="minorHAnsi" w:hAnsi="Arial" w:cs="Arial"/>
          <w:color w:val="000000" w:themeColor="text1"/>
          <w:sz w:val="22"/>
          <w:szCs w:val="22"/>
        </w:rPr>
        <w:t>.</w:t>
      </w:r>
    </w:p>
    <w:p w14:paraId="6E65ABFF" w14:textId="3ED40D70" w:rsidR="00CF3FF5" w:rsidRPr="009B78DA" w:rsidRDefault="00CF3FF5" w:rsidP="00C71459">
      <w:pPr>
        <w:autoSpaceDE w:val="0"/>
        <w:autoSpaceDN w:val="0"/>
        <w:adjustRightInd w:val="0"/>
        <w:spacing w:after="0" w:line="288" w:lineRule="auto"/>
        <w:ind w:firstLine="708"/>
        <w:rPr>
          <w:rFonts w:ascii="Arial" w:eastAsiaTheme="minorHAnsi" w:hAnsi="Arial" w:cs="Arial"/>
          <w:color w:val="000000" w:themeColor="text1"/>
          <w:sz w:val="22"/>
          <w:szCs w:val="22"/>
        </w:rPr>
      </w:pPr>
      <w:r w:rsidRPr="009B78DA">
        <w:rPr>
          <w:rFonts w:ascii="Arial" w:eastAsiaTheme="minorHAnsi" w:hAnsi="Arial" w:cs="Arial"/>
          <w:color w:val="000000" w:themeColor="text1"/>
          <w:sz w:val="22"/>
          <w:szCs w:val="22"/>
        </w:rPr>
        <w:t xml:space="preserve">Uwagi do projektu Programu zgłosiło 75 podmiotów, w tym: 1 Poseł na Sejm, </w:t>
      </w:r>
      <w:r w:rsidRPr="009B78DA">
        <w:rPr>
          <w:rFonts w:ascii="Arial" w:eastAsiaTheme="minorHAnsi" w:hAnsi="Arial" w:cs="Arial"/>
          <w:color w:val="000000" w:themeColor="text1"/>
          <w:sz w:val="22"/>
          <w:szCs w:val="22"/>
        </w:rPr>
        <w:br/>
        <w:t xml:space="preserve">9 Radnych Sejmiku Województwa Podkarpackiego, 32 jednostki samorządu terytorialnego, </w:t>
      </w:r>
      <w:r w:rsidRPr="009B78DA">
        <w:rPr>
          <w:rFonts w:ascii="Arial" w:eastAsiaTheme="minorHAnsi" w:hAnsi="Arial" w:cs="Arial"/>
          <w:color w:val="000000" w:themeColor="text1"/>
          <w:sz w:val="22"/>
          <w:szCs w:val="22"/>
        </w:rPr>
        <w:br/>
        <w:t>w tym: 8 Starostw powiatowych i 24 Gminy oraz 17 organizacji pozarządowych (w tym inicjatyw, stowarzyszeń/fundacji). Ponadto uwagi zostały także zgłoszone przez</w:t>
      </w:r>
      <w:r w:rsidR="00CD74F2" w:rsidRPr="009B78DA">
        <w:rPr>
          <w:rFonts w:ascii="Arial" w:eastAsiaTheme="minorHAnsi" w:hAnsi="Arial" w:cs="Arial"/>
          <w:color w:val="000000" w:themeColor="text1"/>
          <w:sz w:val="22"/>
          <w:szCs w:val="22"/>
        </w:rPr>
        <w:br/>
      </w:r>
      <w:r w:rsidRPr="009B78DA">
        <w:rPr>
          <w:rFonts w:ascii="Arial" w:eastAsiaTheme="minorHAnsi" w:hAnsi="Arial" w:cs="Arial"/>
          <w:color w:val="000000" w:themeColor="text1"/>
          <w:sz w:val="22"/>
          <w:szCs w:val="22"/>
        </w:rPr>
        <w:t xml:space="preserve"> 3 przedstawicieli uczelni wyższych, 19 osób fizycznych oraz 2 podmioty prywatne.</w:t>
      </w:r>
    </w:p>
    <w:p w14:paraId="4D843FBC" w14:textId="77777777" w:rsidR="00CF3FF5" w:rsidRPr="009B78DA" w:rsidRDefault="00CF3FF5" w:rsidP="00C71459">
      <w:pPr>
        <w:autoSpaceDE w:val="0"/>
        <w:autoSpaceDN w:val="0"/>
        <w:adjustRightInd w:val="0"/>
        <w:spacing w:after="0" w:line="288" w:lineRule="auto"/>
        <w:ind w:firstLine="708"/>
        <w:rPr>
          <w:rFonts w:ascii="Arial" w:eastAsiaTheme="minorHAnsi" w:hAnsi="Arial" w:cs="Arial"/>
          <w:color w:val="000000" w:themeColor="text1"/>
          <w:sz w:val="22"/>
          <w:szCs w:val="22"/>
        </w:rPr>
      </w:pPr>
      <w:r w:rsidRPr="009B78DA">
        <w:rPr>
          <w:rFonts w:ascii="Arial" w:eastAsiaTheme="minorHAnsi" w:hAnsi="Arial" w:cs="Arial"/>
          <w:color w:val="000000" w:themeColor="text1"/>
          <w:sz w:val="22"/>
          <w:szCs w:val="22"/>
        </w:rPr>
        <w:t xml:space="preserve">Do projektu </w:t>
      </w:r>
      <w:r w:rsidRPr="009B78DA">
        <w:rPr>
          <w:rFonts w:ascii="Arial" w:eastAsiaTheme="minorHAnsi" w:hAnsi="Arial" w:cs="Arial"/>
          <w:i/>
          <w:iCs/>
          <w:color w:val="000000" w:themeColor="text1"/>
          <w:sz w:val="22"/>
          <w:szCs w:val="22"/>
        </w:rPr>
        <w:t xml:space="preserve">Prognozy oddziaływania na środowisko </w:t>
      </w:r>
      <w:r w:rsidRPr="009B78DA">
        <w:rPr>
          <w:rFonts w:ascii="Arial" w:eastAsiaTheme="minorHAnsi" w:hAnsi="Arial" w:cs="Arial"/>
          <w:color w:val="000000" w:themeColor="text1"/>
          <w:sz w:val="22"/>
          <w:szCs w:val="22"/>
        </w:rPr>
        <w:t>p</w:t>
      </w:r>
      <w:r w:rsidRPr="009B78DA">
        <w:rPr>
          <w:rFonts w:ascii="Arial" w:hAnsi="Arial" w:cs="Arial"/>
          <w:color w:val="000000" w:themeColor="text1"/>
          <w:sz w:val="22"/>
          <w:szCs w:val="22"/>
        </w:rPr>
        <w:t xml:space="preserve">rojektu </w:t>
      </w:r>
      <w:r w:rsidRPr="009B78DA">
        <w:rPr>
          <w:rFonts w:ascii="Arial" w:hAnsi="Arial" w:cs="Arial"/>
          <w:i/>
          <w:iCs/>
          <w:color w:val="000000" w:themeColor="text1"/>
          <w:sz w:val="22"/>
          <w:szCs w:val="22"/>
        </w:rPr>
        <w:t>Programu Strategicznego Rozwoju Transportu Województwa Podkarpackiego do roku 2030</w:t>
      </w:r>
      <w:r w:rsidRPr="009B78DA">
        <w:rPr>
          <w:rFonts w:ascii="Arial" w:hAnsi="Arial" w:cs="Arial"/>
          <w:color w:val="000000" w:themeColor="text1"/>
          <w:sz w:val="22"/>
          <w:szCs w:val="22"/>
        </w:rPr>
        <w:t xml:space="preserve"> </w:t>
      </w:r>
      <w:r w:rsidRPr="009B78DA">
        <w:rPr>
          <w:rFonts w:ascii="Arial" w:eastAsiaTheme="minorHAnsi" w:hAnsi="Arial" w:cs="Arial"/>
          <w:color w:val="000000" w:themeColor="text1"/>
          <w:sz w:val="22"/>
          <w:szCs w:val="22"/>
        </w:rPr>
        <w:t xml:space="preserve">wpłynęło ogółem 33 uwagi. Z tej liczby 17 uwag zostało uwzględnionych (co stanowi 52% łącznej liczby uwag do projektu Prognozy), 15 uwag zostało nieuwzględnionych (co stanowi 45% łącznej liczby uwag do projektu Prognozy), 1 uwaga zawierała się w istniejących zapisach Prognozy (co stanowi 3% łącznej liczby uwag do projektu Prognozy). </w:t>
      </w:r>
    </w:p>
    <w:p w14:paraId="658DF0ED" w14:textId="68144E43" w:rsidR="00CF3FF5" w:rsidRPr="009B78DA" w:rsidRDefault="00CF3FF5" w:rsidP="00C71459">
      <w:pPr>
        <w:autoSpaceDE w:val="0"/>
        <w:autoSpaceDN w:val="0"/>
        <w:adjustRightInd w:val="0"/>
        <w:spacing w:after="120" w:line="288" w:lineRule="auto"/>
        <w:ind w:firstLine="709"/>
        <w:rPr>
          <w:rFonts w:ascii="Arial" w:eastAsiaTheme="minorHAnsi" w:hAnsi="Arial" w:cs="Arial"/>
          <w:color w:val="000000" w:themeColor="text1"/>
          <w:sz w:val="22"/>
          <w:szCs w:val="22"/>
        </w:rPr>
      </w:pPr>
      <w:r w:rsidRPr="009B78DA">
        <w:rPr>
          <w:rFonts w:ascii="Arial" w:eastAsiaTheme="minorHAnsi" w:hAnsi="Arial" w:cs="Arial"/>
          <w:color w:val="000000" w:themeColor="text1"/>
          <w:sz w:val="22"/>
          <w:szCs w:val="22"/>
        </w:rPr>
        <w:t xml:space="preserve">Uwagi do projektu </w:t>
      </w:r>
      <w:r w:rsidRPr="009B78DA">
        <w:rPr>
          <w:rFonts w:ascii="Arial" w:eastAsiaTheme="minorHAnsi" w:hAnsi="Arial" w:cs="Arial"/>
          <w:i/>
          <w:iCs/>
          <w:color w:val="000000" w:themeColor="text1"/>
          <w:sz w:val="22"/>
          <w:szCs w:val="22"/>
        </w:rPr>
        <w:t xml:space="preserve">Prognozy </w:t>
      </w:r>
      <w:r w:rsidRPr="009B78DA">
        <w:rPr>
          <w:rFonts w:ascii="Arial" w:eastAsiaTheme="minorHAnsi" w:hAnsi="Arial" w:cs="Arial"/>
          <w:color w:val="000000" w:themeColor="text1"/>
          <w:sz w:val="22"/>
          <w:szCs w:val="22"/>
        </w:rPr>
        <w:t xml:space="preserve">zgłosiło 18 podmiotów, w tym: Radny Sejmiku Województwa Podkarpackiego, 1 Starostwo powiatowe, 13 organizacji pozarządowych </w:t>
      </w:r>
      <w:r w:rsidR="00C71459">
        <w:rPr>
          <w:rFonts w:ascii="Arial" w:eastAsiaTheme="minorHAnsi" w:hAnsi="Arial" w:cs="Arial"/>
          <w:color w:val="000000" w:themeColor="text1"/>
          <w:sz w:val="22"/>
          <w:szCs w:val="22"/>
        </w:rPr>
        <w:br/>
      </w:r>
      <w:r w:rsidRPr="009B78DA">
        <w:rPr>
          <w:rFonts w:ascii="Arial" w:eastAsiaTheme="minorHAnsi" w:hAnsi="Arial" w:cs="Arial"/>
          <w:color w:val="000000" w:themeColor="text1"/>
          <w:sz w:val="22"/>
          <w:szCs w:val="22"/>
        </w:rPr>
        <w:t>(w tym inicjatyw, stowarzyszeń/f</w:t>
      </w:r>
      <w:r w:rsidR="00C71459">
        <w:rPr>
          <w:rFonts w:ascii="Arial" w:eastAsiaTheme="minorHAnsi" w:hAnsi="Arial" w:cs="Arial"/>
          <w:color w:val="000000" w:themeColor="text1"/>
          <w:sz w:val="22"/>
          <w:szCs w:val="22"/>
        </w:rPr>
        <w:t>undacji) oraz 3 osoby fizyczne.</w:t>
      </w:r>
    </w:p>
    <w:p w14:paraId="4B813A10" w14:textId="4ED2B92C" w:rsidR="00CB0643" w:rsidRPr="009B78DA" w:rsidRDefault="00CB0643" w:rsidP="00C71459">
      <w:pPr>
        <w:pStyle w:val="Legenda"/>
        <w:keepNext/>
        <w:rPr>
          <w:rFonts w:ascii="Arial" w:hAnsi="Arial" w:cs="Arial"/>
          <w:i w:val="0"/>
          <w:color w:val="000000" w:themeColor="text1"/>
          <w:sz w:val="22"/>
          <w:szCs w:val="22"/>
        </w:rPr>
      </w:pPr>
      <w:bookmarkStart w:id="434" w:name="_Toc146785713"/>
      <w:r w:rsidRPr="009B78DA">
        <w:rPr>
          <w:rFonts w:ascii="Arial" w:hAnsi="Arial" w:cs="Arial"/>
          <w:b/>
          <w:i w:val="0"/>
          <w:color w:val="000000" w:themeColor="text1"/>
          <w:sz w:val="22"/>
          <w:szCs w:val="22"/>
        </w:rPr>
        <w:t xml:space="preserve">Wykres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Wykres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6</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Procentowy udział poszczególnych odniesień do uwag projektu Prognozy odziaływania na środowisko</w:t>
      </w:r>
      <w:bookmarkEnd w:id="434"/>
    </w:p>
    <w:p w14:paraId="52EFB65F" w14:textId="77777777" w:rsidR="00CF3FF5" w:rsidRPr="009B78DA" w:rsidRDefault="00CF3FF5" w:rsidP="00CF3FF5">
      <w:pPr>
        <w:autoSpaceDE w:val="0"/>
        <w:autoSpaceDN w:val="0"/>
        <w:adjustRightInd w:val="0"/>
        <w:spacing w:after="0" w:line="288" w:lineRule="auto"/>
        <w:jc w:val="center"/>
        <w:rPr>
          <w:rFonts w:ascii="Arial" w:eastAsiaTheme="minorHAnsi" w:hAnsi="Arial" w:cs="Arial"/>
          <w:color w:val="000000" w:themeColor="text1"/>
          <w:sz w:val="22"/>
          <w:szCs w:val="22"/>
        </w:rPr>
      </w:pPr>
      <w:r w:rsidRPr="009B78DA">
        <w:rPr>
          <w:rFonts w:ascii="Arial" w:eastAsiaTheme="minorHAnsi" w:hAnsi="Arial" w:cs="Arial"/>
          <w:noProof/>
          <w:color w:val="000000" w:themeColor="text1"/>
          <w:sz w:val="22"/>
          <w:szCs w:val="22"/>
        </w:rPr>
        <w:drawing>
          <wp:inline distT="0" distB="0" distL="0" distR="0" wp14:anchorId="114C6C52" wp14:editId="42960959">
            <wp:extent cx="4210050" cy="2400451"/>
            <wp:effectExtent l="0" t="0" r="0" b="0"/>
            <wp:docPr id="29" name="Obraz 29" descr="Kolor niebieski – 52% uwagi uwzględnione, kolor pomarańczowy – 0% uwagi częściowo uwzględnione, kolor szary – 45% uwagi nieuwzględnione, kolor żółty – 3% uwagi zawierające się w istniejących zapisach Programu " title="Wykres 6 Procentowy udział poszczególnych odniesień do uwag projektu Prognozy odziaływania na środowi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19642" cy="2405920"/>
                    </a:xfrm>
                    <a:prstGeom prst="rect">
                      <a:avLst/>
                    </a:prstGeom>
                    <a:noFill/>
                  </pic:spPr>
                </pic:pic>
              </a:graphicData>
            </a:graphic>
          </wp:inline>
        </w:drawing>
      </w:r>
    </w:p>
    <w:p w14:paraId="5B47ACAD" w14:textId="68249EFC" w:rsidR="00CF3FF5" w:rsidRPr="009B78DA" w:rsidRDefault="00CF3FF5" w:rsidP="00C71459">
      <w:pPr>
        <w:autoSpaceDE w:val="0"/>
        <w:autoSpaceDN w:val="0"/>
        <w:adjustRightInd w:val="0"/>
        <w:spacing w:after="0" w:line="276" w:lineRule="auto"/>
        <w:rPr>
          <w:rFonts w:ascii="Arial" w:eastAsiaTheme="minorHAnsi" w:hAnsi="Arial" w:cs="Arial"/>
          <w:color w:val="000000" w:themeColor="text1"/>
          <w:sz w:val="22"/>
          <w:szCs w:val="22"/>
        </w:rPr>
      </w:pPr>
      <w:r w:rsidRPr="009B78DA">
        <w:rPr>
          <w:rFonts w:ascii="Arial" w:eastAsiaTheme="minorHAnsi" w:hAnsi="Arial" w:cs="Arial"/>
          <w:color w:val="000000" w:themeColor="text1"/>
          <w:sz w:val="22"/>
          <w:szCs w:val="22"/>
        </w:rPr>
        <w:t>Źródło: opracowanie własne</w:t>
      </w:r>
      <w:r w:rsidR="006F4FD2" w:rsidRPr="009B78DA">
        <w:rPr>
          <w:rFonts w:ascii="Arial" w:eastAsiaTheme="minorHAnsi" w:hAnsi="Arial" w:cs="Arial"/>
          <w:color w:val="000000" w:themeColor="text1"/>
          <w:sz w:val="22"/>
          <w:szCs w:val="22"/>
        </w:rPr>
        <w:t>.</w:t>
      </w:r>
    </w:p>
    <w:p w14:paraId="67B84CBA" w14:textId="3B3CCDE8" w:rsidR="00CF3FF5" w:rsidRPr="009B78DA" w:rsidRDefault="00CF3FF5" w:rsidP="00C71459">
      <w:pPr>
        <w:autoSpaceDE w:val="0"/>
        <w:autoSpaceDN w:val="0"/>
        <w:adjustRightInd w:val="0"/>
        <w:spacing w:after="0" w:line="276" w:lineRule="auto"/>
        <w:ind w:firstLine="708"/>
        <w:rPr>
          <w:rFonts w:ascii="Arial" w:eastAsiaTheme="minorHAnsi" w:hAnsi="Arial" w:cs="Arial"/>
          <w:color w:val="000000" w:themeColor="text1"/>
          <w:sz w:val="22"/>
          <w:szCs w:val="22"/>
        </w:rPr>
      </w:pPr>
      <w:r w:rsidRPr="009B78DA">
        <w:rPr>
          <w:rFonts w:ascii="Arial" w:eastAsiaTheme="minorHAnsi" w:hAnsi="Arial" w:cs="Arial"/>
          <w:color w:val="000000" w:themeColor="text1"/>
          <w:sz w:val="22"/>
          <w:szCs w:val="22"/>
        </w:rPr>
        <w:t xml:space="preserve">Biorące w konsultacjach ww. dokumentów podmioty, wnioskowały przede wszystkim </w:t>
      </w:r>
      <w:r w:rsidRPr="009B78DA">
        <w:rPr>
          <w:rFonts w:ascii="Arial" w:eastAsiaTheme="minorHAnsi" w:hAnsi="Arial" w:cs="Arial"/>
          <w:color w:val="000000" w:themeColor="text1"/>
          <w:sz w:val="22"/>
          <w:szCs w:val="22"/>
        </w:rPr>
        <w:br/>
        <w:t xml:space="preserve">o uzupełnienie wynikowej listy kluczowych projektów, zmianę kategorii przypisanych poszczególnym projektom (przeniesienia wykazanych kluczowych inwestycji do wyższego priorytetu), doprecyzowanie opisów zawartych w projekcie, uwzględnienia potrzeb </w:t>
      </w:r>
      <w:r w:rsidR="00C71459">
        <w:rPr>
          <w:rFonts w:ascii="Arial" w:eastAsiaTheme="minorHAnsi" w:hAnsi="Arial" w:cs="Arial"/>
          <w:color w:val="000000" w:themeColor="text1"/>
          <w:sz w:val="22"/>
          <w:szCs w:val="22"/>
        </w:rPr>
        <w:br/>
      </w:r>
      <w:r w:rsidRPr="009B78DA">
        <w:rPr>
          <w:rFonts w:ascii="Arial" w:eastAsiaTheme="minorHAnsi" w:hAnsi="Arial" w:cs="Arial"/>
          <w:color w:val="000000" w:themeColor="text1"/>
          <w:sz w:val="22"/>
          <w:szCs w:val="22"/>
        </w:rPr>
        <w:t xml:space="preserve">w zakresie rozwoju transportu publicznego oraz alternatywnego (m.in. rowerowego), poprawy skomunikowania stref gospodarczych z transportem kolejowym i drogowym, </w:t>
      </w:r>
      <w:r w:rsidR="00C71459">
        <w:rPr>
          <w:rFonts w:ascii="Arial" w:eastAsiaTheme="minorHAnsi" w:hAnsi="Arial" w:cs="Arial"/>
          <w:color w:val="000000" w:themeColor="text1"/>
          <w:sz w:val="22"/>
          <w:szCs w:val="22"/>
        </w:rPr>
        <w:br/>
      </w:r>
      <w:r w:rsidRPr="009B78DA">
        <w:rPr>
          <w:rFonts w:ascii="Arial" w:eastAsiaTheme="minorHAnsi" w:hAnsi="Arial" w:cs="Arial"/>
          <w:color w:val="000000" w:themeColor="text1"/>
          <w:sz w:val="22"/>
          <w:szCs w:val="22"/>
        </w:rPr>
        <w:t xml:space="preserve">a także, w kilku przypadkach, rezygnacji z proponowanych w </w:t>
      </w:r>
      <w:r w:rsidRPr="009B78DA">
        <w:rPr>
          <w:rFonts w:ascii="Arial" w:eastAsiaTheme="minorHAnsi" w:hAnsi="Arial" w:cs="Arial"/>
          <w:i/>
          <w:iCs/>
          <w:color w:val="000000" w:themeColor="text1"/>
          <w:sz w:val="22"/>
          <w:szCs w:val="22"/>
        </w:rPr>
        <w:t>Progr</w:t>
      </w:r>
      <w:r w:rsidR="008B3041" w:rsidRPr="009B78DA">
        <w:rPr>
          <w:rFonts w:ascii="Arial" w:eastAsiaTheme="minorHAnsi" w:hAnsi="Arial" w:cs="Arial"/>
          <w:i/>
          <w:iCs/>
          <w:color w:val="000000" w:themeColor="text1"/>
          <w:sz w:val="22"/>
          <w:szCs w:val="22"/>
        </w:rPr>
        <w:t>amie</w:t>
      </w:r>
      <w:r w:rsidRPr="009B78DA">
        <w:rPr>
          <w:rFonts w:ascii="Arial" w:eastAsiaTheme="minorHAnsi" w:hAnsi="Arial" w:cs="Arial"/>
          <w:i/>
          <w:iCs/>
          <w:color w:val="000000" w:themeColor="text1"/>
          <w:sz w:val="22"/>
          <w:szCs w:val="22"/>
        </w:rPr>
        <w:t xml:space="preserve"> </w:t>
      </w:r>
      <w:r w:rsidRPr="009B78DA">
        <w:rPr>
          <w:rFonts w:ascii="Arial" w:eastAsiaTheme="minorHAnsi" w:hAnsi="Arial" w:cs="Arial"/>
          <w:color w:val="000000" w:themeColor="text1"/>
          <w:sz w:val="22"/>
          <w:szCs w:val="22"/>
        </w:rPr>
        <w:t>inwestycji, z uwagi na cenne walory przyrodnicze, przez które miałaby przebiegać inwest</w:t>
      </w:r>
      <w:r w:rsidR="00C71459">
        <w:rPr>
          <w:rFonts w:ascii="Arial" w:eastAsiaTheme="minorHAnsi" w:hAnsi="Arial" w:cs="Arial"/>
          <w:color w:val="000000" w:themeColor="text1"/>
          <w:sz w:val="22"/>
          <w:szCs w:val="22"/>
        </w:rPr>
        <w:t>ycja lub też bliskość zabudowy.</w:t>
      </w:r>
    </w:p>
    <w:p w14:paraId="24645A48" w14:textId="67BC5CDA" w:rsidR="00CF3FF5" w:rsidRPr="009B78DA" w:rsidRDefault="00CF3FF5" w:rsidP="00C71459">
      <w:pPr>
        <w:autoSpaceDE w:val="0"/>
        <w:autoSpaceDN w:val="0"/>
        <w:adjustRightInd w:val="0"/>
        <w:spacing w:after="0" w:line="276" w:lineRule="auto"/>
        <w:ind w:firstLine="708"/>
        <w:rPr>
          <w:rStyle w:val="markedcontent"/>
          <w:rFonts w:ascii="Arial" w:hAnsi="Arial" w:cs="Arial"/>
          <w:color w:val="000000" w:themeColor="text1"/>
          <w:sz w:val="22"/>
          <w:szCs w:val="22"/>
        </w:rPr>
      </w:pPr>
      <w:r w:rsidRPr="009B78DA">
        <w:rPr>
          <w:rFonts w:ascii="Arial" w:eastAsiaTheme="minorHAnsi" w:hAnsi="Arial" w:cs="Arial"/>
          <w:color w:val="000000" w:themeColor="text1"/>
          <w:sz w:val="22"/>
          <w:szCs w:val="22"/>
        </w:rPr>
        <w:t xml:space="preserve">Wśród zebranych opinii na temat konsultowanych dokumentów, wskazywano także pozytywne aspekty, podkreślając m.in. kompleksowe podejście do regionalnego systemu transportowego, uwzględniające wszystkie gałęzie transportu. Ponadto podkreślano także prorozwojowy charakter </w:t>
      </w:r>
      <w:r w:rsidRPr="009B78DA">
        <w:rPr>
          <w:rFonts w:ascii="Arial" w:eastAsiaTheme="minorHAnsi" w:hAnsi="Arial" w:cs="Arial"/>
          <w:i/>
          <w:iCs/>
          <w:color w:val="000000" w:themeColor="text1"/>
          <w:sz w:val="22"/>
          <w:szCs w:val="22"/>
        </w:rPr>
        <w:t>Programu</w:t>
      </w:r>
      <w:r w:rsidRPr="009B78DA">
        <w:rPr>
          <w:rFonts w:ascii="Arial" w:eastAsiaTheme="minorHAnsi" w:hAnsi="Arial" w:cs="Arial"/>
          <w:color w:val="000000" w:themeColor="text1"/>
          <w:sz w:val="22"/>
          <w:szCs w:val="22"/>
        </w:rPr>
        <w:t xml:space="preserve">, który, dzięki wybranemu IV wariantowi planistycznemu, umożliwi </w:t>
      </w:r>
      <w:r w:rsidRPr="009B78DA">
        <w:rPr>
          <w:rStyle w:val="markedcontent"/>
          <w:rFonts w:ascii="Arial" w:hAnsi="Arial" w:cs="Arial"/>
          <w:color w:val="000000" w:themeColor="text1"/>
          <w:sz w:val="22"/>
          <w:szCs w:val="22"/>
        </w:rPr>
        <w:t xml:space="preserve">równomierny rozwój multimodalnego transportu w województwie. Zainteresowani, wskazywali także, że zarówno w </w:t>
      </w:r>
      <w:r w:rsidRPr="009B78DA">
        <w:rPr>
          <w:rStyle w:val="markedcontent"/>
          <w:rFonts w:ascii="Arial" w:hAnsi="Arial" w:cs="Arial"/>
          <w:i/>
          <w:iCs/>
          <w:color w:val="000000" w:themeColor="text1"/>
          <w:sz w:val="22"/>
          <w:szCs w:val="22"/>
        </w:rPr>
        <w:t>Program</w:t>
      </w:r>
      <w:r w:rsidR="008B3041" w:rsidRPr="009B78DA">
        <w:rPr>
          <w:rStyle w:val="markedcontent"/>
          <w:rFonts w:ascii="Arial" w:hAnsi="Arial" w:cs="Arial"/>
          <w:i/>
          <w:iCs/>
          <w:color w:val="000000" w:themeColor="text1"/>
          <w:sz w:val="22"/>
          <w:szCs w:val="22"/>
        </w:rPr>
        <w:t>ie</w:t>
      </w:r>
      <w:r w:rsidRPr="009B78DA">
        <w:rPr>
          <w:rStyle w:val="markedcontent"/>
          <w:rFonts w:ascii="Arial" w:hAnsi="Arial" w:cs="Arial"/>
          <w:color w:val="000000" w:themeColor="text1"/>
          <w:sz w:val="22"/>
          <w:szCs w:val="22"/>
        </w:rPr>
        <w:t xml:space="preserve">, jak i w </w:t>
      </w:r>
      <w:r w:rsidRPr="009B78DA">
        <w:rPr>
          <w:rStyle w:val="markedcontent"/>
          <w:rFonts w:ascii="Arial" w:hAnsi="Arial" w:cs="Arial"/>
          <w:i/>
          <w:iCs/>
          <w:color w:val="000000" w:themeColor="text1"/>
          <w:sz w:val="22"/>
          <w:szCs w:val="22"/>
        </w:rPr>
        <w:t>Prognoz</w:t>
      </w:r>
      <w:r w:rsidR="008B3041" w:rsidRPr="009B78DA">
        <w:rPr>
          <w:rStyle w:val="markedcontent"/>
          <w:rFonts w:ascii="Arial" w:hAnsi="Arial" w:cs="Arial"/>
          <w:i/>
          <w:iCs/>
          <w:color w:val="000000" w:themeColor="text1"/>
          <w:sz w:val="22"/>
          <w:szCs w:val="22"/>
        </w:rPr>
        <w:t>ie</w:t>
      </w:r>
      <w:r w:rsidRPr="009B78DA">
        <w:rPr>
          <w:rStyle w:val="markedcontent"/>
          <w:rFonts w:ascii="Arial" w:hAnsi="Arial" w:cs="Arial"/>
          <w:i/>
          <w:iCs/>
          <w:color w:val="000000" w:themeColor="text1"/>
          <w:sz w:val="22"/>
          <w:szCs w:val="22"/>
        </w:rPr>
        <w:t xml:space="preserve"> oddziaływania na środowisko</w:t>
      </w:r>
      <w:r w:rsidRPr="009B78DA">
        <w:rPr>
          <w:rStyle w:val="markedcontent"/>
          <w:rFonts w:ascii="Arial" w:hAnsi="Arial" w:cs="Arial"/>
          <w:color w:val="000000" w:themeColor="text1"/>
          <w:sz w:val="22"/>
          <w:szCs w:val="22"/>
        </w:rPr>
        <w:t xml:space="preserve"> uwzględnione zostały kwestie poprawy bez</w:t>
      </w:r>
      <w:r w:rsidR="00C71459">
        <w:rPr>
          <w:rStyle w:val="markedcontent"/>
          <w:rFonts w:ascii="Arial" w:hAnsi="Arial" w:cs="Arial"/>
          <w:color w:val="000000" w:themeColor="text1"/>
          <w:sz w:val="22"/>
          <w:szCs w:val="22"/>
        </w:rPr>
        <w:t xml:space="preserve">pieczeństwa uczestników ruchu, </w:t>
      </w:r>
      <w:r w:rsidRPr="009B78DA">
        <w:rPr>
          <w:rStyle w:val="markedcontent"/>
          <w:rFonts w:ascii="Arial" w:hAnsi="Arial" w:cs="Arial"/>
          <w:color w:val="000000" w:themeColor="text1"/>
          <w:sz w:val="22"/>
          <w:szCs w:val="22"/>
        </w:rPr>
        <w:t>a także działania, mające na celu zmniejszenie oddziaływania transportu na środowisko naturalne, co niewątpliwie odpowiada na nowe</w:t>
      </w:r>
      <w:r w:rsidR="00CB0643" w:rsidRPr="009B78DA">
        <w:rPr>
          <w:rStyle w:val="markedcontent"/>
          <w:rFonts w:ascii="Arial" w:hAnsi="Arial" w:cs="Arial"/>
          <w:color w:val="000000" w:themeColor="text1"/>
          <w:sz w:val="22"/>
          <w:szCs w:val="22"/>
        </w:rPr>
        <w:t xml:space="preserve"> wyzwania polityki spójności.</w:t>
      </w:r>
    </w:p>
    <w:p w14:paraId="38E84669" w14:textId="70CF542B" w:rsidR="00CF3FF5" w:rsidRPr="009B78DA" w:rsidRDefault="00CF3FF5" w:rsidP="00C71459">
      <w:pPr>
        <w:autoSpaceDE w:val="0"/>
        <w:autoSpaceDN w:val="0"/>
        <w:adjustRightInd w:val="0"/>
        <w:spacing w:after="0" w:line="276" w:lineRule="auto"/>
        <w:ind w:firstLine="708"/>
        <w:rPr>
          <w:rFonts w:ascii="Arial" w:eastAsiaTheme="minorHAnsi" w:hAnsi="Arial" w:cs="Arial"/>
          <w:color w:val="000000" w:themeColor="text1"/>
          <w:sz w:val="22"/>
          <w:szCs w:val="22"/>
        </w:rPr>
      </w:pPr>
      <w:r w:rsidRPr="009B78DA">
        <w:rPr>
          <w:rFonts w:ascii="Arial" w:eastAsiaTheme="minorHAnsi" w:hAnsi="Arial" w:cs="Arial"/>
          <w:color w:val="000000" w:themeColor="text1"/>
          <w:sz w:val="22"/>
          <w:szCs w:val="22"/>
        </w:rPr>
        <w:t>Wszystkie uwagi zostały poddane wnikliwej analizie oraz wykorzystane w procesie przygotowania końcowej wersji</w:t>
      </w:r>
      <w:r w:rsidRPr="009B78DA">
        <w:rPr>
          <w:rFonts w:ascii="Arial" w:eastAsiaTheme="minorHAnsi" w:hAnsi="Arial" w:cs="Arial"/>
          <w:i/>
          <w:iCs/>
          <w:color w:val="000000" w:themeColor="text1"/>
          <w:sz w:val="22"/>
          <w:szCs w:val="22"/>
        </w:rPr>
        <w:t xml:space="preserve"> </w:t>
      </w:r>
      <w:r w:rsidRPr="009B78DA">
        <w:rPr>
          <w:rFonts w:ascii="Arial" w:hAnsi="Arial" w:cs="Arial"/>
          <w:i/>
          <w:iCs/>
          <w:color w:val="000000" w:themeColor="text1"/>
          <w:sz w:val="22"/>
          <w:szCs w:val="22"/>
        </w:rPr>
        <w:t>Programu Strategicznego Rozwoju Transportu Województwa Podkarpackiego do roku 2030</w:t>
      </w:r>
      <w:r w:rsidRPr="009B78DA">
        <w:rPr>
          <w:rFonts w:ascii="Arial" w:hAnsi="Arial" w:cs="Arial"/>
          <w:color w:val="000000" w:themeColor="text1"/>
          <w:sz w:val="22"/>
          <w:szCs w:val="22"/>
        </w:rPr>
        <w:t xml:space="preserve"> wraz z </w:t>
      </w:r>
      <w:r w:rsidRPr="009B78DA">
        <w:rPr>
          <w:rFonts w:ascii="Arial" w:hAnsi="Arial" w:cs="Arial"/>
          <w:i/>
          <w:iCs/>
          <w:color w:val="000000" w:themeColor="text1"/>
          <w:sz w:val="22"/>
          <w:szCs w:val="22"/>
        </w:rPr>
        <w:t>Prognozą oddziaływania na środowisko</w:t>
      </w:r>
      <w:r w:rsidRPr="009B78DA">
        <w:rPr>
          <w:rFonts w:ascii="Arial" w:eastAsiaTheme="minorHAnsi" w:hAnsi="Arial" w:cs="Arial"/>
          <w:i/>
          <w:iCs/>
          <w:color w:val="000000" w:themeColor="text1"/>
          <w:sz w:val="22"/>
          <w:szCs w:val="22"/>
        </w:rPr>
        <w:t>.</w:t>
      </w:r>
    </w:p>
    <w:p w14:paraId="41E20435" w14:textId="311264C7" w:rsidR="00CF3FF5" w:rsidRPr="009B78DA" w:rsidRDefault="00CF3FF5" w:rsidP="00C71459">
      <w:pPr>
        <w:autoSpaceDE w:val="0"/>
        <w:autoSpaceDN w:val="0"/>
        <w:adjustRightInd w:val="0"/>
        <w:spacing w:after="0" w:line="276" w:lineRule="auto"/>
        <w:ind w:firstLine="708"/>
        <w:rPr>
          <w:rFonts w:ascii="Arial" w:eastAsiaTheme="minorHAnsi" w:hAnsi="Arial" w:cs="Arial"/>
          <w:color w:val="000000" w:themeColor="text1"/>
          <w:sz w:val="22"/>
          <w:szCs w:val="22"/>
        </w:rPr>
      </w:pPr>
      <w:r w:rsidRPr="009B78DA">
        <w:rPr>
          <w:rFonts w:ascii="Arial" w:eastAsiaTheme="minorHAnsi" w:hAnsi="Arial" w:cs="Arial"/>
          <w:color w:val="000000" w:themeColor="text1"/>
          <w:sz w:val="22"/>
          <w:szCs w:val="22"/>
        </w:rPr>
        <w:t xml:space="preserve">Mając na uwadze potrzebę zapewnienia spójności systemów transportowych oraz sprawnej komunikacji pomiędzy województwami, a także zgodnie z </w:t>
      </w:r>
      <w:r w:rsidRPr="009B78DA">
        <w:rPr>
          <w:rFonts w:ascii="Arial" w:eastAsiaTheme="minorHAnsi" w:hAnsi="Arial" w:cs="Arial"/>
          <w:i/>
          <w:iCs/>
          <w:color w:val="000000" w:themeColor="text1"/>
          <w:sz w:val="22"/>
          <w:szCs w:val="22"/>
        </w:rPr>
        <w:t xml:space="preserve">Najlepszymi praktykami </w:t>
      </w:r>
      <w:r w:rsidR="00CD74F2" w:rsidRPr="009B78DA">
        <w:rPr>
          <w:rFonts w:ascii="Arial" w:eastAsiaTheme="minorHAnsi" w:hAnsi="Arial" w:cs="Arial"/>
          <w:i/>
          <w:iCs/>
          <w:color w:val="000000" w:themeColor="text1"/>
          <w:sz w:val="22"/>
          <w:szCs w:val="22"/>
        </w:rPr>
        <w:br/>
      </w:r>
      <w:r w:rsidRPr="009B78DA">
        <w:rPr>
          <w:rFonts w:ascii="Arial" w:eastAsiaTheme="minorHAnsi" w:hAnsi="Arial" w:cs="Arial"/>
          <w:i/>
          <w:iCs/>
          <w:color w:val="000000" w:themeColor="text1"/>
          <w:sz w:val="22"/>
          <w:szCs w:val="22"/>
        </w:rPr>
        <w:t>w zakresie przygotowania regionalnych planów transportowych</w:t>
      </w:r>
      <w:r w:rsidRPr="009B78DA">
        <w:rPr>
          <w:rFonts w:ascii="Arial" w:eastAsiaTheme="minorHAnsi" w:hAnsi="Arial" w:cs="Arial"/>
          <w:color w:val="000000" w:themeColor="text1"/>
          <w:sz w:val="22"/>
          <w:szCs w:val="22"/>
        </w:rPr>
        <w:t xml:space="preserve"> opracowanych przez ekspertów </w:t>
      </w:r>
      <w:r w:rsidR="00817602" w:rsidRPr="009B78DA">
        <w:rPr>
          <w:rFonts w:ascii="Arial" w:hAnsi="Arial" w:cs="Arial"/>
          <w:color w:val="000000" w:themeColor="text1"/>
          <w:sz w:val="22"/>
          <w:szCs w:val="22"/>
        </w:rPr>
        <w:t>JASPERS</w:t>
      </w:r>
      <w:r w:rsidRPr="009B78DA">
        <w:rPr>
          <w:rFonts w:ascii="Arial" w:eastAsiaTheme="minorHAnsi" w:hAnsi="Arial" w:cs="Arial"/>
          <w:color w:val="000000" w:themeColor="text1"/>
          <w:sz w:val="22"/>
          <w:szCs w:val="22"/>
        </w:rPr>
        <w:t>, zwrócono się z prośbą do Marszałków województw sąsiednich (województwa małopolskiego, świętokrzyskiego oraz lubelskiego) o przekazanie opinii lub ewentualnych uwag i sugestii na temat PSRT WP</w:t>
      </w:r>
      <w:r w:rsidRPr="009B78DA">
        <w:rPr>
          <w:rFonts w:ascii="Arial" w:eastAsiaTheme="minorHAnsi" w:hAnsi="Arial" w:cs="Arial"/>
          <w:i/>
          <w:iCs/>
          <w:color w:val="000000" w:themeColor="text1"/>
          <w:sz w:val="22"/>
          <w:szCs w:val="22"/>
        </w:rPr>
        <w:t xml:space="preserve"> </w:t>
      </w:r>
      <w:r w:rsidRPr="009B78DA">
        <w:rPr>
          <w:rFonts w:ascii="Arial" w:eastAsiaTheme="minorHAnsi" w:hAnsi="Arial" w:cs="Arial"/>
          <w:color w:val="000000" w:themeColor="text1"/>
          <w:sz w:val="22"/>
          <w:szCs w:val="22"/>
        </w:rPr>
        <w:t xml:space="preserve">oraz </w:t>
      </w:r>
      <w:r w:rsidRPr="009B78DA">
        <w:rPr>
          <w:rFonts w:ascii="Arial" w:eastAsiaTheme="minorHAnsi" w:hAnsi="Arial" w:cs="Arial"/>
          <w:i/>
          <w:iCs/>
          <w:color w:val="000000" w:themeColor="text1"/>
          <w:sz w:val="22"/>
          <w:szCs w:val="22"/>
        </w:rPr>
        <w:t>Prognozy oddziaływania na środowisko</w:t>
      </w:r>
      <w:r w:rsidRPr="009B78DA">
        <w:rPr>
          <w:rFonts w:ascii="Arial" w:eastAsiaTheme="minorHAnsi" w:hAnsi="Arial" w:cs="Arial"/>
          <w:color w:val="000000" w:themeColor="text1"/>
          <w:sz w:val="22"/>
          <w:szCs w:val="22"/>
        </w:rPr>
        <w:t xml:space="preserve"> dla przedmiotowego dokumentu. W odpowiedzi Samorząd Województwa Lubelskiego oraz Świętokrzyskiego nie zgłosił uwag do konsultowanych dokumentów. </w:t>
      </w:r>
    </w:p>
    <w:p w14:paraId="16C84BD5" w14:textId="40430364" w:rsidR="00CF3FF5" w:rsidRPr="009B78DA" w:rsidRDefault="00CF3FF5" w:rsidP="00C71459">
      <w:pPr>
        <w:autoSpaceDE w:val="0"/>
        <w:autoSpaceDN w:val="0"/>
        <w:adjustRightInd w:val="0"/>
        <w:spacing w:after="0" w:line="276" w:lineRule="auto"/>
        <w:ind w:firstLine="708"/>
        <w:rPr>
          <w:rFonts w:ascii="Arial" w:eastAsiaTheme="minorHAnsi" w:hAnsi="Arial" w:cs="Arial"/>
          <w:color w:val="000000" w:themeColor="text1"/>
          <w:sz w:val="22"/>
          <w:szCs w:val="22"/>
        </w:rPr>
      </w:pPr>
      <w:r w:rsidRPr="009B78DA">
        <w:rPr>
          <w:rFonts w:ascii="Arial" w:eastAsiaTheme="minorHAnsi" w:hAnsi="Arial" w:cs="Arial"/>
          <w:color w:val="000000" w:themeColor="text1"/>
          <w:sz w:val="22"/>
          <w:szCs w:val="22"/>
        </w:rPr>
        <w:t xml:space="preserve">24 lutego 2022r. otrzymano także pozytywną opinię dotyczącą projektu PSRT WP, wydaną przez Podkarpacki Państwowy Wojewódzki Inspektorat Sanitarny, natomiast 11 marca 2022r. Regionalny Dyrektor Ochrony Środowiska w Rzeszowie zaopiniował </w:t>
      </w:r>
      <w:r w:rsidR="00E274D1" w:rsidRPr="009B78DA">
        <w:rPr>
          <w:rFonts w:ascii="Arial" w:eastAsiaTheme="minorHAnsi" w:hAnsi="Arial" w:cs="Arial"/>
          <w:color w:val="000000" w:themeColor="text1"/>
          <w:sz w:val="22"/>
          <w:szCs w:val="22"/>
        </w:rPr>
        <w:t>p</w:t>
      </w:r>
      <w:r w:rsidRPr="009B78DA">
        <w:rPr>
          <w:rFonts w:ascii="Arial" w:eastAsiaTheme="minorHAnsi" w:hAnsi="Arial" w:cs="Arial"/>
          <w:color w:val="000000" w:themeColor="text1"/>
          <w:sz w:val="22"/>
          <w:szCs w:val="22"/>
        </w:rPr>
        <w:t xml:space="preserve">rojekt PSRT WP wraz z projektem </w:t>
      </w:r>
      <w:r w:rsidRPr="009B78DA">
        <w:rPr>
          <w:rFonts w:ascii="Arial" w:eastAsiaTheme="minorHAnsi" w:hAnsi="Arial" w:cs="Arial"/>
          <w:i/>
          <w:iCs/>
          <w:color w:val="000000" w:themeColor="text1"/>
          <w:sz w:val="22"/>
          <w:szCs w:val="22"/>
        </w:rPr>
        <w:t>Prognozy</w:t>
      </w:r>
      <w:r w:rsidRPr="009B78DA">
        <w:rPr>
          <w:rFonts w:ascii="Arial" w:eastAsiaTheme="minorHAnsi" w:hAnsi="Arial" w:cs="Arial"/>
          <w:color w:val="000000" w:themeColor="text1"/>
          <w:sz w:val="22"/>
          <w:szCs w:val="22"/>
        </w:rPr>
        <w:t xml:space="preserve"> do niniejszego dokumentu bez wnoszenia uwag.</w:t>
      </w:r>
    </w:p>
    <w:p w14:paraId="1D11F768" w14:textId="4271C927" w:rsidR="00CF3FF5" w:rsidRPr="009B78DA" w:rsidRDefault="00CF3FF5" w:rsidP="00C71459">
      <w:pPr>
        <w:autoSpaceDE w:val="0"/>
        <w:autoSpaceDN w:val="0"/>
        <w:adjustRightInd w:val="0"/>
        <w:spacing w:after="0" w:line="276" w:lineRule="auto"/>
        <w:ind w:firstLine="708"/>
        <w:rPr>
          <w:rFonts w:ascii="Arial" w:eastAsiaTheme="minorHAnsi" w:hAnsi="Arial" w:cs="Arial"/>
          <w:color w:val="000000" w:themeColor="text1"/>
          <w:sz w:val="22"/>
          <w:szCs w:val="22"/>
        </w:rPr>
      </w:pPr>
      <w:r w:rsidRPr="009B78DA">
        <w:rPr>
          <w:rFonts w:ascii="Arial" w:eastAsiaTheme="minorHAnsi" w:hAnsi="Arial" w:cs="Arial"/>
          <w:color w:val="000000" w:themeColor="text1"/>
          <w:sz w:val="22"/>
          <w:szCs w:val="22"/>
        </w:rPr>
        <w:t xml:space="preserve">Jednocześnie w dniu 14 marca 2022r. Rada Pożytku Publicznego, uchwałą nr 4/3/2022 w sprawie wyrażania opinii do projektu </w:t>
      </w:r>
      <w:r w:rsidRPr="009B78DA">
        <w:rPr>
          <w:rFonts w:ascii="Arial" w:hAnsi="Arial" w:cs="Arial"/>
          <w:i/>
          <w:iCs/>
          <w:color w:val="000000" w:themeColor="text1"/>
          <w:sz w:val="22"/>
          <w:szCs w:val="22"/>
        </w:rPr>
        <w:t>Programu Strategicznego Rozwoju Transportu Województwa Podkarpackiego do roku 2030</w:t>
      </w:r>
      <w:r w:rsidRPr="009B78DA">
        <w:rPr>
          <w:rFonts w:ascii="Arial" w:hAnsi="Arial" w:cs="Arial"/>
          <w:color w:val="000000" w:themeColor="text1"/>
          <w:sz w:val="22"/>
          <w:szCs w:val="22"/>
        </w:rPr>
        <w:t xml:space="preserve"> oraz projektu </w:t>
      </w:r>
      <w:r w:rsidRPr="009B78DA">
        <w:rPr>
          <w:rFonts w:ascii="Arial" w:hAnsi="Arial" w:cs="Arial"/>
          <w:i/>
          <w:iCs/>
          <w:color w:val="000000" w:themeColor="text1"/>
          <w:sz w:val="22"/>
          <w:szCs w:val="22"/>
        </w:rPr>
        <w:t>Prognozy oddziaływania na środowisko</w:t>
      </w:r>
      <w:r w:rsidRPr="009B78DA">
        <w:rPr>
          <w:rFonts w:ascii="Arial" w:eastAsiaTheme="minorHAnsi" w:hAnsi="Arial" w:cs="Arial"/>
          <w:i/>
          <w:iCs/>
          <w:color w:val="000000" w:themeColor="text1"/>
          <w:sz w:val="22"/>
          <w:szCs w:val="22"/>
        </w:rPr>
        <w:t>,</w:t>
      </w:r>
      <w:r w:rsidRPr="009B78DA">
        <w:rPr>
          <w:rFonts w:ascii="Arial" w:eastAsiaTheme="minorHAnsi" w:hAnsi="Arial" w:cs="Arial"/>
          <w:color w:val="000000" w:themeColor="text1"/>
          <w:sz w:val="22"/>
          <w:szCs w:val="22"/>
        </w:rPr>
        <w:t xml:space="preserve"> przyjęła pozytywną opinię</w:t>
      </w:r>
      <w:r w:rsidR="00C71459">
        <w:rPr>
          <w:rFonts w:ascii="Arial" w:eastAsiaTheme="minorHAnsi" w:hAnsi="Arial" w:cs="Arial"/>
          <w:color w:val="000000" w:themeColor="text1"/>
          <w:sz w:val="22"/>
          <w:szCs w:val="22"/>
        </w:rPr>
        <w:t xml:space="preserve"> dla konsultowanych dokumentów.</w:t>
      </w:r>
    </w:p>
    <w:p w14:paraId="0D52B241" w14:textId="1979928C" w:rsidR="00FE1957" w:rsidRPr="00C71459" w:rsidRDefault="00CF3FF5" w:rsidP="00C71459">
      <w:pPr>
        <w:autoSpaceDE w:val="0"/>
        <w:autoSpaceDN w:val="0"/>
        <w:adjustRightInd w:val="0"/>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30 marca 2022r. obyło się posiedzenie Komisji Wspólnej Rządu i Samorządu, podczas którego omówiony został projekt </w:t>
      </w:r>
      <w:r w:rsidRPr="009B78DA">
        <w:rPr>
          <w:rFonts w:ascii="Arial" w:hAnsi="Arial" w:cs="Arial"/>
          <w:i/>
          <w:iCs/>
          <w:color w:val="000000" w:themeColor="text1"/>
          <w:sz w:val="22"/>
          <w:szCs w:val="22"/>
        </w:rPr>
        <w:t>Programu Strategicznego Rozwoju Transportu Województwa Podkarpackiego do roku 2030</w:t>
      </w:r>
      <w:r w:rsidR="00C71459">
        <w:rPr>
          <w:rFonts w:ascii="Arial" w:hAnsi="Arial" w:cs="Arial"/>
          <w:color w:val="000000" w:themeColor="text1"/>
          <w:sz w:val="22"/>
          <w:szCs w:val="22"/>
        </w:rPr>
        <w:t xml:space="preserve">. Uzyskano opinię pozytywną. </w:t>
      </w:r>
    </w:p>
    <w:p w14:paraId="1CF9FF23" w14:textId="11E14FBF" w:rsidR="002A2F34" w:rsidRPr="009B78DA" w:rsidRDefault="002A2F34">
      <w:pPr>
        <w:rPr>
          <w:color w:val="000000" w:themeColor="text1"/>
        </w:rPr>
      </w:pPr>
      <w:r w:rsidRPr="009B78DA">
        <w:rPr>
          <w:color w:val="000000" w:themeColor="text1"/>
        </w:rPr>
        <w:br w:type="page"/>
      </w:r>
    </w:p>
    <w:p w14:paraId="37EFD4AC" w14:textId="07929F4C" w:rsidR="002A2F34" w:rsidRPr="00C71459" w:rsidRDefault="002A2F34" w:rsidP="00C71459">
      <w:pPr>
        <w:pStyle w:val="Nagwek1"/>
        <w:numPr>
          <w:ilvl w:val="0"/>
          <w:numId w:val="283"/>
        </w:numPr>
        <w:rPr>
          <w:rFonts w:cs="Arial"/>
          <w:b/>
          <w:bCs/>
          <w:color w:val="000000" w:themeColor="text1"/>
          <w:sz w:val="26"/>
          <w:szCs w:val="26"/>
        </w:rPr>
      </w:pPr>
      <w:bookmarkStart w:id="435" w:name="_Toc100335087"/>
      <w:bookmarkStart w:id="436" w:name="_Toc146785813"/>
      <w:r w:rsidRPr="009B78DA">
        <w:rPr>
          <w:rFonts w:cs="Arial"/>
          <w:b/>
          <w:bCs/>
          <w:color w:val="000000" w:themeColor="text1"/>
          <w:sz w:val="26"/>
          <w:szCs w:val="26"/>
        </w:rPr>
        <w:t>Analiza ryzyka</w:t>
      </w:r>
      <w:bookmarkEnd w:id="435"/>
      <w:bookmarkEnd w:id="436"/>
    </w:p>
    <w:p w14:paraId="1FC4D390" w14:textId="59F88170" w:rsidR="00FE16ED" w:rsidRPr="009B78DA" w:rsidRDefault="00FE16ED" w:rsidP="00C7145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Realizacja przedsięwzięć inwestycyjnych i organizacyjnych określonych w Programie,</w:t>
      </w:r>
      <w:r w:rsidR="009953D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obarczona jest ryzykiem realizacji o zróżnicowanej skali prawdopodobieństwa i sile oddziaływania na Program. W przypadku wystąpienia zdarzeń niepożądanych, przyjęte w Programie wartości szacunkowe wskaźników służących monitorowaniu realizacji celów </w:t>
      </w:r>
      <w:r w:rsidR="004C217A" w:rsidRPr="009B78DA">
        <w:rPr>
          <w:rFonts w:ascii="Arial" w:hAnsi="Arial" w:cs="Arial"/>
          <w:color w:val="000000" w:themeColor="text1"/>
          <w:sz w:val="22"/>
          <w:szCs w:val="22"/>
        </w:rPr>
        <w:t>podstawowych</w:t>
      </w:r>
      <w:r w:rsidRPr="009B78DA">
        <w:rPr>
          <w:rFonts w:ascii="Arial" w:hAnsi="Arial" w:cs="Arial"/>
          <w:color w:val="000000" w:themeColor="text1"/>
          <w:sz w:val="22"/>
          <w:szCs w:val="22"/>
        </w:rPr>
        <w:t xml:space="preserve"> i horyzontaln</w:t>
      </w:r>
      <w:r w:rsidR="00C71459">
        <w:rPr>
          <w:rFonts w:ascii="Arial" w:hAnsi="Arial" w:cs="Arial"/>
          <w:color w:val="000000" w:themeColor="text1"/>
          <w:sz w:val="22"/>
          <w:szCs w:val="22"/>
        </w:rPr>
        <w:t>ych mogą nie zostać osiągnięte.</w:t>
      </w:r>
    </w:p>
    <w:p w14:paraId="6990E696" w14:textId="197F0F95" w:rsidR="001D2C51" w:rsidRPr="009B78DA" w:rsidRDefault="00FE16ED" w:rsidP="00C71459">
      <w:pPr>
        <w:spacing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Zgodnie z zaleceniami zawartymi w Wytycznych JASPERS pn. </w:t>
      </w:r>
      <w:r w:rsidRPr="009B78DA">
        <w:rPr>
          <w:rFonts w:ascii="Arial" w:hAnsi="Arial" w:cs="Arial"/>
          <w:i/>
          <w:iCs/>
          <w:color w:val="000000" w:themeColor="text1"/>
          <w:sz w:val="22"/>
          <w:szCs w:val="22"/>
        </w:rPr>
        <w:t xml:space="preserve">Najlepsze praktyki w zakresie regionalnych planów transportowych (Polska) z 24 kwietnia 2020 r. </w:t>
      </w:r>
      <w:r w:rsidRPr="009B78DA">
        <w:rPr>
          <w:rFonts w:ascii="Arial" w:hAnsi="Arial" w:cs="Arial"/>
          <w:color w:val="000000" w:themeColor="text1"/>
          <w:sz w:val="22"/>
          <w:szCs w:val="22"/>
        </w:rPr>
        <w:t xml:space="preserve">zostały przeanalizowane czynniki ryzyka realizacji Programu. </w:t>
      </w:r>
      <w:r w:rsidR="00656C2C" w:rsidRPr="009B78DA">
        <w:rPr>
          <w:rFonts w:ascii="Arial" w:hAnsi="Arial" w:cs="Arial"/>
          <w:color w:val="000000" w:themeColor="text1"/>
          <w:sz w:val="22"/>
          <w:szCs w:val="22"/>
        </w:rPr>
        <w:t>P</w:t>
      </w:r>
      <w:r w:rsidRPr="009B78DA">
        <w:rPr>
          <w:rFonts w:ascii="Arial" w:hAnsi="Arial" w:cs="Arial"/>
          <w:color w:val="000000" w:themeColor="text1"/>
          <w:sz w:val="22"/>
          <w:szCs w:val="22"/>
        </w:rPr>
        <w:t xml:space="preserve">rzedstawiono najbardziej prawdopodobne ryzyka, które mogą zaburzać realizację Programu. Ocena ryzyka to kompilacja dwóch składowych: skali prawdopodobieństwa (A-E) i siły oddziaływania (dotkliwości) na Program (I-V) zgodnie z wartościami punktowymi określonymi w tabelach </w:t>
      </w:r>
      <w:r w:rsidR="00B135AA" w:rsidRPr="009B78DA">
        <w:rPr>
          <w:rFonts w:ascii="Arial" w:hAnsi="Arial" w:cs="Arial"/>
          <w:color w:val="000000" w:themeColor="text1"/>
          <w:sz w:val="22"/>
          <w:szCs w:val="22"/>
        </w:rPr>
        <w:t>poniżej.</w:t>
      </w:r>
    </w:p>
    <w:p w14:paraId="752539B7" w14:textId="32E05D43" w:rsidR="00CB0643" w:rsidRPr="009B78DA" w:rsidRDefault="00CB0643" w:rsidP="00C71459">
      <w:pPr>
        <w:pStyle w:val="Legenda"/>
        <w:keepNext/>
        <w:rPr>
          <w:rFonts w:ascii="Arial" w:hAnsi="Arial" w:cs="Arial"/>
          <w:i w:val="0"/>
          <w:color w:val="000000" w:themeColor="text1"/>
          <w:sz w:val="22"/>
          <w:szCs w:val="22"/>
        </w:rPr>
      </w:pPr>
      <w:bookmarkStart w:id="437" w:name="_Toc146785771"/>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41</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Skala prawdopodobieństwa wystąpienia ryzyka</w:t>
      </w:r>
      <w:bookmarkEnd w:id="437"/>
    </w:p>
    <w:tbl>
      <w:tblPr>
        <w:tblStyle w:val="Tabela-Siatka"/>
        <w:tblW w:w="0" w:type="auto"/>
        <w:tblLook w:val="04A0" w:firstRow="1" w:lastRow="0" w:firstColumn="1" w:lastColumn="0" w:noHBand="0" w:noVBand="1"/>
        <w:tblCaption w:val="Tabela 41 Skala prawdopodobieństwa wystąpienia ryzyka"/>
        <w:tblDescription w:val="Tabela zawiera Skala prawdopodobieństwa, Zakres wartości [%], Wartość punktowa"/>
      </w:tblPr>
      <w:tblGrid>
        <w:gridCol w:w="3681"/>
        <w:gridCol w:w="2360"/>
        <w:gridCol w:w="3021"/>
      </w:tblGrid>
      <w:tr w:rsidR="006F4FD2" w:rsidRPr="009B78DA" w14:paraId="0BC63D34" w14:textId="77777777" w:rsidTr="00C71459">
        <w:trPr>
          <w:tblHeader/>
        </w:trPr>
        <w:tc>
          <w:tcPr>
            <w:tcW w:w="3681" w:type="dxa"/>
            <w:shd w:val="clear" w:color="auto" w:fill="DEEAF6" w:themeFill="accent1" w:themeFillTint="33"/>
            <w:vAlign w:val="center"/>
          </w:tcPr>
          <w:p w14:paraId="1EFD51CA" w14:textId="77777777" w:rsidR="00FE16ED" w:rsidRPr="009B78DA" w:rsidRDefault="00FE16ED" w:rsidP="00C71459">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Skala prawdopodobieństwa</w:t>
            </w:r>
          </w:p>
        </w:tc>
        <w:tc>
          <w:tcPr>
            <w:tcW w:w="2360" w:type="dxa"/>
            <w:shd w:val="clear" w:color="auto" w:fill="DEEAF6" w:themeFill="accent1" w:themeFillTint="33"/>
            <w:vAlign w:val="center"/>
          </w:tcPr>
          <w:p w14:paraId="77376F26" w14:textId="77777777" w:rsidR="00FE16ED" w:rsidRPr="009B78DA" w:rsidRDefault="00FE16ED" w:rsidP="00C71459">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Zakres wartości [%]</w:t>
            </w:r>
          </w:p>
        </w:tc>
        <w:tc>
          <w:tcPr>
            <w:tcW w:w="3021" w:type="dxa"/>
            <w:shd w:val="clear" w:color="auto" w:fill="DEEAF6" w:themeFill="accent1" w:themeFillTint="33"/>
            <w:vAlign w:val="center"/>
          </w:tcPr>
          <w:p w14:paraId="24AFEA8F" w14:textId="36482456" w:rsidR="00FE16ED" w:rsidRPr="009B78DA" w:rsidRDefault="00FE16ED" w:rsidP="00C71459">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Wartość punktowa</w:t>
            </w:r>
          </w:p>
        </w:tc>
      </w:tr>
      <w:tr w:rsidR="006F4FD2" w:rsidRPr="009B78DA" w14:paraId="39997C9F" w14:textId="77777777" w:rsidTr="00C71459">
        <w:tc>
          <w:tcPr>
            <w:tcW w:w="3681" w:type="dxa"/>
            <w:vAlign w:val="center"/>
          </w:tcPr>
          <w:p w14:paraId="4F26B1C8" w14:textId="77777777" w:rsidR="00FE16ED" w:rsidRPr="009B78DA" w:rsidRDefault="00FE16ED" w:rsidP="00C71459">
            <w:pPr>
              <w:spacing w:before="40" w:after="40" w:line="276" w:lineRule="auto"/>
              <w:rPr>
                <w:rFonts w:ascii="Arial" w:hAnsi="Arial" w:cs="Arial"/>
                <w:color w:val="000000" w:themeColor="text1"/>
                <w:sz w:val="22"/>
                <w:szCs w:val="22"/>
              </w:rPr>
            </w:pPr>
            <w:r w:rsidRPr="009B78DA">
              <w:rPr>
                <w:rFonts w:ascii="Arial" w:hAnsi="Arial" w:cs="Arial"/>
                <w:color w:val="000000" w:themeColor="text1"/>
                <w:sz w:val="22"/>
                <w:szCs w:val="22"/>
              </w:rPr>
              <w:t>Bardzo niskie</w:t>
            </w:r>
          </w:p>
        </w:tc>
        <w:tc>
          <w:tcPr>
            <w:tcW w:w="2360" w:type="dxa"/>
            <w:vAlign w:val="center"/>
          </w:tcPr>
          <w:p w14:paraId="1A7F20D9"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0 – 10</w:t>
            </w:r>
          </w:p>
        </w:tc>
        <w:tc>
          <w:tcPr>
            <w:tcW w:w="3021" w:type="dxa"/>
            <w:vAlign w:val="center"/>
          </w:tcPr>
          <w:p w14:paraId="1A1BDA7C"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A</w:t>
            </w:r>
          </w:p>
        </w:tc>
      </w:tr>
      <w:tr w:rsidR="006F4FD2" w:rsidRPr="009B78DA" w14:paraId="4444CE6E" w14:textId="77777777" w:rsidTr="00C71459">
        <w:tc>
          <w:tcPr>
            <w:tcW w:w="3681" w:type="dxa"/>
            <w:vAlign w:val="center"/>
          </w:tcPr>
          <w:p w14:paraId="504EB4BB" w14:textId="77777777" w:rsidR="00FE16ED" w:rsidRPr="009B78DA" w:rsidRDefault="00FE16ED" w:rsidP="00C71459">
            <w:pPr>
              <w:spacing w:before="40" w:after="40" w:line="276" w:lineRule="auto"/>
              <w:rPr>
                <w:rFonts w:ascii="Arial" w:hAnsi="Arial" w:cs="Arial"/>
                <w:color w:val="000000" w:themeColor="text1"/>
                <w:sz w:val="22"/>
                <w:szCs w:val="22"/>
              </w:rPr>
            </w:pPr>
            <w:r w:rsidRPr="009B78DA">
              <w:rPr>
                <w:rFonts w:ascii="Arial" w:hAnsi="Arial" w:cs="Arial"/>
                <w:color w:val="000000" w:themeColor="text1"/>
                <w:sz w:val="22"/>
                <w:szCs w:val="22"/>
              </w:rPr>
              <w:t>Niskie</w:t>
            </w:r>
          </w:p>
        </w:tc>
        <w:tc>
          <w:tcPr>
            <w:tcW w:w="2360" w:type="dxa"/>
            <w:vAlign w:val="center"/>
          </w:tcPr>
          <w:p w14:paraId="76784305"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11 – 30</w:t>
            </w:r>
          </w:p>
        </w:tc>
        <w:tc>
          <w:tcPr>
            <w:tcW w:w="3021" w:type="dxa"/>
            <w:vAlign w:val="center"/>
          </w:tcPr>
          <w:p w14:paraId="7EB015E4"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B</w:t>
            </w:r>
          </w:p>
        </w:tc>
      </w:tr>
      <w:tr w:rsidR="006F4FD2" w:rsidRPr="009B78DA" w14:paraId="26FD553E" w14:textId="77777777" w:rsidTr="00C71459">
        <w:tc>
          <w:tcPr>
            <w:tcW w:w="3681" w:type="dxa"/>
            <w:vAlign w:val="center"/>
          </w:tcPr>
          <w:p w14:paraId="1EB01C84" w14:textId="77777777" w:rsidR="00FE16ED" w:rsidRPr="009B78DA" w:rsidRDefault="00FE16ED" w:rsidP="00C71459">
            <w:pPr>
              <w:spacing w:before="40" w:after="40" w:line="276" w:lineRule="auto"/>
              <w:rPr>
                <w:rFonts w:ascii="Arial" w:hAnsi="Arial" w:cs="Arial"/>
                <w:color w:val="000000" w:themeColor="text1"/>
                <w:sz w:val="22"/>
                <w:szCs w:val="22"/>
              </w:rPr>
            </w:pPr>
            <w:r w:rsidRPr="009B78DA">
              <w:rPr>
                <w:rFonts w:ascii="Arial" w:hAnsi="Arial" w:cs="Arial"/>
                <w:color w:val="000000" w:themeColor="text1"/>
                <w:sz w:val="22"/>
                <w:szCs w:val="22"/>
              </w:rPr>
              <w:t>Średnie</w:t>
            </w:r>
          </w:p>
        </w:tc>
        <w:tc>
          <w:tcPr>
            <w:tcW w:w="2360" w:type="dxa"/>
            <w:vAlign w:val="center"/>
          </w:tcPr>
          <w:p w14:paraId="6542C386"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31 – 60</w:t>
            </w:r>
          </w:p>
        </w:tc>
        <w:tc>
          <w:tcPr>
            <w:tcW w:w="3021" w:type="dxa"/>
            <w:vAlign w:val="center"/>
          </w:tcPr>
          <w:p w14:paraId="4D53E823"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C</w:t>
            </w:r>
          </w:p>
        </w:tc>
      </w:tr>
      <w:tr w:rsidR="006F4FD2" w:rsidRPr="009B78DA" w14:paraId="26EA3BE9" w14:textId="77777777" w:rsidTr="00C71459">
        <w:tc>
          <w:tcPr>
            <w:tcW w:w="3681" w:type="dxa"/>
            <w:vAlign w:val="center"/>
          </w:tcPr>
          <w:p w14:paraId="5FBBECC9" w14:textId="77777777" w:rsidR="00FE16ED" w:rsidRPr="009B78DA" w:rsidRDefault="00FE16ED" w:rsidP="00C71459">
            <w:pPr>
              <w:spacing w:before="40" w:after="40" w:line="276" w:lineRule="auto"/>
              <w:rPr>
                <w:rFonts w:ascii="Arial" w:hAnsi="Arial" w:cs="Arial"/>
                <w:color w:val="000000" w:themeColor="text1"/>
                <w:sz w:val="22"/>
                <w:szCs w:val="22"/>
              </w:rPr>
            </w:pPr>
            <w:r w:rsidRPr="009B78DA">
              <w:rPr>
                <w:rFonts w:ascii="Arial" w:hAnsi="Arial" w:cs="Arial"/>
                <w:color w:val="000000" w:themeColor="text1"/>
                <w:sz w:val="22"/>
                <w:szCs w:val="22"/>
              </w:rPr>
              <w:t>Wysokie</w:t>
            </w:r>
          </w:p>
        </w:tc>
        <w:tc>
          <w:tcPr>
            <w:tcW w:w="2360" w:type="dxa"/>
            <w:vAlign w:val="center"/>
          </w:tcPr>
          <w:p w14:paraId="4777BCE0"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61 – 90</w:t>
            </w:r>
          </w:p>
        </w:tc>
        <w:tc>
          <w:tcPr>
            <w:tcW w:w="3021" w:type="dxa"/>
            <w:vAlign w:val="center"/>
          </w:tcPr>
          <w:p w14:paraId="5795BFC1"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D</w:t>
            </w:r>
          </w:p>
        </w:tc>
      </w:tr>
      <w:tr w:rsidR="00FE16ED" w:rsidRPr="009B78DA" w14:paraId="216ED943" w14:textId="77777777" w:rsidTr="00C71459">
        <w:tc>
          <w:tcPr>
            <w:tcW w:w="3681" w:type="dxa"/>
            <w:vAlign w:val="center"/>
          </w:tcPr>
          <w:p w14:paraId="03092999" w14:textId="08A6BF41" w:rsidR="00FE16ED" w:rsidRPr="009B78DA" w:rsidRDefault="00FE16ED" w:rsidP="00C71459">
            <w:pPr>
              <w:spacing w:before="40" w:after="40" w:line="276" w:lineRule="auto"/>
              <w:rPr>
                <w:rFonts w:ascii="Arial" w:hAnsi="Arial" w:cs="Arial"/>
                <w:color w:val="000000" w:themeColor="text1"/>
                <w:sz w:val="22"/>
                <w:szCs w:val="22"/>
              </w:rPr>
            </w:pPr>
            <w:r w:rsidRPr="009B78DA">
              <w:rPr>
                <w:rFonts w:ascii="Arial" w:hAnsi="Arial" w:cs="Arial"/>
                <w:color w:val="000000" w:themeColor="text1"/>
                <w:sz w:val="22"/>
                <w:szCs w:val="22"/>
              </w:rPr>
              <w:t>Bardzo wysokie</w:t>
            </w:r>
          </w:p>
        </w:tc>
        <w:tc>
          <w:tcPr>
            <w:tcW w:w="2360" w:type="dxa"/>
            <w:vAlign w:val="center"/>
          </w:tcPr>
          <w:p w14:paraId="118D7ECB"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91 – 100</w:t>
            </w:r>
          </w:p>
        </w:tc>
        <w:tc>
          <w:tcPr>
            <w:tcW w:w="3021" w:type="dxa"/>
            <w:vAlign w:val="center"/>
          </w:tcPr>
          <w:p w14:paraId="7C45EBAA"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E</w:t>
            </w:r>
          </w:p>
        </w:tc>
      </w:tr>
    </w:tbl>
    <w:p w14:paraId="2BF3B7E5" w14:textId="043295F8" w:rsidR="00CB0643" w:rsidRPr="009B78DA" w:rsidRDefault="00CB0643" w:rsidP="00C71459">
      <w:pPr>
        <w:pStyle w:val="Legenda"/>
        <w:keepNext/>
        <w:spacing w:before="120" w:after="120" w:line="276" w:lineRule="auto"/>
        <w:rPr>
          <w:rFonts w:ascii="Arial" w:hAnsi="Arial" w:cs="Arial"/>
          <w:i w:val="0"/>
          <w:color w:val="000000" w:themeColor="text1"/>
          <w:sz w:val="22"/>
          <w:szCs w:val="22"/>
        </w:rPr>
      </w:pPr>
      <w:bookmarkStart w:id="438" w:name="_Toc146785772"/>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42</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Siła oddziaływania ryzyka (skala dotkliwości)</w:t>
      </w:r>
      <w:bookmarkEnd w:id="438"/>
    </w:p>
    <w:tbl>
      <w:tblPr>
        <w:tblStyle w:val="Tabela-Siatka"/>
        <w:tblW w:w="0" w:type="auto"/>
        <w:tblLook w:val="04A0" w:firstRow="1" w:lastRow="0" w:firstColumn="1" w:lastColumn="0" w:noHBand="0" w:noVBand="1"/>
        <w:tblCaption w:val="Tabela 42 Siła oddziaływania ryzyka (skala dotkliwości)"/>
        <w:tblDescription w:val="Tabela zawiera Siła oddziaływania na Program, Wartość punktowa"/>
      </w:tblPr>
      <w:tblGrid>
        <w:gridCol w:w="6799"/>
        <w:gridCol w:w="2263"/>
      </w:tblGrid>
      <w:tr w:rsidR="006F4FD2" w:rsidRPr="009B78DA" w14:paraId="4DBD5BBE" w14:textId="77777777" w:rsidTr="00C71459">
        <w:trPr>
          <w:tblHeader/>
        </w:trPr>
        <w:tc>
          <w:tcPr>
            <w:tcW w:w="6799" w:type="dxa"/>
            <w:shd w:val="clear" w:color="auto" w:fill="DEEAF6" w:themeFill="accent1" w:themeFillTint="33"/>
            <w:vAlign w:val="center"/>
          </w:tcPr>
          <w:p w14:paraId="6D11531B" w14:textId="77777777" w:rsidR="00FE16ED" w:rsidRPr="009B78DA" w:rsidRDefault="00FE16ED" w:rsidP="00C71459">
            <w:pPr>
              <w:spacing w:before="40" w:after="4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Siła oddziaływania na Program</w:t>
            </w:r>
          </w:p>
        </w:tc>
        <w:tc>
          <w:tcPr>
            <w:tcW w:w="2263" w:type="dxa"/>
            <w:shd w:val="clear" w:color="auto" w:fill="DEEAF6" w:themeFill="accent1" w:themeFillTint="33"/>
            <w:vAlign w:val="center"/>
          </w:tcPr>
          <w:p w14:paraId="4CAE1736" w14:textId="2FFD2E52"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b/>
                <w:bCs/>
                <w:color w:val="000000" w:themeColor="text1"/>
                <w:sz w:val="22"/>
                <w:szCs w:val="22"/>
              </w:rPr>
              <w:t>Wartość punktowa</w:t>
            </w:r>
          </w:p>
        </w:tc>
      </w:tr>
      <w:tr w:rsidR="006F4FD2" w:rsidRPr="009B78DA" w14:paraId="5FDA0B53" w14:textId="77777777" w:rsidTr="00C71459">
        <w:tc>
          <w:tcPr>
            <w:tcW w:w="6799" w:type="dxa"/>
            <w:vAlign w:val="center"/>
          </w:tcPr>
          <w:p w14:paraId="74755BCA" w14:textId="49337E7D" w:rsidR="00FE16ED" w:rsidRPr="009B78DA" w:rsidRDefault="00FE16ED" w:rsidP="00C71459">
            <w:pPr>
              <w:spacing w:before="40" w:after="40" w:line="276" w:lineRule="auto"/>
              <w:rPr>
                <w:rFonts w:ascii="Arial" w:hAnsi="Arial" w:cs="Arial"/>
                <w:color w:val="000000" w:themeColor="text1"/>
                <w:sz w:val="22"/>
                <w:szCs w:val="22"/>
              </w:rPr>
            </w:pPr>
            <w:r w:rsidRPr="009B78DA">
              <w:rPr>
                <w:rFonts w:ascii="Arial" w:hAnsi="Arial" w:cs="Arial"/>
                <w:color w:val="000000" w:themeColor="text1"/>
                <w:sz w:val="22"/>
                <w:szCs w:val="22"/>
              </w:rPr>
              <w:t>Brak lub minimalny</w:t>
            </w:r>
            <w:r w:rsidR="00C71459">
              <w:rPr>
                <w:rFonts w:ascii="Arial" w:hAnsi="Arial" w:cs="Arial"/>
                <w:color w:val="000000" w:themeColor="text1"/>
                <w:sz w:val="22"/>
                <w:szCs w:val="22"/>
              </w:rPr>
              <w:t xml:space="preserve"> wpływ na realizację Programu. </w:t>
            </w:r>
            <w:r w:rsidRPr="009B78DA">
              <w:rPr>
                <w:rFonts w:ascii="Arial" w:hAnsi="Arial" w:cs="Arial"/>
                <w:color w:val="000000" w:themeColor="text1"/>
                <w:sz w:val="22"/>
                <w:szCs w:val="22"/>
              </w:rPr>
              <w:t>Bez konieczności podejmowania działań zaradczych</w:t>
            </w:r>
            <w:r w:rsidR="00C71459">
              <w:rPr>
                <w:rFonts w:ascii="Arial" w:hAnsi="Arial" w:cs="Arial"/>
                <w:color w:val="000000" w:themeColor="text1"/>
                <w:sz w:val="22"/>
                <w:szCs w:val="22"/>
              </w:rPr>
              <w:t>.</w:t>
            </w:r>
          </w:p>
        </w:tc>
        <w:tc>
          <w:tcPr>
            <w:tcW w:w="2263" w:type="dxa"/>
            <w:vAlign w:val="center"/>
          </w:tcPr>
          <w:p w14:paraId="554F576E"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I</w:t>
            </w:r>
          </w:p>
        </w:tc>
      </w:tr>
      <w:tr w:rsidR="006F4FD2" w:rsidRPr="009B78DA" w14:paraId="1E0CFF63" w14:textId="77777777" w:rsidTr="00C71459">
        <w:tc>
          <w:tcPr>
            <w:tcW w:w="6799" w:type="dxa"/>
            <w:vAlign w:val="center"/>
          </w:tcPr>
          <w:p w14:paraId="4AF14C5D" w14:textId="084068E9" w:rsidR="00FE16ED" w:rsidRPr="009B78DA" w:rsidRDefault="00FE16ED" w:rsidP="00C71459">
            <w:pPr>
              <w:spacing w:before="40" w:after="40" w:line="276" w:lineRule="auto"/>
              <w:rPr>
                <w:rFonts w:ascii="Arial" w:hAnsi="Arial" w:cs="Arial"/>
                <w:color w:val="000000" w:themeColor="text1"/>
                <w:sz w:val="22"/>
                <w:szCs w:val="22"/>
              </w:rPr>
            </w:pPr>
            <w:r w:rsidRPr="009B78DA">
              <w:rPr>
                <w:rFonts w:ascii="Arial" w:hAnsi="Arial" w:cs="Arial"/>
                <w:color w:val="000000" w:themeColor="text1"/>
                <w:sz w:val="22"/>
                <w:szCs w:val="22"/>
              </w:rPr>
              <w:t>Mały wpływ. Potrzebne d</w:t>
            </w:r>
            <w:r w:rsidR="00C71459">
              <w:rPr>
                <w:rFonts w:ascii="Arial" w:hAnsi="Arial" w:cs="Arial"/>
                <w:color w:val="000000" w:themeColor="text1"/>
                <w:sz w:val="22"/>
                <w:szCs w:val="22"/>
              </w:rPr>
              <w:t>ziałania zaradcze i korygujące.</w:t>
            </w:r>
          </w:p>
        </w:tc>
        <w:tc>
          <w:tcPr>
            <w:tcW w:w="2263" w:type="dxa"/>
            <w:vAlign w:val="center"/>
          </w:tcPr>
          <w:p w14:paraId="260B6421"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II</w:t>
            </w:r>
          </w:p>
        </w:tc>
      </w:tr>
      <w:tr w:rsidR="006F4FD2" w:rsidRPr="009B78DA" w14:paraId="44F4D2F1" w14:textId="77777777" w:rsidTr="00C71459">
        <w:tc>
          <w:tcPr>
            <w:tcW w:w="6799" w:type="dxa"/>
            <w:vAlign w:val="center"/>
          </w:tcPr>
          <w:p w14:paraId="73AE31AF" w14:textId="1DF1D67C" w:rsidR="00FE16ED" w:rsidRPr="009B78DA" w:rsidRDefault="00FE16ED" w:rsidP="00C71459">
            <w:pPr>
              <w:spacing w:before="40" w:after="40" w:line="276" w:lineRule="auto"/>
              <w:rPr>
                <w:rFonts w:ascii="Arial" w:hAnsi="Arial" w:cs="Arial"/>
                <w:color w:val="000000" w:themeColor="text1"/>
                <w:sz w:val="22"/>
                <w:szCs w:val="22"/>
              </w:rPr>
            </w:pPr>
            <w:r w:rsidRPr="009B78DA">
              <w:rPr>
                <w:rFonts w:ascii="Arial" w:hAnsi="Arial" w:cs="Arial"/>
                <w:color w:val="000000" w:themeColor="text1"/>
                <w:sz w:val="22"/>
                <w:szCs w:val="22"/>
              </w:rPr>
              <w:t>Umiarkowany wpływ. Negatywne oddziaływanie w średnim lub długim terminie. Zmaterializowanym sku</w:t>
            </w:r>
            <w:r w:rsidR="00C71459">
              <w:rPr>
                <w:rFonts w:ascii="Arial" w:hAnsi="Arial" w:cs="Arial"/>
                <w:color w:val="000000" w:themeColor="text1"/>
                <w:sz w:val="22"/>
                <w:szCs w:val="22"/>
              </w:rPr>
              <w:t>tkom można skutecznie zaradzić.</w:t>
            </w:r>
          </w:p>
        </w:tc>
        <w:tc>
          <w:tcPr>
            <w:tcW w:w="2263" w:type="dxa"/>
            <w:vAlign w:val="center"/>
          </w:tcPr>
          <w:p w14:paraId="7CB4F3AB"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III</w:t>
            </w:r>
          </w:p>
        </w:tc>
      </w:tr>
      <w:tr w:rsidR="006F4FD2" w:rsidRPr="009B78DA" w14:paraId="7E48CB1B" w14:textId="77777777" w:rsidTr="00C71459">
        <w:tc>
          <w:tcPr>
            <w:tcW w:w="6799" w:type="dxa"/>
            <w:vAlign w:val="center"/>
          </w:tcPr>
          <w:p w14:paraId="7F4D5012" w14:textId="582B12C7" w:rsidR="00FE16ED" w:rsidRPr="009B78DA" w:rsidRDefault="00FE16ED" w:rsidP="00C71459">
            <w:pPr>
              <w:spacing w:before="40" w:after="40" w:line="276" w:lineRule="auto"/>
              <w:rPr>
                <w:rFonts w:ascii="Arial" w:hAnsi="Arial" w:cs="Arial"/>
                <w:color w:val="000000" w:themeColor="text1"/>
                <w:sz w:val="22"/>
                <w:szCs w:val="22"/>
              </w:rPr>
            </w:pPr>
            <w:r w:rsidRPr="009B78DA">
              <w:rPr>
                <w:rFonts w:ascii="Arial" w:hAnsi="Arial" w:cs="Arial"/>
                <w:color w:val="000000" w:themeColor="text1"/>
                <w:sz w:val="22"/>
                <w:szCs w:val="22"/>
              </w:rPr>
              <w:t>Duży wpływ. Wystąpienie ryzyka może zniweczyć podstawowe funkcje Programu, a działania zaradcze mogą nie by</w:t>
            </w:r>
            <w:r w:rsidR="00C71459">
              <w:rPr>
                <w:rFonts w:ascii="Arial" w:hAnsi="Arial" w:cs="Arial"/>
                <w:color w:val="000000" w:themeColor="text1"/>
                <w:sz w:val="22"/>
                <w:szCs w:val="22"/>
              </w:rPr>
              <w:t>ć w stanie zniwelować skutków.</w:t>
            </w:r>
          </w:p>
        </w:tc>
        <w:tc>
          <w:tcPr>
            <w:tcW w:w="2263" w:type="dxa"/>
            <w:vAlign w:val="center"/>
          </w:tcPr>
          <w:p w14:paraId="5405D1A7"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IV</w:t>
            </w:r>
          </w:p>
        </w:tc>
      </w:tr>
      <w:tr w:rsidR="00FE16ED" w:rsidRPr="009B78DA" w14:paraId="3EC88864" w14:textId="77777777" w:rsidTr="00C71459">
        <w:tc>
          <w:tcPr>
            <w:tcW w:w="6799" w:type="dxa"/>
            <w:vAlign w:val="center"/>
          </w:tcPr>
          <w:p w14:paraId="49A4CA09" w14:textId="3CEA192E" w:rsidR="00FE16ED" w:rsidRPr="009B78DA" w:rsidRDefault="00FE16ED" w:rsidP="00C71459">
            <w:pPr>
              <w:spacing w:before="40" w:after="40" w:line="276" w:lineRule="auto"/>
              <w:rPr>
                <w:rFonts w:ascii="Arial" w:hAnsi="Arial" w:cs="Arial"/>
                <w:color w:val="000000" w:themeColor="text1"/>
                <w:sz w:val="22"/>
                <w:szCs w:val="22"/>
              </w:rPr>
            </w:pPr>
            <w:r w:rsidRPr="009B78DA">
              <w:rPr>
                <w:rFonts w:ascii="Arial" w:hAnsi="Arial" w:cs="Arial"/>
                <w:color w:val="000000" w:themeColor="text1"/>
                <w:sz w:val="22"/>
                <w:szCs w:val="22"/>
              </w:rPr>
              <w:t>Bardzo duży wpływ. Wystąpienie ryzyka może wywołać brak realizacji Programu</w:t>
            </w:r>
            <w:r w:rsidR="009953D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 główne efekty nie zostaną osiągnięte. </w:t>
            </w:r>
          </w:p>
        </w:tc>
        <w:tc>
          <w:tcPr>
            <w:tcW w:w="2263" w:type="dxa"/>
            <w:vAlign w:val="center"/>
          </w:tcPr>
          <w:p w14:paraId="51E7A598" w14:textId="77777777" w:rsidR="00FE16ED" w:rsidRPr="009B78DA" w:rsidRDefault="00FE16ED" w:rsidP="00C71459">
            <w:pPr>
              <w:spacing w:before="40" w:after="40" w:line="276" w:lineRule="auto"/>
              <w:jc w:val="center"/>
              <w:rPr>
                <w:rFonts w:ascii="Arial" w:hAnsi="Arial" w:cs="Arial"/>
                <w:color w:val="000000" w:themeColor="text1"/>
                <w:sz w:val="22"/>
                <w:szCs w:val="22"/>
              </w:rPr>
            </w:pPr>
            <w:r w:rsidRPr="009B78DA">
              <w:rPr>
                <w:rFonts w:ascii="Arial" w:hAnsi="Arial" w:cs="Arial"/>
                <w:color w:val="000000" w:themeColor="text1"/>
                <w:sz w:val="22"/>
                <w:szCs w:val="22"/>
              </w:rPr>
              <w:t>V</w:t>
            </w:r>
          </w:p>
        </w:tc>
      </w:tr>
    </w:tbl>
    <w:p w14:paraId="43A202A6" w14:textId="096186C0" w:rsidR="007A20A8" w:rsidRPr="009B78DA" w:rsidRDefault="007A20A8" w:rsidP="0065515D">
      <w:pPr>
        <w:pStyle w:val="Legenda"/>
        <w:keepNext/>
        <w:spacing w:before="120" w:after="120" w:line="276" w:lineRule="auto"/>
        <w:rPr>
          <w:rFonts w:ascii="Arial" w:hAnsi="Arial" w:cs="Arial"/>
          <w:i w:val="0"/>
          <w:color w:val="000000" w:themeColor="text1"/>
          <w:sz w:val="22"/>
          <w:szCs w:val="22"/>
        </w:rPr>
      </w:pPr>
      <w:bookmarkStart w:id="439" w:name="_Toc146785773"/>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43</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Matryca ryzyka</w:t>
      </w:r>
      <w:bookmarkEnd w:id="439"/>
    </w:p>
    <w:tbl>
      <w:tblPr>
        <w:tblStyle w:val="Tabela-Siatka"/>
        <w:tblW w:w="5000" w:type="pct"/>
        <w:tblLook w:val="04A0" w:firstRow="1" w:lastRow="0" w:firstColumn="1" w:lastColumn="0" w:noHBand="0" w:noVBand="1"/>
        <w:tblCaption w:val="Tabela 43 Matryca ryzyka"/>
        <w:tblDescription w:val="Tabela zawiera Siła oddziaływania: I, II, III, IV, V"/>
      </w:tblPr>
      <w:tblGrid>
        <w:gridCol w:w="987"/>
        <w:gridCol w:w="424"/>
        <w:gridCol w:w="1135"/>
        <w:gridCol w:w="1135"/>
        <w:gridCol w:w="1700"/>
        <w:gridCol w:w="1843"/>
        <w:gridCol w:w="1838"/>
      </w:tblGrid>
      <w:tr w:rsidR="006F4FD2" w:rsidRPr="009B78DA" w14:paraId="0113866E" w14:textId="77777777" w:rsidTr="0065515D">
        <w:trPr>
          <w:trHeight w:val="433"/>
          <w:tblHeader/>
        </w:trPr>
        <w:tc>
          <w:tcPr>
            <w:tcW w:w="779" w:type="pct"/>
            <w:gridSpan w:val="2"/>
            <w:vMerge w:val="restart"/>
            <w:tcBorders>
              <w:tl2br w:val="nil"/>
            </w:tcBorders>
            <w:shd w:val="clear" w:color="auto" w:fill="DEEAF6" w:themeFill="accent1" w:themeFillTint="33"/>
            <w:vAlign w:val="center"/>
          </w:tcPr>
          <w:p w14:paraId="61F879F5" w14:textId="77777777" w:rsidR="00FE16ED" w:rsidRPr="009B78DA" w:rsidRDefault="00FE16ED" w:rsidP="0065515D">
            <w:pPr>
              <w:spacing w:line="276" w:lineRule="auto"/>
              <w:rPr>
                <w:rFonts w:ascii="Arial" w:hAnsi="Arial" w:cs="Arial"/>
                <w:b/>
                <w:bCs/>
                <w:color w:val="000000" w:themeColor="text1"/>
                <w:sz w:val="22"/>
                <w:szCs w:val="22"/>
              </w:rPr>
            </w:pPr>
          </w:p>
        </w:tc>
        <w:tc>
          <w:tcPr>
            <w:tcW w:w="4221" w:type="pct"/>
            <w:gridSpan w:val="5"/>
            <w:shd w:val="clear" w:color="auto" w:fill="DEEAF6" w:themeFill="accent1" w:themeFillTint="33"/>
            <w:vAlign w:val="center"/>
          </w:tcPr>
          <w:p w14:paraId="146BA7DD" w14:textId="77777777" w:rsidR="00FE16ED" w:rsidRPr="009B78DA" w:rsidRDefault="00FE16ED" w:rsidP="00D70C66">
            <w:pPr>
              <w:spacing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Siła oddziaływania</w:t>
            </w:r>
          </w:p>
        </w:tc>
      </w:tr>
      <w:tr w:rsidR="006F4FD2" w:rsidRPr="009B78DA" w14:paraId="599070F0" w14:textId="77777777" w:rsidTr="0065515D">
        <w:trPr>
          <w:trHeight w:val="122"/>
          <w:tblHeader/>
        </w:trPr>
        <w:tc>
          <w:tcPr>
            <w:tcW w:w="779" w:type="pct"/>
            <w:gridSpan w:val="2"/>
            <w:vMerge/>
            <w:tcBorders>
              <w:tl2br w:val="nil"/>
            </w:tcBorders>
            <w:shd w:val="clear" w:color="auto" w:fill="DEEAF6" w:themeFill="accent1" w:themeFillTint="33"/>
            <w:vAlign w:val="center"/>
          </w:tcPr>
          <w:p w14:paraId="6518E5D4" w14:textId="77777777" w:rsidR="00FE16ED" w:rsidRPr="009B78DA" w:rsidRDefault="00FE16ED" w:rsidP="00D70C66">
            <w:pPr>
              <w:spacing w:line="276" w:lineRule="auto"/>
              <w:jc w:val="right"/>
              <w:rPr>
                <w:rFonts w:ascii="Arial" w:hAnsi="Arial" w:cs="Arial"/>
                <w:b/>
                <w:bCs/>
                <w:color w:val="000000" w:themeColor="text1"/>
                <w:sz w:val="22"/>
                <w:szCs w:val="22"/>
              </w:rPr>
            </w:pPr>
          </w:p>
        </w:tc>
        <w:tc>
          <w:tcPr>
            <w:tcW w:w="626" w:type="pct"/>
            <w:shd w:val="clear" w:color="auto" w:fill="DEEAF6" w:themeFill="accent1" w:themeFillTint="33"/>
            <w:vAlign w:val="center"/>
          </w:tcPr>
          <w:p w14:paraId="0735D4E1" w14:textId="77777777" w:rsidR="00FE16ED" w:rsidRPr="009B78DA" w:rsidRDefault="00FE16ED" w:rsidP="00D70C66">
            <w:pPr>
              <w:spacing w:line="276" w:lineRule="auto"/>
              <w:jc w:val="center"/>
              <w:rPr>
                <w:rFonts w:ascii="Arial" w:hAnsi="Arial" w:cs="Arial"/>
                <w:color w:val="000000" w:themeColor="text1"/>
                <w:sz w:val="22"/>
                <w:szCs w:val="22"/>
              </w:rPr>
            </w:pPr>
            <w:r w:rsidRPr="009B78DA">
              <w:rPr>
                <w:rFonts w:ascii="Arial" w:hAnsi="Arial" w:cs="Arial"/>
                <w:b/>
                <w:bCs/>
                <w:color w:val="000000" w:themeColor="text1"/>
                <w:sz w:val="22"/>
                <w:szCs w:val="22"/>
              </w:rPr>
              <w:t>I</w:t>
            </w:r>
          </w:p>
        </w:tc>
        <w:tc>
          <w:tcPr>
            <w:tcW w:w="626" w:type="pct"/>
            <w:shd w:val="clear" w:color="auto" w:fill="DEEAF6" w:themeFill="accent1" w:themeFillTint="33"/>
            <w:vAlign w:val="center"/>
          </w:tcPr>
          <w:p w14:paraId="37347908" w14:textId="77777777" w:rsidR="00FE16ED" w:rsidRPr="009B78DA" w:rsidRDefault="00FE16ED" w:rsidP="00D70C66">
            <w:pPr>
              <w:spacing w:line="276" w:lineRule="auto"/>
              <w:jc w:val="center"/>
              <w:rPr>
                <w:rFonts w:ascii="Arial" w:hAnsi="Arial" w:cs="Arial"/>
                <w:color w:val="000000" w:themeColor="text1"/>
                <w:sz w:val="22"/>
                <w:szCs w:val="22"/>
              </w:rPr>
            </w:pPr>
            <w:r w:rsidRPr="009B78DA">
              <w:rPr>
                <w:rFonts w:ascii="Arial" w:hAnsi="Arial" w:cs="Arial"/>
                <w:b/>
                <w:bCs/>
                <w:color w:val="000000" w:themeColor="text1"/>
                <w:sz w:val="22"/>
                <w:szCs w:val="22"/>
              </w:rPr>
              <w:t>II</w:t>
            </w:r>
          </w:p>
        </w:tc>
        <w:tc>
          <w:tcPr>
            <w:tcW w:w="938" w:type="pct"/>
            <w:shd w:val="clear" w:color="auto" w:fill="DEEAF6" w:themeFill="accent1" w:themeFillTint="33"/>
            <w:vAlign w:val="center"/>
          </w:tcPr>
          <w:p w14:paraId="7313F1B5" w14:textId="77777777" w:rsidR="00FE16ED" w:rsidRPr="009B78DA" w:rsidRDefault="00FE16ED" w:rsidP="00D70C66">
            <w:pPr>
              <w:spacing w:line="276" w:lineRule="auto"/>
              <w:jc w:val="center"/>
              <w:rPr>
                <w:rFonts w:ascii="Arial" w:hAnsi="Arial" w:cs="Arial"/>
                <w:color w:val="000000" w:themeColor="text1"/>
                <w:sz w:val="22"/>
                <w:szCs w:val="22"/>
              </w:rPr>
            </w:pPr>
            <w:r w:rsidRPr="009B78DA">
              <w:rPr>
                <w:rFonts w:ascii="Arial" w:hAnsi="Arial" w:cs="Arial"/>
                <w:b/>
                <w:bCs/>
                <w:color w:val="000000" w:themeColor="text1"/>
                <w:sz w:val="22"/>
                <w:szCs w:val="22"/>
              </w:rPr>
              <w:t>III</w:t>
            </w:r>
          </w:p>
        </w:tc>
        <w:tc>
          <w:tcPr>
            <w:tcW w:w="1017" w:type="pct"/>
            <w:shd w:val="clear" w:color="auto" w:fill="DEEAF6" w:themeFill="accent1" w:themeFillTint="33"/>
            <w:vAlign w:val="center"/>
          </w:tcPr>
          <w:p w14:paraId="5F2CA9BC" w14:textId="77777777" w:rsidR="00FE16ED" w:rsidRPr="009B78DA" w:rsidRDefault="00FE16ED" w:rsidP="00D70C66">
            <w:pPr>
              <w:spacing w:line="276" w:lineRule="auto"/>
              <w:jc w:val="center"/>
              <w:rPr>
                <w:rFonts w:ascii="Arial" w:hAnsi="Arial" w:cs="Arial"/>
                <w:color w:val="000000" w:themeColor="text1"/>
                <w:sz w:val="22"/>
                <w:szCs w:val="22"/>
              </w:rPr>
            </w:pPr>
            <w:r w:rsidRPr="009B78DA">
              <w:rPr>
                <w:rFonts w:ascii="Arial" w:hAnsi="Arial" w:cs="Arial"/>
                <w:b/>
                <w:bCs/>
                <w:color w:val="000000" w:themeColor="text1"/>
                <w:sz w:val="22"/>
                <w:szCs w:val="22"/>
              </w:rPr>
              <w:t>IV</w:t>
            </w:r>
          </w:p>
        </w:tc>
        <w:tc>
          <w:tcPr>
            <w:tcW w:w="1014" w:type="pct"/>
            <w:shd w:val="clear" w:color="auto" w:fill="DEEAF6" w:themeFill="accent1" w:themeFillTint="33"/>
            <w:vAlign w:val="center"/>
          </w:tcPr>
          <w:p w14:paraId="4F786A3C" w14:textId="77777777" w:rsidR="00FE16ED" w:rsidRPr="009B78DA" w:rsidRDefault="00FE16ED" w:rsidP="00D70C66">
            <w:pPr>
              <w:spacing w:line="276" w:lineRule="auto"/>
              <w:jc w:val="center"/>
              <w:rPr>
                <w:rFonts w:ascii="Arial" w:hAnsi="Arial" w:cs="Arial"/>
                <w:color w:val="000000" w:themeColor="text1"/>
                <w:sz w:val="22"/>
                <w:szCs w:val="22"/>
              </w:rPr>
            </w:pPr>
            <w:r w:rsidRPr="009B78DA">
              <w:rPr>
                <w:rFonts w:ascii="Arial" w:hAnsi="Arial" w:cs="Arial"/>
                <w:b/>
                <w:bCs/>
                <w:color w:val="000000" w:themeColor="text1"/>
                <w:sz w:val="22"/>
                <w:szCs w:val="22"/>
              </w:rPr>
              <w:t>V</w:t>
            </w:r>
          </w:p>
        </w:tc>
      </w:tr>
      <w:tr w:rsidR="006F4FD2" w:rsidRPr="009B78DA" w14:paraId="0CFAD710" w14:textId="77777777" w:rsidTr="0065515D">
        <w:trPr>
          <w:trHeight w:val="496"/>
        </w:trPr>
        <w:tc>
          <w:tcPr>
            <w:tcW w:w="545" w:type="pct"/>
            <w:vMerge w:val="restart"/>
            <w:textDirection w:val="btLr"/>
            <w:vAlign w:val="center"/>
          </w:tcPr>
          <w:p w14:paraId="15498BAB" w14:textId="77777777" w:rsidR="00FE16ED" w:rsidRPr="009B78DA" w:rsidRDefault="00FE16ED" w:rsidP="00D70C66">
            <w:pPr>
              <w:ind w:left="113" w:right="113"/>
              <w:rPr>
                <w:rFonts w:ascii="Arial" w:hAnsi="Arial" w:cs="Arial"/>
                <w:b/>
                <w:bCs/>
                <w:color w:val="000000" w:themeColor="text1"/>
                <w:sz w:val="22"/>
                <w:szCs w:val="22"/>
              </w:rPr>
            </w:pPr>
            <w:r w:rsidRPr="009B78DA">
              <w:rPr>
                <w:rFonts w:ascii="Arial" w:hAnsi="Arial" w:cs="Arial"/>
                <w:b/>
                <w:bCs/>
                <w:color w:val="000000" w:themeColor="text1"/>
                <w:sz w:val="22"/>
                <w:szCs w:val="22"/>
              </w:rPr>
              <w:t>Prawdopodobieństwo</w:t>
            </w:r>
          </w:p>
        </w:tc>
        <w:tc>
          <w:tcPr>
            <w:tcW w:w="233" w:type="pct"/>
            <w:vAlign w:val="center"/>
          </w:tcPr>
          <w:p w14:paraId="417FE8DA" w14:textId="77777777" w:rsidR="00FE16ED" w:rsidRPr="009B78DA" w:rsidRDefault="00FE16ED" w:rsidP="00D70C66">
            <w:pPr>
              <w:spacing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A</w:t>
            </w:r>
          </w:p>
        </w:tc>
        <w:tc>
          <w:tcPr>
            <w:tcW w:w="626" w:type="pct"/>
            <w:shd w:val="clear" w:color="auto" w:fill="E2EFD9" w:themeFill="accent6" w:themeFillTint="33"/>
            <w:vAlign w:val="center"/>
          </w:tcPr>
          <w:p w14:paraId="6314C2D8"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Niski </w:t>
            </w:r>
          </w:p>
        </w:tc>
        <w:tc>
          <w:tcPr>
            <w:tcW w:w="626" w:type="pct"/>
            <w:shd w:val="clear" w:color="auto" w:fill="E2EFD9" w:themeFill="accent6" w:themeFillTint="33"/>
            <w:vAlign w:val="center"/>
          </w:tcPr>
          <w:p w14:paraId="2E83B588"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Niski</w:t>
            </w:r>
          </w:p>
        </w:tc>
        <w:tc>
          <w:tcPr>
            <w:tcW w:w="938" w:type="pct"/>
            <w:shd w:val="clear" w:color="auto" w:fill="E2EFD9" w:themeFill="accent6" w:themeFillTint="33"/>
            <w:vAlign w:val="center"/>
          </w:tcPr>
          <w:p w14:paraId="0DD7ECD0"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Niski</w:t>
            </w:r>
          </w:p>
        </w:tc>
        <w:tc>
          <w:tcPr>
            <w:tcW w:w="1017" w:type="pct"/>
            <w:shd w:val="clear" w:color="auto" w:fill="E2EFD9" w:themeFill="accent6" w:themeFillTint="33"/>
            <w:vAlign w:val="center"/>
          </w:tcPr>
          <w:p w14:paraId="2FA4A933"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Niski</w:t>
            </w:r>
          </w:p>
        </w:tc>
        <w:tc>
          <w:tcPr>
            <w:tcW w:w="1014" w:type="pct"/>
            <w:shd w:val="clear" w:color="auto" w:fill="FFF2CC" w:themeFill="accent4" w:themeFillTint="33"/>
            <w:vAlign w:val="center"/>
          </w:tcPr>
          <w:p w14:paraId="5AFBE7DC"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Średni</w:t>
            </w:r>
          </w:p>
        </w:tc>
      </w:tr>
      <w:tr w:rsidR="006F4FD2" w:rsidRPr="009B78DA" w14:paraId="2E57C140" w14:textId="77777777" w:rsidTr="0065515D">
        <w:trPr>
          <w:trHeight w:val="522"/>
        </w:trPr>
        <w:tc>
          <w:tcPr>
            <w:tcW w:w="545" w:type="pct"/>
            <w:vMerge/>
            <w:vAlign w:val="center"/>
          </w:tcPr>
          <w:p w14:paraId="0E19491F" w14:textId="77777777" w:rsidR="00FE16ED" w:rsidRPr="009B78DA" w:rsidRDefault="00FE16ED" w:rsidP="00D70C66">
            <w:pPr>
              <w:spacing w:line="276" w:lineRule="auto"/>
              <w:rPr>
                <w:rFonts w:ascii="Arial" w:hAnsi="Arial" w:cs="Arial"/>
                <w:b/>
                <w:bCs/>
                <w:color w:val="000000" w:themeColor="text1"/>
                <w:sz w:val="22"/>
                <w:szCs w:val="22"/>
              </w:rPr>
            </w:pPr>
          </w:p>
        </w:tc>
        <w:tc>
          <w:tcPr>
            <w:tcW w:w="233" w:type="pct"/>
            <w:vAlign w:val="center"/>
          </w:tcPr>
          <w:p w14:paraId="7B16E899" w14:textId="77777777" w:rsidR="00FE16ED" w:rsidRPr="009B78DA" w:rsidRDefault="00FE16ED" w:rsidP="00D70C66">
            <w:pPr>
              <w:spacing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B</w:t>
            </w:r>
          </w:p>
        </w:tc>
        <w:tc>
          <w:tcPr>
            <w:tcW w:w="626" w:type="pct"/>
            <w:shd w:val="clear" w:color="auto" w:fill="E2EFD9" w:themeFill="accent6" w:themeFillTint="33"/>
            <w:vAlign w:val="center"/>
          </w:tcPr>
          <w:p w14:paraId="38E63A95"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Niski</w:t>
            </w:r>
          </w:p>
        </w:tc>
        <w:tc>
          <w:tcPr>
            <w:tcW w:w="626" w:type="pct"/>
            <w:shd w:val="clear" w:color="auto" w:fill="E2EFD9" w:themeFill="accent6" w:themeFillTint="33"/>
            <w:vAlign w:val="center"/>
          </w:tcPr>
          <w:p w14:paraId="7362297D"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Niski</w:t>
            </w:r>
          </w:p>
        </w:tc>
        <w:tc>
          <w:tcPr>
            <w:tcW w:w="938" w:type="pct"/>
            <w:shd w:val="clear" w:color="auto" w:fill="FFF2CC" w:themeFill="accent4" w:themeFillTint="33"/>
            <w:vAlign w:val="center"/>
          </w:tcPr>
          <w:p w14:paraId="17DE8591"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Średni</w:t>
            </w:r>
          </w:p>
        </w:tc>
        <w:tc>
          <w:tcPr>
            <w:tcW w:w="1017" w:type="pct"/>
            <w:shd w:val="clear" w:color="auto" w:fill="FFF2CC" w:themeFill="accent4" w:themeFillTint="33"/>
            <w:vAlign w:val="center"/>
          </w:tcPr>
          <w:p w14:paraId="4EB6C78B"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Średni</w:t>
            </w:r>
          </w:p>
        </w:tc>
        <w:tc>
          <w:tcPr>
            <w:tcW w:w="1014" w:type="pct"/>
            <w:shd w:val="clear" w:color="auto" w:fill="FFD9D9"/>
            <w:vAlign w:val="center"/>
          </w:tcPr>
          <w:p w14:paraId="5511FE5B"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Wysoki</w:t>
            </w:r>
          </w:p>
        </w:tc>
      </w:tr>
      <w:tr w:rsidR="006F4FD2" w:rsidRPr="009B78DA" w14:paraId="75FC11FF" w14:textId="77777777" w:rsidTr="0065515D">
        <w:trPr>
          <w:trHeight w:val="549"/>
        </w:trPr>
        <w:tc>
          <w:tcPr>
            <w:tcW w:w="545" w:type="pct"/>
            <w:vMerge/>
            <w:vAlign w:val="center"/>
          </w:tcPr>
          <w:p w14:paraId="779D8612" w14:textId="77777777" w:rsidR="00FE16ED" w:rsidRPr="009B78DA" w:rsidRDefault="00FE16ED" w:rsidP="00D70C66">
            <w:pPr>
              <w:spacing w:line="276" w:lineRule="auto"/>
              <w:rPr>
                <w:rFonts w:ascii="Arial" w:hAnsi="Arial" w:cs="Arial"/>
                <w:b/>
                <w:bCs/>
                <w:color w:val="000000" w:themeColor="text1"/>
                <w:sz w:val="22"/>
                <w:szCs w:val="22"/>
              </w:rPr>
            </w:pPr>
          </w:p>
        </w:tc>
        <w:tc>
          <w:tcPr>
            <w:tcW w:w="233" w:type="pct"/>
            <w:vAlign w:val="center"/>
          </w:tcPr>
          <w:p w14:paraId="712D47DD" w14:textId="77777777" w:rsidR="00FE16ED" w:rsidRPr="009B78DA" w:rsidRDefault="00FE16ED" w:rsidP="00D70C66">
            <w:pPr>
              <w:spacing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C</w:t>
            </w:r>
          </w:p>
        </w:tc>
        <w:tc>
          <w:tcPr>
            <w:tcW w:w="626" w:type="pct"/>
            <w:shd w:val="clear" w:color="auto" w:fill="E2EFD9" w:themeFill="accent6" w:themeFillTint="33"/>
            <w:vAlign w:val="center"/>
          </w:tcPr>
          <w:p w14:paraId="712AD5B4"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Niski</w:t>
            </w:r>
          </w:p>
        </w:tc>
        <w:tc>
          <w:tcPr>
            <w:tcW w:w="626" w:type="pct"/>
            <w:shd w:val="clear" w:color="auto" w:fill="FFF2CC" w:themeFill="accent4" w:themeFillTint="33"/>
            <w:vAlign w:val="center"/>
          </w:tcPr>
          <w:p w14:paraId="1355544D"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Średni</w:t>
            </w:r>
          </w:p>
        </w:tc>
        <w:tc>
          <w:tcPr>
            <w:tcW w:w="938" w:type="pct"/>
            <w:shd w:val="clear" w:color="auto" w:fill="FFF2CC" w:themeFill="accent4" w:themeFillTint="33"/>
            <w:vAlign w:val="center"/>
          </w:tcPr>
          <w:p w14:paraId="4B8FD5D4"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Średni</w:t>
            </w:r>
          </w:p>
        </w:tc>
        <w:tc>
          <w:tcPr>
            <w:tcW w:w="1017" w:type="pct"/>
            <w:shd w:val="clear" w:color="auto" w:fill="FFD9D9"/>
            <w:vAlign w:val="center"/>
          </w:tcPr>
          <w:p w14:paraId="680B0745"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Wysoki</w:t>
            </w:r>
          </w:p>
        </w:tc>
        <w:tc>
          <w:tcPr>
            <w:tcW w:w="1014" w:type="pct"/>
            <w:shd w:val="clear" w:color="auto" w:fill="FFD9D9"/>
            <w:vAlign w:val="center"/>
          </w:tcPr>
          <w:p w14:paraId="0A22D96E"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Wysoki</w:t>
            </w:r>
          </w:p>
        </w:tc>
      </w:tr>
      <w:tr w:rsidR="006F4FD2" w:rsidRPr="009B78DA" w14:paraId="223CF72A" w14:textId="77777777" w:rsidTr="0065515D">
        <w:trPr>
          <w:trHeight w:val="522"/>
        </w:trPr>
        <w:tc>
          <w:tcPr>
            <w:tcW w:w="545" w:type="pct"/>
            <w:vMerge/>
            <w:vAlign w:val="center"/>
          </w:tcPr>
          <w:p w14:paraId="624B56F3" w14:textId="77777777" w:rsidR="00FE16ED" w:rsidRPr="009B78DA" w:rsidRDefault="00FE16ED" w:rsidP="00D70C66">
            <w:pPr>
              <w:spacing w:line="276" w:lineRule="auto"/>
              <w:rPr>
                <w:rFonts w:ascii="Arial" w:hAnsi="Arial" w:cs="Arial"/>
                <w:b/>
                <w:bCs/>
                <w:color w:val="000000" w:themeColor="text1"/>
                <w:sz w:val="22"/>
                <w:szCs w:val="22"/>
              </w:rPr>
            </w:pPr>
          </w:p>
        </w:tc>
        <w:tc>
          <w:tcPr>
            <w:tcW w:w="233" w:type="pct"/>
            <w:vAlign w:val="center"/>
          </w:tcPr>
          <w:p w14:paraId="7F539718" w14:textId="77777777" w:rsidR="00FE16ED" w:rsidRPr="009B78DA" w:rsidRDefault="00FE16ED" w:rsidP="00D70C66">
            <w:pPr>
              <w:spacing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D</w:t>
            </w:r>
          </w:p>
        </w:tc>
        <w:tc>
          <w:tcPr>
            <w:tcW w:w="626" w:type="pct"/>
            <w:shd w:val="clear" w:color="auto" w:fill="E2EFD9" w:themeFill="accent6" w:themeFillTint="33"/>
            <w:vAlign w:val="center"/>
          </w:tcPr>
          <w:p w14:paraId="44D8665C"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Niski</w:t>
            </w:r>
          </w:p>
        </w:tc>
        <w:tc>
          <w:tcPr>
            <w:tcW w:w="626" w:type="pct"/>
            <w:shd w:val="clear" w:color="auto" w:fill="FFF2CC" w:themeFill="accent4" w:themeFillTint="33"/>
            <w:vAlign w:val="center"/>
          </w:tcPr>
          <w:p w14:paraId="3CDBADF7"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Średni</w:t>
            </w:r>
          </w:p>
        </w:tc>
        <w:tc>
          <w:tcPr>
            <w:tcW w:w="938" w:type="pct"/>
            <w:shd w:val="clear" w:color="auto" w:fill="FFD9D9"/>
            <w:vAlign w:val="center"/>
          </w:tcPr>
          <w:p w14:paraId="52ADAEB4"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Wysoki</w:t>
            </w:r>
          </w:p>
        </w:tc>
        <w:tc>
          <w:tcPr>
            <w:tcW w:w="1017" w:type="pct"/>
            <w:shd w:val="clear" w:color="auto" w:fill="E1A3C2"/>
            <w:vAlign w:val="center"/>
          </w:tcPr>
          <w:p w14:paraId="6C13FE4A" w14:textId="77777777" w:rsidR="00FE16ED" w:rsidRPr="009B78DA" w:rsidRDefault="00FE16ED" w:rsidP="00D70C66">
            <w:pPr>
              <w:spacing w:line="276" w:lineRule="auto"/>
              <w:rPr>
                <w:rFonts w:ascii="Arial" w:hAnsi="Arial" w:cs="Arial"/>
                <w:b/>
                <w:bCs/>
                <w:color w:val="000000" w:themeColor="text1"/>
                <w:sz w:val="22"/>
                <w:szCs w:val="22"/>
              </w:rPr>
            </w:pPr>
            <w:r w:rsidRPr="009B78DA">
              <w:rPr>
                <w:rFonts w:ascii="Arial" w:hAnsi="Arial" w:cs="Arial"/>
                <w:color w:val="000000" w:themeColor="text1"/>
                <w:sz w:val="22"/>
                <w:szCs w:val="22"/>
              </w:rPr>
              <w:t>Bardzo wysoki</w:t>
            </w:r>
          </w:p>
        </w:tc>
        <w:tc>
          <w:tcPr>
            <w:tcW w:w="1014" w:type="pct"/>
            <w:shd w:val="clear" w:color="auto" w:fill="E1A3C2"/>
            <w:vAlign w:val="center"/>
          </w:tcPr>
          <w:p w14:paraId="560F40FC"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Bardzo wysoki</w:t>
            </w:r>
          </w:p>
        </w:tc>
      </w:tr>
      <w:tr w:rsidR="006F4FD2" w:rsidRPr="009B78DA" w14:paraId="025D5225" w14:textId="77777777" w:rsidTr="0065515D">
        <w:trPr>
          <w:trHeight w:val="496"/>
        </w:trPr>
        <w:tc>
          <w:tcPr>
            <w:tcW w:w="545" w:type="pct"/>
            <w:vMerge/>
            <w:vAlign w:val="center"/>
          </w:tcPr>
          <w:p w14:paraId="17E2C427" w14:textId="77777777" w:rsidR="00FE16ED" w:rsidRPr="009B78DA" w:rsidRDefault="00FE16ED" w:rsidP="00D70C66">
            <w:pPr>
              <w:spacing w:line="276" w:lineRule="auto"/>
              <w:rPr>
                <w:rFonts w:ascii="Arial" w:hAnsi="Arial" w:cs="Arial"/>
                <w:b/>
                <w:bCs/>
                <w:color w:val="000000" w:themeColor="text1"/>
                <w:sz w:val="22"/>
                <w:szCs w:val="22"/>
              </w:rPr>
            </w:pPr>
          </w:p>
        </w:tc>
        <w:tc>
          <w:tcPr>
            <w:tcW w:w="233" w:type="pct"/>
            <w:vAlign w:val="center"/>
          </w:tcPr>
          <w:p w14:paraId="718BC0FD" w14:textId="77777777" w:rsidR="00FE16ED" w:rsidRPr="009B78DA" w:rsidRDefault="00FE16ED" w:rsidP="00D70C66">
            <w:pPr>
              <w:spacing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E</w:t>
            </w:r>
          </w:p>
        </w:tc>
        <w:tc>
          <w:tcPr>
            <w:tcW w:w="626" w:type="pct"/>
            <w:shd w:val="clear" w:color="auto" w:fill="FFF2CC" w:themeFill="accent4" w:themeFillTint="33"/>
            <w:vAlign w:val="center"/>
          </w:tcPr>
          <w:p w14:paraId="1977AC4A"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Średni</w:t>
            </w:r>
          </w:p>
        </w:tc>
        <w:tc>
          <w:tcPr>
            <w:tcW w:w="626" w:type="pct"/>
            <w:shd w:val="clear" w:color="auto" w:fill="FFD9D9"/>
            <w:vAlign w:val="center"/>
          </w:tcPr>
          <w:p w14:paraId="1F194875"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Wysoki</w:t>
            </w:r>
          </w:p>
        </w:tc>
        <w:tc>
          <w:tcPr>
            <w:tcW w:w="938" w:type="pct"/>
            <w:shd w:val="clear" w:color="auto" w:fill="E1A3C2"/>
            <w:vAlign w:val="center"/>
          </w:tcPr>
          <w:p w14:paraId="27FD8579"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Bardzo wysoki</w:t>
            </w:r>
          </w:p>
        </w:tc>
        <w:tc>
          <w:tcPr>
            <w:tcW w:w="1017" w:type="pct"/>
            <w:shd w:val="clear" w:color="auto" w:fill="E1A3C2"/>
            <w:vAlign w:val="center"/>
          </w:tcPr>
          <w:p w14:paraId="43F64C0C" w14:textId="77777777" w:rsidR="00FE16ED" w:rsidRPr="009B78DA" w:rsidRDefault="00FE16ED" w:rsidP="00D70C66">
            <w:pPr>
              <w:spacing w:line="276" w:lineRule="auto"/>
              <w:rPr>
                <w:rFonts w:ascii="Arial" w:hAnsi="Arial" w:cs="Arial"/>
                <w:b/>
                <w:bCs/>
                <w:color w:val="000000" w:themeColor="text1"/>
                <w:sz w:val="22"/>
                <w:szCs w:val="22"/>
              </w:rPr>
            </w:pPr>
            <w:r w:rsidRPr="009B78DA">
              <w:rPr>
                <w:rFonts w:ascii="Arial" w:hAnsi="Arial" w:cs="Arial"/>
                <w:color w:val="000000" w:themeColor="text1"/>
                <w:sz w:val="22"/>
                <w:szCs w:val="22"/>
              </w:rPr>
              <w:t>Bardzo wysoki</w:t>
            </w:r>
          </w:p>
        </w:tc>
        <w:tc>
          <w:tcPr>
            <w:tcW w:w="1014" w:type="pct"/>
            <w:shd w:val="clear" w:color="auto" w:fill="E1A3C2"/>
            <w:vAlign w:val="center"/>
          </w:tcPr>
          <w:p w14:paraId="5AD04113" w14:textId="77777777" w:rsidR="00FE16ED" w:rsidRPr="009B78DA" w:rsidRDefault="00FE16ED" w:rsidP="00D70C66">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Bardzo wysoki</w:t>
            </w:r>
          </w:p>
        </w:tc>
      </w:tr>
    </w:tbl>
    <w:p w14:paraId="102EAC33" w14:textId="4FE1D53F" w:rsidR="007A20A8" w:rsidRPr="009B78DA" w:rsidRDefault="007A20A8" w:rsidP="0065515D">
      <w:pPr>
        <w:pStyle w:val="Legenda"/>
        <w:keepNext/>
        <w:spacing w:before="120" w:after="120" w:line="276" w:lineRule="auto"/>
        <w:rPr>
          <w:rFonts w:ascii="Arial" w:hAnsi="Arial" w:cs="Arial"/>
          <w:i w:val="0"/>
          <w:color w:val="000000" w:themeColor="text1"/>
          <w:sz w:val="22"/>
          <w:szCs w:val="22"/>
        </w:rPr>
      </w:pPr>
      <w:bookmarkStart w:id="440" w:name="_Toc146785774"/>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44</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Ocena ryzyka</w:t>
      </w:r>
      <w:bookmarkEnd w:id="440"/>
    </w:p>
    <w:p w14:paraId="4286B117" w14:textId="04539A7C" w:rsidR="00FE16ED" w:rsidRDefault="0065515D" w:rsidP="0065515D">
      <w:pPr>
        <w:spacing w:after="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POLITYCZNE I PRAWNE</w:t>
      </w:r>
    </w:p>
    <w:tbl>
      <w:tblPr>
        <w:tblStyle w:val="Tabela-Siatka"/>
        <w:tblW w:w="0" w:type="auto"/>
        <w:tblLook w:val="04A0" w:firstRow="1" w:lastRow="0" w:firstColumn="1" w:lastColumn="0" w:noHBand="0" w:noVBand="1"/>
        <w:tblCaption w:val="Tabela 44 Ocena ryzyka - POLITYCZNE I PRAWNE"/>
        <w:tblDescription w:val="Tabela zawiera Lp., Opis Ryzyka, Skala prawdopodobieństwa, Siła oddziaływania"/>
      </w:tblPr>
      <w:tblGrid>
        <w:gridCol w:w="546"/>
        <w:gridCol w:w="4330"/>
        <w:gridCol w:w="2478"/>
        <w:gridCol w:w="1708"/>
      </w:tblGrid>
      <w:tr w:rsidR="0065515D" w:rsidRPr="009B78DA" w14:paraId="585D4EEF" w14:textId="77777777" w:rsidTr="0065515D">
        <w:trPr>
          <w:cantSplit/>
          <w:tblHeader/>
        </w:trPr>
        <w:tc>
          <w:tcPr>
            <w:tcW w:w="546" w:type="dxa"/>
            <w:shd w:val="clear" w:color="auto" w:fill="DEEAF6" w:themeFill="accent1" w:themeFillTint="33"/>
          </w:tcPr>
          <w:p w14:paraId="1C2E4209" w14:textId="77777777" w:rsidR="0065515D" w:rsidRPr="009B78DA" w:rsidRDefault="0065515D" w:rsidP="00070C2E">
            <w:pPr>
              <w:rPr>
                <w:rFonts w:ascii="Arial" w:hAnsi="Arial" w:cs="Arial"/>
                <w:b/>
                <w:bCs/>
                <w:color w:val="000000" w:themeColor="text1"/>
                <w:sz w:val="22"/>
                <w:szCs w:val="22"/>
              </w:rPr>
            </w:pPr>
            <w:r w:rsidRPr="009B78DA">
              <w:rPr>
                <w:rFonts w:ascii="Arial" w:hAnsi="Arial" w:cs="Arial"/>
                <w:b/>
                <w:bCs/>
                <w:color w:val="000000" w:themeColor="text1"/>
                <w:sz w:val="22"/>
                <w:szCs w:val="22"/>
              </w:rPr>
              <w:t>Lp.</w:t>
            </w:r>
          </w:p>
        </w:tc>
        <w:tc>
          <w:tcPr>
            <w:tcW w:w="4330" w:type="dxa"/>
            <w:shd w:val="clear" w:color="auto" w:fill="DEEAF6" w:themeFill="accent1" w:themeFillTint="33"/>
          </w:tcPr>
          <w:p w14:paraId="35A821F2" w14:textId="77777777" w:rsidR="0065515D" w:rsidRPr="009B78DA" w:rsidRDefault="0065515D"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Opis Ryzyka</w:t>
            </w:r>
          </w:p>
        </w:tc>
        <w:tc>
          <w:tcPr>
            <w:tcW w:w="2478" w:type="dxa"/>
            <w:shd w:val="clear" w:color="auto" w:fill="DEEAF6" w:themeFill="accent1" w:themeFillTint="33"/>
          </w:tcPr>
          <w:p w14:paraId="0E2B101E" w14:textId="77777777" w:rsidR="0065515D" w:rsidRPr="009B78DA" w:rsidRDefault="0065515D"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Skala prawdopodobieństwa</w:t>
            </w:r>
          </w:p>
        </w:tc>
        <w:tc>
          <w:tcPr>
            <w:tcW w:w="1708" w:type="dxa"/>
            <w:shd w:val="clear" w:color="auto" w:fill="DEEAF6" w:themeFill="accent1" w:themeFillTint="33"/>
          </w:tcPr>
          <w:p w14:paraId="25160227" w14:textId="77777777" w:rsidR="0065515D" w:rsidRPr="009B78DA" w:rsidRDefault="0065515D"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Siła oddziaływania</w:t>
            </w:r>
          </w:p>
        </w:tc>
      </w:tr>
      <w:tr w:rsidR="0065515D" w:rsidRPr="009B78DA" w14:paraId="77890327" w14:textId="77777777" w:rsidTr="00070C2E">
        <w:trPr>
          <w:cantSplit/>
        </w:trPr>
        <w:tc>
          <w:tcPr>
            <w:tcW w:w="546" w:type="dxa"/>
            <w:shd w:val="clear" w:color="auto" w:fill="E1A3C2"/>
          </w:tcPr>
          <w:p w14:paraId="0EAA0C95"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1</w:t>
            </w:r>
          </w:p>
        </w:tc>
        <w:tc>
          <w:tcPr>
            <w:tcW w:w="4330" w:type="dxa"/>
            <w:shd w:val="clear" w:color="auto" w:fill="E1A3C2"/>
          </w:tcPr>
          <w:p w14:paraId="2CB156DE"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Wprowadzenie przez Komisję Unii Europejskiej mechanizmu warunkowości wypłat funduszy, skutkującego niedostępnością / mniejszą dostępnością środków unijnych i brakiem finansowania dla poszczególnych inwestycji i działań.</w:t>
            </w:r>
          </w:p>
        </w:tc>
        <w:tc>
          <w:tcPr>
            <w:tcW w:w="2478" w:type="dxa"/>
            <w:shd w:val="clear" w:color="auto" w:fill="E1A3C2"/>
            <w:vAlign w:val="center"/>
          </w:tcPr>
          <w:p w14:paraId="2A5E58F8"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D</w:t>
            </w:r>
          </w:p>
        </w:tc>
        <w:tc>
          <w:tcPr>
            <w:tcW w:w="1708" w:type="dxa"/>
            <w:shd w:val="clear" w:color="auto" w:fill="E1A3C2"/>
            <w:vAlign w:val="center"/>
          </w:tcPr>
          <w:p w14:paraId="0087DF2A"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IV</w:t>
            </w:r>
          </w:p>
        </w:tc>
      </w:tr>
      <w:tr w:rsidR="0065515D" w:rsidRPr="009B78DA" w14:paraId="6D11E671" w14:textId="77777777" w:rsidTr="00070C2E">
        <w:trPr>
          <w:cantSplit/>
        </w:trPr>
        <w:tc>
          <w:tcPr>
            <w:tcW w:w="546" w:type="dxa"/>
            <w:shd w:val="clear" w:color="auto" w:fill="FFD9D9"/>
          </w:tcPr>
          <w:p w14:paraId="5E4AF883"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2</w:t>
            </w:r>
          </w:p>
        </w:tc>
        <w:tc>
          <w:tcPr>
            <w:tcW w:w="4330" w:type="dxa"/>
            <w:shd w:val="clear" w:color="auto" w:fill="FFD9D9"/>
          </w:tcPr>
          <w:p w14:paraId="7D2C9D04"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Wprowadzenie przez UE zmian w polityce ekologicznej (Europejski zielony ład, pakiet „Gotowi na 55”), które zobligują państwa członkowskie do szybszej realizacji celów / większych nakładów na dążenie do neutralności klimatycznej.</w:t>
            </w:r>
          </w:p>
        </w:tc>
        <w:tc>
          <w:tcPr>
            <w:tcW w:w="2478" w:type="dxa"/>
            <w:shd w:val="clear" w:color="auto" w:fill="FFD9D9"/>
            <w:vAlign w:val="center"/>
          </w:tcPr>
          <w:p w14:paraId="3390A415"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D</w:t>
            </w:r>
          </w:p>
        </w:tc>
        <w:tc>
          <w:tcPr>
            <w:tcW w:w="1708" w:type="dxa"/>
            <w:shd w:val="clear" w:color="auto" w:fill="FFD9D9"/>
            <w:vAlign w:val="center"/>
          </w:tcPr>
          <w:p w14:paraId="4EF37665"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III</w:t>
            </w:r>
          </w:p>
        </w:tc>
      </w:tr>
      <w:tr w:rsidR="0065515D" w:rsidRPr="009B78DA" w14:paraId="7E9F034F" w14:textId="77777777" w:rsidTr="00070C2E">
        <w:trPr>
          <w:cantSplit/>
        </w:trPr>
        <w:tc>
          <w:tcPr>
            <w:tcW w:w="546" w:type="dxa"/>
            <w:shd w:val="clear" w:color="auto" w:fill="FFD9D9"/>
          </w:tcPr>
          <w:p w14:paraId="62C27083"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3</w:t>
            </w:r>
          </w:p>
        </w:tc>
        <w:tc>
          <w:tcPr>
            <w:tcW w:w="4330" w:type="dxa"/>
            <w:shd w:val="clear" w:color="auto" w:fill="FFD9D9"/>
          </w:tcPr>
          <w:p w14:paraId="58634E58"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Utrata mocy prawnej z dniem 31 grudnia 2023 r. Ustawy z dnia 10 kwietnia 2003 r. o szczególnych zasadach przygotowania i realizacji inwestycji w zakresie dróg publicznych (t.j. Dz.U.2023 poz.162</w:t>
            </w:r>
            <w:r w:rsidRPr="009B78DA">
              <w:rPr>
                <w:color w:val="000000" w:themeColor="text1"/>
              </w:rPr>
              <w:t xml:space="preserve"> </w:t>
            </w:r>
            <w:r w:rsidRPr="009B78DA">
              <w:rPr>
                <w:rFonts w:ascii="Arial" w:hAnsi="Arial" w:cs="Arial"/>
                <w:color w:val="000000" w:themeColor="text1"/>
                <w:sz w:val="22"/>
                <w:szCs w:val="22"/>
              </w:rPr>
              <w:t>z późn. zm.) skutkująca m.in. utrudnieniami w nabywaniu nieruchomości.</w:t>
            </w:r>
          </w:p>
        </w:tc>
        <w:tc>
          <w:tcPr>
            <w:tcW w:w="2478" w:type="dxa"/>
            <w:shd w:val="clear" w:color="auto" w:fill="FFD9D9"/>
            <w:vAlign w:val="center"/>
          </w:tcPr>
          <w:p w14:paraId="74C1705D"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E</w:t>
            </w:r>
          </w:p>
        </w:tc>
        <w:tc>
          <w:tcPr>
            <w:tcW w:w="1708" w:type="dxa"/>
            <w:shd w:val="clear" w:color="auto" w:fill="FFD9D9"/>
            <w:vAlign w:val="center"/>
          </w:tcPr>
          <w:p w14:paraId="3C009D4A"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w:t>
            </w:r>
          </w:p>
        </w:tc>
      </w:tr>
      <w:tr w:rsidR="0065515D" w:rsidRPr="009B78DA" w14:paraId="446515B4" w14:textId="77777777" w:rsidTr="00070C2E">
        <w:trPr>
          <w:cantSplit/>
        </w:trPr>
        <w:tc>
          <w:tcPr>
            <w:tcW w:w="546" w:type="dxa"/>
            <w:shd w:val="clear" w:color="auto" w:fill="FFD9D9"/>
          </w:tcPr>
          <w:p w14:paraId="354EEF53"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4</w:t>
            </w:r>
          </w:p>
        </w:tc>
        <w:tc>
          <w:tcPr>
            <w:tcW w:w="4330" w:type="dxa"/>
            <w:shd w:val="clear" w:color="auto" w:fill="FFD9D9"/>
          </w:tcPr>
          <w:p w14:paraId="30402649"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Zmiany w polityce fiskalnej państwa (m.in. wysokość podatków, wzrost płacy minimalnej, zmiana stóp procentowych NBP), wpływające na koszty realizacji inwestycji.</w:t>
            </w:r>
          </w:p>
        </w:tc>
        <w:tc>
          <w:tcPr>
            <w:tcW w:w="2478" w:type="dxa"/>
            <w:shd w:val="clear" w:color="auto" w:fill="FFD9D9"/>
            <w:vAlign w:val="center"/>
          </w:tcPr>
          <w:p w14:paraId="28097DE9"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D</w:t>
            </w:r>
          </w:p>
        </w:tc>
        <w:tc>
          <w:tcPr>
            <w:tcW w:w="1708" w:type="dxa"/>
            <w:shd w:val="clear" w:color="auto" w:fill="FFD9D9"/>
            <w:vAlign w:val="center"/>
          </w:tcPr>
          <w:p w14:paraId="0F3020C0"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III</w:t>
            </w:r>
          </w:p>
        </w:tc>
      </w:tr>
      <w:tr w:rsidR="0065515D" w:rsidRPr="009B78DA" w14:paraId="5EAD72E1" w14:textId="77777777" w:rsidTr="00070C2E">
        <w:trPr>
          <w:cantSplit/>
        </w:trPr>
        <w:tc>
          <w:tcPr>
            <w:tcW w:w="546" w:type="dxa"/>
            <w:shd w:val="clear" w:color="auto" w:fill="FFF2CC"/>
          </w:tcPr>
          <w:p w14:paraId="74FE7DD1"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5</w:t>
            </w:r>
          </w:p>
        </w:tc>
        <w:tc>
          <w:tcPr>
            <w:tcW w:w="4330" w:type="dxa"/>
            <w:shd w:val="clear" w:color="auto" w:fill="FFF2CC"/>
          </w:tcPr>
          <w:p w14:paraId="622DBC8D"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Zmiany wynikające z cykliczności zdarzeń politycznych (wyborów) skutkujące zmianą priorytetów programowych.</w:t>
            </w:r>
          </w:p>
        </w:tc>
        <w:tc>
          <w:tcPr>
            <w:tcW w:w="2478" w:type="dxa"/>
            <w:shd w:val="clear" w:color="auto" w:fill="FFF2CC"/>
            <w:vAlign w:val="center"/>
          </w:tcPr>
          <w:p w14:paraId="0FA7505B"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D</w:t>
            </w:r>
          </w:p>
        </w:tc>
        <w:tc>
          <w:tcPr>
            <w:tcW w:w="1708" w:type="dxa"/>
            <w:shd w:val="clear" w:color="auto" w:fill="FFF2CC"/>
            <w:vAlign w:val="center"/>
          </w:tcPr>
          <w:p w14:paraId="20C27273"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w:t>
            </w:r>
          </w:p>
        </w:tc>
      </w:tr>
      <w:tr w:rsidR="0065515D" w:rsidRPr="009B78DA" w14:paraId="352EB42F" w14:textId="77777777" w:rsidTr="00070C2E">
        <w:trPr>
          <w:cantSplit/>
        </w:trPr>
        <w:tc>
          <w:tcPr>
            <w:tcW w:w="546" w:type="dxa"/>
            <w:shd w:val="clear" w:color="auto" w:fill="E1A3C2"/>
          </w:tcPr>
          <w:p w14:paraId="3F1CF80E"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6</w:t>
            </w:r>
          </w:p>
        </w:tc>
        <w:tc>
          <w:tcPr>
            <w:tcW w:w="4330" w:type="dxa"/>
            <w:shd w:val="clear" w:color="auto" w:fill="E1A3C2"/>
          </w:tcPr>
          <w:p w14:paraId="55651484"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Niestabilna sytuacja geopolityczna na wschodniej granicy Europy (wojna na Ukrainie),</w:t>
            </w:r>
            <w:r w:rsidRPr="009B78DA">
              <w:rPr>
                <w:color w:val="000000" w:themeColor="text1"/>
              </w:rPr>
              <w:t xml:space="preserve"> </w:t>
            </w:r>
            <w:r w:rsidRPr="009B78DA">
              <w:rPr>
                <w:rFonts w:ascii="Arial" w:hAnsi="Arial" w:cs="Arial"/>
                <w:color w:val="000000" w:themeColor="text1"/>
                <w:sz w:val="22"/>
                <w:szCs w:val="22"/>
              </w:rPr>
              <w:t xml:space="preserve">wpływająca na nasilenie migracji międzynarodowych, krajowych </w:t>
            </w:r>
            <w:r w:rsidRPr="009B78DA">
              <w:rPr>
                <w:rFonts w:ascii="Arial" w:hAnsi="Arial" w:cs="Arial"/>
                <w:color w:val="000000" w:themeColor="text1"/>
                <w:sz w:val="22"/>
                <w:szCs w:val="22"/>
              </w:rPr>
              <w:br/>
              <w:t>i lokalnych i obciążenie systemu transportowego.</w:t>
            </w:r>
          </w:p>
        </w:tc>
        <w:tc>
          <w:tcPr>
            <w:tcW w:w="2478" w:type="dxa"/>
            <w:shd w:val="clear" w:color="auto" w:fill="E1A3C2"/>
            <w:vAlign w:val="center"/>
          </w:tcPr>
          <w:p w14:paraId="21D0E738"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D</w:t>
            </w:r>
          </w:p>
        </w:tc>
        <w:tc>
          <w:tcPr>
            <w:tcW w:w="1708" w:type="dxa"/>
            <w:shd w:val="clear" w:color="auto" w:fill="E1A3C2"/>
            <w:vAlign w:val="center"/>
          </w:tcPr>
          <w:p w14:paraId="66430BF5"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IV</w:t>
            </w:r>
          </w:p>
        </w:tc>
      </w:tr>
    </w:tbl>
    <w:p w14:paraId="1AC69D36" w14:textId="77777777" w:rsidR="0065515D" w:rsidRDefault="0065515D">
      <w:pPr>
        <w:rPr>
          <w:rFonts w:ascii="Arial" w:hAnsi="Arial" w:cs="Arial"/>
          <w:b/>
          <w:bCs/>
          <w:color w:val="000000" w:themeColor="text1"/>
          <w:sz w:val="22"/>
          <w:szCs w:val="22"/>
        </w:rPr>
      </w:pPr>
      <w:r>
        <w:rPr>
          <w:rFonts w:ascii="Arial" w:hAnsi="Arial" w:cs="Arial"/>
          <w:b/>
          <w:bCs/>
          <w:color w:val="000000" w:themeColor="text1"/>
          <w:sz w:val="22"/>
          <w:szCs w:val="22"/>
        </w:rPr>
        <w:br w:type="page"/>
      </w:r>
    </w:p>
    <w:p w14:paraId="165A294B" w14:textId="11A5A564" w:rsidR="0065515D" w:rsidRDefault="0065515D" w:rsidP="0065515D">
      <w:pPr>
        <w:spacing w:before="120" w:after="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EKONOMICZNE</w:t>
      </w:r>
    </w:p>
    <w:tbl>
      <w:tblPr>
        <w:tblStyle w:val="Tabela-Siatka"/>
        <w:tblW w:w="0" w:type="auto"/>
        <w:tblLook w:val="04A0" w:firstRow="1" w:lastRow="0" w:firstColumn="1" w:lastColumn="0" w:noHBand="0" w:noVBand="1"/>
        <w:tblCaption w:val="Tabela 44 Ocena ryzyka - EKONOMICZNE"/>
        <w:tblDescription w:val="Tabela zawiera Lp., Opis Ryzyka, Skala prawdopodobieństwa, Siła oddziaływania"/>
      </w:tblPr>
      <w:tblGrid>
        <w:gridCol w:w="546"/>
        <w:gridCol w:w="4330"/>
        <w:gridCol w:w="2478"/>
        <w:gridCol w:w="1708"/>
      </w:tblGrid>
      <w:tr w:rsidR="0065515D" w:rsidRPr="009B78DA" w14:paraId="1AD8930F" w14:textId="77777777" w:rsidTr="0065515D">
        <w:trPr>
          <w:cantSplit/>
          <w:tblHeader/>
        </w:trPr>
        <w:tc>
          <w:tcPr>
            <w:tcW w:w="546" w:type="dxa"/>
            <w:shd w:val="clear" w:color="auto" w:fill="DEEAF6" w:themeFill="accent1" w:themeFillTint="33"/>
          </w:tcPr>
          <w:p w14:paraId="7B5C7FE9" w14:textId="77777777" w:rsidR="0065515D" w:rsidRPr="009B78DA" w:rsidRDefault="0065515D" w:rsidP="00070C2E">
            <w:pPr>
              <w:rPr>
                <w:rFonts w:ascii="Arial" w:hAnsi="Arial" w:cs="Arial"/>
                <w:b/>
                <w:bCs/>
                <w:color w:val="000000" w:themeColor="text1"/>
                <w:sz w:val="22"/>
                <w:szCs w:val="22"/>
              </w:rPr>
            </w:pPr>
            <w:r w:rsidRPr="009B78DA">
              <w:rPr>
                <w:rFonts w:ascii="Arial" w:hAnsi="Arial" w:cs="Arial"/>
                <w:b/>
                <w:bCs/>
                <w:color w:val="000000" w:themeColor="text1"/>
                <w:sz w:val="22"/>
                <w:szCs w:val="22"/>
              </w:rPr>
              <w:t>Lp.</w:t>
            </w:r>
          </w:p>
        </w:tc>
        <w:tc>
          <w:tcPr>
            <w:tcW w:w="4330" w:type="dxa"/>
            <w:shd w:val="clear" w:color="auto" w:fill="DEEAF6" w:themeFill="accent1" w:themeFillTint="33"/>
          </w:tcPr>
          <w:p w14:paraId="26A4102C" w14:textId="77777777" w:rsidR="0065515D" w:rsidRPr="009B78DA" w:rsidRDefault="0065515D"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Opis Ryzyka</w:t>
            </w:r>
          </w:p>
        </w:tc>
        <w:tc>
          <w:tcPr>
            <w:tcW w:w="2478" w:type="dxa"/>
            <w:shd w:val="clear" w:color="auto" w:fill="DEEAF6" w:themeFill="accent1" w:themeFillTint="33"/>
          </w:tcPr>
          <w:p w14:paraId="7F0D2BA4" w14:textId="77777777" w:rsidR="0065515D" w:rsidRPr="009B78DA" w:rsidRDefault="0065515D"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Skala prawdopodobieństwa</w:t>
            </w:r>
          </w:p>
        </w:tc>
        <w:tc>
          <w:tcPr>
            <w:tcW w:w="1708" w:type="dxa"/>
            <w:shd w:val="clear" w:color="auto" w:fill="DEEAF6" w:themeFill="accent1" w:themeFillTint="33"/>
          </w:tcPr>
          <w:p w14:paraId="3750339B" w14:textId="77777777" w:rsidR="0065515D" w:rsidRPr="009B78DA" w:rsidRDefault="0065515D"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Siła oddziaływania</w:t>
            </w:r>
          </w:p>
        </w:tc>
      </w:tr>
      <w:tr w:rsidR="0065515D" w:rsidRPr="009B78DA" w14:paraId="5A3B1180" w14:textId="77777777" w:rsidTr="0065515D">
        <w:trPr>
          <w:cantSplit/>
          <w:trHeight w:val="406"/>
        </w:trPr>
        <w:tc>
          <w:tcPr>
            <w:tcW w:w="546" w:type="dxa"/>
            <w:shd w:val="clear" w:color="auto" w:fill="E1A3C2"/>
          </w:tcPr>
          <w:p w14:paraId="018E6073"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7</w:t>
            </w:r>
          </w:p>
        </w:tc>
        <w:tc>
          <w:tcPr>
            <w:tcW w:w="4330" w:type="dxa"/>
            <w:shd w:val="clear" w:color="auto" w:fill="E1A3C2"/>
          </w:tcPr>
          <w:p w14:paraId="4E16BF85"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Brak lub ograniczona dostępność środków unijnych, skutkująca brakiem finansowania dla poszczególnych inwestycji i działań.</w:t>
            </w:r>
          </w:p>
        </w:tc>
        <w:tc>
          <w:tcPr>
            <w:tcW w:w="2478" w:type="dxa"/>
            <w:shd w:val="clear" w:color="auto" w:fill="E1A3C2"/>
            <w:vAlign w:val="center"/>
          </w:tcPr>
          <w:p w14:paraId="59BE1D72"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D</w:t>
            </w:r>
          </w:p>
        </w:tc>
        <w:tc>
          <w:tcPr>
            <w:tcW w:w="1708" w:type="dxa"/>
            <w:shd w:val="clear" w:color="auto" w:fill="E1A3C2"/>
            <w:vAlign w:val="center"/>
          </w:tcPr>
          <w:p w14:paraId="6D7C7255"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IV</w:t>
            </w:r>
          </w:p>
        </w:tc>
      </w:tr>
      <w:tr w:rsidR="0065515D" w:rsidRPr="009B78DA" w14:paraId="4FAE21C2" w14:textId="77777777" w:rsidTr="0065515D">
        <w:trPr>
          <w:cantSplit/>
        </w:trPr>
        <w:tc>
          <w:tcPr>
            <w:tcW w:w="546" w:type="dxa"/>
            <w:shd w:val="clear" w:color="auto" w:fill="FFD9D9"/>
          </w:tcPr>
          <w:p w14:paraId="271B47A0"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8</w:t>
            </w:r>
          </w:p>
        </w:tc>
        <w:tc>
          <w:tcPr>
            <w:tcW w:w="4330" w:type="dxa"/>
            <w:shd w:val="clear" w:color="auto" w:fill="FFD9D9"/>
          </w:tcPr>
          <w:p w14:paraId="5C977CB8"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Wzrost kosztów inwestycyjnych (m.in. wzrost cen materiałów i robót budowlanych, koszty środowiskowe) skutkujące przekroczeniem budżetu realizacji Projektu.</w:t>
            </w:r>
          </w:p>
        </w:tc>
        <w:tc>
          <w:tcPr>
            <w:tcW w:w="2478" w:type="dxa"/>
            <w:shd w:val="clear" w:color="auto" w:fill="FFD9D9"/>
            <w:vAlign w:val="center"/>
          </w:tcPr>
          <w:p w14:paraId="3A989681"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D</w:t>
            </w:r>
          </w:p>
        </w:tc>
        <w:tc>
          <w:tcPr>
            <w:tcW w:w="1708" w:type="dxa"/>
            <w:shd w:val="clear" w:color="auto" w:fill="FFD9D9"/>
            <w:vAlign w:val="center"/>
          </w:tcPr>
          <w:p w14:paraId="0AD2AFC7"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III</w:t>
            </w:r>
          </w:p>
        </w:tc>
      </w:tr>
      <w:tr w:rsidR="0065515D" w:rsidRPr="009B78DA" w14:paraId="468EEC28" w14:textId="77777777" w:rsidTr="0065515D">
        <w:trPr>
          <w:cantSplit/>
        </w:trPr>
        <w:tc>
          <w:tcPr>
            <w:tcW w:w="546" w:type="dxa"/>
            <w:shd w:val="clear" w:color="auto" w:fill="FFF2CC" w:themeFill="accent4" w:themeFillTint="33"/>
          </w:tcPr>
          <w:p w14:paraId="6651FFB8"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9</w:t>
            </w:r>
          </w:p>
        </w:tc>
        <w:tc>
          <w:tcPr>
            <w:tcW w:w="4330" w:type="dxa"/>
            <w:shd w:val="clear" w:color="auto" w:fill="FFF2CC" w:themeFill="accent4" w:themeFillTint="33"/>
          </w:tcPr>
          <w:p w14:paraId="72CC136D" w14:textId="000D06D2"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 xml:space="preserve">Trudności w realizacji inwestycji wynikające z zaniżania cen </w:t>
            </w:r>
            <w:r w:rsidR="000E1E87">
              <w:rPr>
                <w:rFonts w:ascii="Arial" w:hAnsi="Arial" w:cs="Arial"/>
                <w:color w:val="000000" w:themeColor="text1"/>
                <w:sz w:val="22"/>
                <w:szCs w:val="22"/>
              </w:rPr>
              <w:br/>
            </w:r>
            <w:r w:rsidRPr="009B78DA">
              <w:rPr>
                <w:rFonts w:ascii="Arial" w:hAnsi="Arial" w:cs="Arial"/>
                <w:color w:val="000000" w:themeColor="text1"/>
                <w:sz w:val="22"/>
                <w:szCs w:val="22"/>
              </w:rPr>
              <w:t>w postępowaniu przetargowym, skutkujące trudnością w realizacji inwestycji.</w:t>
            </w:r>
          </w:p>
        </w:tc>
        <w:tc>
          <w:tcPr>
            <w:tcW w:w="2478" w:type="dxa"/>
            <w:shd w:val="clear" w:color="auto" w:fill="FFF2CC" w:themeFill="accent4" w:themeFillTint="33"/>
            <w:vAlign w:val="center"/>
          </w:tcPr>
          <w:p w14:paraId="1A1237C8"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C</w:t>
            </w:r>
          </w:p>
        </w:tc>
        <w:tc>
          <w:tcPr>
            <w:tcW w:w="1708" w:type="dxa"/>
            <w:shd w:val="clear" w:color="auto" w:fill="FFF2CC" w:themeFill="accent4" w:themeFillTint="33"/>
            <w:vAlign w:val="center"/>
          </w:tcPr>
          <w:p w14:paraId="47F2BECF"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III</w:t>
            </w:r>
          </w:p>
        </w:tc>
      </w:tr>
      <w:tr w:rsidR="0065515D" w:rsidRPr="009B78DA" w14:paraId="34982B60" w14:textId="77777777" w:rsidTr="0065515D">
        <w:trPr>
          <w:cantSplit/>
        </w:trPr>
        <w:tc>
          <w:tcPr>
            <w:tcW w:w="546" w:type="dxa"/>
            <w:shd w:val="clear" w:color="auto" w:fill="FFF2CC" w:themeFill="accent4" w:themeFillTint="33"/>
          </w:tcPr>
          <w:p w14:paraId="74069604"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10</w:t>
            </w:r>
          </w:p>
        </w:tc>
        <w:tc>
          <w:tcPr>
            <w:tcW w:w="4330" w:type="dxa"/>
            <w:shd w:val="clear" w:color="auto" w:fill="FFF2CC" w:themeFill="accent4" w:themeFillTint="33"/>
          </w:tcPr>
          <w:p w14:paraId="3BB60F57" w14:textId="02C01593"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 xml:space="preserve">Spadek popytu na transport publiczny oraz przewóz towarów w związku </w:t>
            </w:r>
            <w:r w:rsidR="000E1E87">
              <w:rPr>
                <w:rFonts w:ascii="Arial" w:hAnsi="Arial" w:cs="Arial"/>
                <w:color w:val="000000" w:themeColor="text1"/>
                <w:sz w:val="22"/>
                <w:szCs w:val="22"/>
              </w:rPr>
              <w:br/>
            </w:r>
            <w:r w:rsidRPr="009B78DA">
              <w:rPr>
                <w:rFonts w:ascii="Arial" w:hAnsi="Arial" w:cs="Arial"/>
                <w:color w:val="000000" w:themeColor="text1"/>
                <w:sz w:val="22"/>
                <w:szCs w:val="22"/>
              </w:rPr>
              <w:t>z przedłużającą się z pandemią COVID-19.</w:t>
            </w:r>
          </w:p>
        </w:tc>
        <w:tc>
          <w:tcPr>
            <w:tcW w:w="2478" w:type="dxa"/>
            <w:shd w:val="clear" w:color="auto" w:fill="FFF2CC" w:themeFill="accent4" w:themeFillTint="33"/>
            <w:vAlign w:val="center"/>
          </w:tcPr>
          <w:p w14:paraId="5277480F"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C</w:t>
            </w:r>
          </w:p>
        </w:tc>
        <w:tc>
          <w:tcPr>
            <w:tcW w:w="1708" w:type="dxa"/>
            <w:shd w:val="clear" w:color="auto" w:fill="FFF2CC" w:themeFill="accent4" w:themeFillTint="33"/>
            <w:vAlign w:val="center"/>
          </w:tcPr>
          <w:p w14:paraId="45143DEB"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III</w:t>
            </w:r>
          </w:p>
        </w:tc>
      </w:tr>
      <w:tr w:rsidR="0065515D" w:rsidRPr="009B78DA" w14:paraId="20A5C186" w14:textId="77777777" w:rsidTr="0065515D">
        <w:trPr>
          <w:cantSplit/>
        </w:trPr>
        <w:tc>
          <w:tcPr>
            <w:tcW w:w="546" w:type="dxa"/>
            <w:shd w:val="clear" w:color="auto" w:fill="FFF2CC" w:themeFill="accent4" w:themeFillTint="33"/>
          </w:tcPr>
          <w:p w14:paraId="4CC4D4E5"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11</w:t>
            </w:r>
          </w:p>
        </w:tc>
        <w:tc>
          <w:tcPr>
            <w:tcW w:w="4330" w:type="dxa"/>
            <w:shd w:val="clear" w:color="auto" w:fill="FFF2CC" w:themeFill="accent4" w:themeFillTint="33"/>
          </w:tcPr>
          <w:p w14:paraId="362838EC" w14:textId="4319702A"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 xml:space="preserve">Problem z płynnością finansową Wykonawców/ podwykonawców związany z polityką fiskalną państwa, wpływający na opóźnienia w realizacji działań </w:t>
            </w:r>
            <w:r w:rsidR="000E1E87">
              <w:rPr>
                <w:rFonts w:ascii="Arial" w:hAnsi="Arial" w:cs="Arial"/>
                <w:color w:val="000000" w:themeColor="text1"/>
                <w:sz w:val="22"/>
                <w:szCs w:val="22"/>
              </w:rPr>
              <w:br/>
            </w:r>
            <w:r w:rsidRPr="009B78DA">
              <w:rPr>
                <w:rFonts w:ascii="Arial" w:hAnsi="Arial" w:cs="Arial"/>
                <w:color w:val="000000" w:themeColor="text1"/>
                <w:sz w:val="22"/>
                <w:szCs w:val="22"/>
              </w:rPr>
              <w:t>i inwestycji.</w:t>
            </w:r>
          </w:p>
        </w:tc>
        <w:tc>
          <w:tcPr>
            <w:tcW w:w="2478" w:type="dxa"/>
            <w:shd w:val="clear" w:color="auto" w:fill="FFF2CC" w:themeFill="accent4" w:themeFillTint="33"/>
            <w:vAlign w:val="center"/>
          </w:tcPr>
          <w:p w14:paraId="401C8682"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C</w:t>
            </w:r>
          </w:p>
        </w:tc>
        <w:tc>
          <w:tcPr>
            <w:tcW w:w="1708" w:type="dxa"/>
            <w:shd w:val="clear" w:color="auto" w:fill="FFF2CC" w:themeFill="accent4" w:themeFillTint="33"/>
            <w:vAlign w:val="center"/>
          </w:tcPr>
          <w:p w14:paraId="2160FBBA"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w:t>
            </w:r>
          </w:p>
        </w:tc>
      </w:tr>
      <w:tr w:rsidR="0065515D" w:rsidRPr="009B78DA" w14:paraId="46AD95C5" w14:textId="77777777" w:rsidTr="0065515D">
        <w:trPr>
          <w:cantSplit/>
        </w:trPr>
        <w:tc>
          <w:tcPr>
            <w:tcW w:w="546" w:type="dxa"/>
            <w:shd w:val="clear" w:color="auto" w:fill="FFD9D9"/>
          </w:tcPr>
          <w:p w14:paraId="11FDF8F1"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12</w:t>
            </w:r>
          </w:p>
        </w:tc>
        <w:tc>
          <w:tcPr>
            <w:tcW w:w="4330" w:type="dxa"/>
            <w:shd w:val="clear" w:color="auto" w:fill="FFD9D9"/>
          </w:tcPr>
          <w:p w14:paraId="5743DF0F"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Wzrost kosztów ponoszonych przez JST na utrzymanie infrastruktury transportowej m.in. w wyniku zmiany kategorii dróg na skutek realizacji nowych odcinków dróg.</w:t>
            </w:r>
          </w:p>
        </w:tc>
        <w:tc>
          <w:tcPr>
            <w:tcW w:w="2478" w:type="dxa"/>
            <w:shd w:val="clear" w:color="auto" w:fill="FFD9D9"/>
            <w:vAlign w:val="center"/>
          </w:tcPr>
          <w:p w14:paraId="61D1346A"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D</w:t>
            </w:r>
          </w:p>
        </w:tc>
        <w:tc>
          <w:tcPr>
            <w:tcW w:w="1708" w:type="dxa"/>
            <w:shd w:val="clear" w:color="auto" w:fill="FFD9D9"/>
            <w:vAlign w:val="center"/>
          </w:tcPr>
          <w:p w14:paraId="31D4AAEA"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III</w:t>
            </w:r>
          </w:p>
        </w:tc>
      </w:tr>
    </w:tbl>
    <w:p w14:paraId="6D50434C" w14:textId="77E9DC8B" w:rsidR="0065515D" w:rsidRDefault="0065515D" w:rsidP="0065515D">
      <w:pPr>
        <w:spacing w:before="120" w:after="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ŚRODOWISKOWE I KULTUROWE</w:t>
      </w:r>
    </w:p>
    <w:tbl>
      <w:tblPr>
        <w:tblStyle w:val="Tabela-Siatka"/>
        <w:tblW w:w="0" w:type="auto"/>
        <w:tblLook w:val="04A0" w:firstRow="1" w:lastRow="0" w:firstColumn="1" w:lastColumn="0" w:noHBand="0" w:noVBand="1"/>
        <w:tblCaption w:val="Tabela 44 Ocena ryzyka - ŚRODOWISKOWE I KULTUROWE"/>
        <w:tblDescription w:val="Tabela zawiera Lp., Opis Ryzyka, Skala prawdopodobieństwa, Siła oddziaływania"/>
      </w:tblPr>
      <w:tblGrid>
        <w:gridCol w:w="546"/>
        <w:gridCol w:w="4330"/>
        <w:gridCol w:w="2478"/>
        <w:gridCol w:w="1708"/>
      </w:tblGrid>
      <w:tr w:rsidR="0065515D" w:rsidRPr="009B78DA" w14:paraId="6909D20E" w14:textId="77777777" w:rsidTr="004543F0">
        <w:trPr>
          <w:cantSplit/>
          <w:tblHeader/>
        </w:trPr>
        <w:tc>
          <w:tcPr>
            <w:tcW w:w="546" w:type="dxa"/>
            <w:shd w:val="clear" w:color="auto" w:fill="DEEAF6" w:themeFill="accent1" w:themeFillTint="33"/>
          </w:tcPr>
          <w:p w14:paraId="74E0C665" w14:textId="77777777" w:rsidR="0065515D" w:rsidRPr="009B78DA" w:rsidRDefault="0065515D" w:rsidP="00070C2E">
            <w:pPr>
              <w:rPr>
                <w:rFonts w:ascii="Arial" w:hAnsi="Arial" w:cs="Arial"/>
                <w:b/>
                <w:bCs/>
                <w:color w:val="000000" w:themeColor="text1"/>
                <w:sz w:val="22"/>
                <w:szCs w:val="22"/>
              </w:rPr>
            </w:pPr>
            <w:r w:rsidRPr="009B78DA">
              <w:rPr>
                <w:rFonts w:ascii="Arial" w:hAnsi="Arial" w:cs="Arial"/>
                <w:b/>
                <w:bCs/>
                <w:color w:val="000000" w:themeColor="text1"/>
                <w:sz w:val="22"/>
                <w:szCs w:val="22"/>
              </w:rPr>
              <w:t>Lp.</w:t>
            </w:r>
          </w:p>
        </w:tc>
        <w:tc>
          <w:tcPr>
            <w:tcW w:w="4330" w:type="dxa"/>
            <w:shd w:val="clear" w:color="auto" w:fill="DEEAF6" w:themeFill="accent1" w:themeFillTint="33"/>
          </w:tcPr>
          <w:p w14:paraId="6E2816E3" w14:textId="77777777" w:rsidR="0065515D" w:rsidRPr="009B78DA" w:rsidRDefault="0065515D"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Opis Ryzyka</w:t>
            </w:r>
          </w:p>
        </w:tc>
        <w:tc>
          <w:tcPr>
            <w:tcW w:w="2478" w:type="dxa"/>
            <w:shd w:val="clear" w:color="auto" w:fill="DEEAF6" w:themeFill="accent1" w:themeFillTint="33"/>
          </w:tcPr>
          <w:p w14:paraId="1302E898" w14:textId="77777777" w:rsidR="0065515D" w:rsidRPr="009B78DA" w:rsidRDefault="0065515D"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Skala prawdopodobieństwa</w:t>
            </w:r>
          </w:p>
        </w:tc>
        <w:tc>
          <w:tcPr>
            <w:tcW w:w="1708" w:type="dxa"/>
            <w:shd w:val="clear" w:color="auto" w:fill="DEEAF6" w:themeFill="accent1" w:themeFillTint="33"/>
          </w:tcPr>
          <w:p w14:paraId="71A1D8DF" w14:textId="77777777" w:rsidR="0065515D" w:rsidRPr="009B78DA" w:rsidRDefault="0065515D"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Siła oddziaływania</w:t>
            </w:r>
          </w:p>
        </w:tc>
      </w:tr>
      <w:tr w:rsidR="0065515D" w:rsidRPr="009B78DA" w14:paraId="0E898817" w14:textId="77777777" w:rsidTr="00070C2E">
        <w:trPr>
          <w:cantSplit/>
        </w:trPr>
        <w:tc>
          <w:tcPr>
            <w:tcW w:w="546" w:type="dxa"/>
            <w:shd w:val="clear" w:color="auto" w:fill="FFF2CC" w:themeFill="accent4" w:themeFillTint="33"/>
          </w:tcPr>
          <w:p w14:paraId="38CC446B"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13</w:t>
            </w:r>
          </w:p>
        </w:tc>
        <w:tc>
          <w:tcPr>
            <w:tcW w:w="4330" w:type="dxa"/>
            <w:shd w:val="clear" w:color="auto" w:fill="FFF2CC" w:themeFill="accent4" w:themeFillTint="33"/>
          </w:tcPr>
          <w:p w14:paraId="0F6994D7" w14:textId="7771BC42"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 xml:space="preserve">Zagrożenie powodziowe na obszarach szczególnego zagrożenia powodziowego lub spowodowane długotrwałymi </w:t>
            </w:r>
            <w:r w:rsidR="000E1E87">
              <w:rPr>
                <w:rFonts w:ascii="Arial" w:hAnsi="Arial" w:cs="Arial"/>
                <w:color w:val="000000" w:themeColor="text1"/>
                <w:sz w:val="22"/>
                <w:szCs w:val="22"/>
              </w:rPr>
              <w:br/>
            </w:r>
            <w:r w:rsidRPr="009B78DA">
              <w:rPr>
                <w:rFonts w:ascii="Arial" w:hAnsi="Arial" w:cs="Arial"/>
                <w:color w:val="000000" w:themeColor="text1"/>
                <w:sz w:val="22"/>
                <w:szCs w:val="22"/>
              </w:rPr>
              <w:t xml:space="preserve">i ulewnymi deszczami, uaktywnienie się osuwisk, opóźnienia spowodowane innymi ekstremalnymi zjawiskami pogodowymi np. wysokimi temperaturami, wichurami. </w:t>
            </w:r>
          </w:p>
        </w:tc>
        <w:tc>
          <w:tcPr>
            <w:tcW w:w="2478" w:type="dxa"/>
            <w:shd w:val="clear" w:color="auto" w:fill="FFF2CC" w:themeFill="accent4" w:themeFillTint="33"/>
            <w:vAlign w:val="center"/>
          </w:tcPr>
          <w:p w14:paraId="607FB905"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B</w:t>
            </w:r>
          </w:p>
        </w:tc>
        <w:tc>
          <w:tcPr>
            <w:tcW w:w="1708" w:type="dxa"/>
            <w:shd w:val="clear" w:color="auto" w:fill="FFF2CC" w:themeFill="accent4" w:themeFillTint="33"/>
            <w:vAlign w:val="center"/>
          </w:tcPr>
          <w:p w14:paraId="1EE9E882"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III</w:t>
            </w:r>
          </w:p>
        </w:tc>
      </w:tr>
      <w:tr w:rsidR="0065515D" w:rsidRPr="009B78DA" w14:paraId="44CFABF1" w14:textId="77777777" w:rsidTr="00070C2E">
        <w:trPr>
          <w:cantSplit/>
        </w:trPr>
        <w:tc>
          <w:tcPr>
            <w:tcW w:w="546" w:type="dxa"/>
            <w:shd w:val="clear" w:color="auto" w:fill="E2EFD9" w:themeFill="accent6" w:themeFillTint="33"/>
          </w:tcPr>
          <w:p w14:paraId="4D368B0F"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14</w:t>
            </w:r>
          </w:p>
        </w:tc>
        <w:tc>
          <w:tcPr>
            <w:tcW w:w="4330" w:type="dxa"/>
            <w:shd w:val="clear" w:color="auto" w:fill="E2EFD9" w:themeFill="accent6" w:themeFillTint="33"/>
          </w:tcPr>
          <w:p w14:paraId="40819AD6" w14:textId="77777777" w:rsidR="0065515D" w:rsidRPr="009B78DA" w:rsidRDefault="0065515D" w:rsidP="00070C2E">
            <w:pPr>
              <w:rPr>
                <w:rFonts w:ascii="Arial" w:hAnsi="Arial" w:cs="Arial"/>
                <w:color w:val="000000" w:themeColor="text1"/>
                <w:sz w:val="22"/>
                <w:szCs w:val="22"/>
              </w:rPr>
            </w:pPr>
            <w:r w:rsidRPr="009B78DA">
              <w:rPr>
                <w:rFonts w:ascii="Arial" w:hAnsi="Arial" w:cs="Arial"/>
                <w:color w:val="000000" w:themeColor="text1"/>
                <w:sz w:val="22"/>
                <w:szCs w:val="22"/>
              </w:rPr>
              <w:t>Odkrycia przedmiotów zabytkowych / obiektów archeologicznych na terenie inwestycji, skutkujące opóźnieniem prac.</w:t>
            </w:r>
          </w:p>
        </w:tc>
        <w:tc>
          <w:tcPr>
            <w:tcW w:w="2478" w:type="dxa"/>
            <w:shd w:val="clear" w:color="auto" w:fill="E2EFD9" w:themeFill="accent6" w:themeFillTint="33"/>
            <w:vAlign w:val="center"/>
          </w:tcPr>
          <w:p w14:paraId="471DDC28"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A</w:t>
            </w:r>
          </w:p>
        </w:tc>
        <w:tc>
          <w:tcPr>
            <w:tcW w:w="1708" w:type="dxa"/>
            <w:shd w:val="clear" w:color="auto" w:fill="E2EFD9" w:themeFill="accent6" w:themeFillTint="33"/>
            <w:vAlign w:val="center"/>
          </w:tcPr>
          <w:p w14:paraId="5F93D142" w14:textId="77777777" w:rsidR="0065515D" w:rsidRPr="009B78DA" w:rsidRDefault="0065515D"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w:t>
            </w:r>
          </w:p>
        </w:tc>
      </w:tr>
    </w:tbl>
    <w:p w14:paraId="61BEA5CC" w14:textId="4709FA76" w:rsidR="0065515D" w:rsidRDefault="00252358" w:rsidP="0065515D">
      <w:pPr>
        <w:spacing w:before="120" w:after="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ORGANIZACYJNE</w:t>
      </w:r>
    </w:p>
    <w:tbl>
      <w:tblPr>
        <w:tblStyle w:val="Tabela-Siatka"/>
        <w:tblW w:w="0" w:type="auto"/>
        <w:tblLook w:val="04A0" w:firstRow="1" w:lastRow="0" w:firstColumn="1" w:lastColumn="0" w:noHBand="0" w:noVBand="1"/>
        <w:tblCaption w:val="Tabela 44 Ocena ryzyka - ORGANIZACYJNE"/>
        <w:tblDescription w:val="Tabela zawiera Lp., Opis Ryzyka, Skala prawdopodobieństwa, Siła oddziaływania"/>
      </w:tblPr>
      <w:tblGrid>
        <w:gridCol w:w="546"/>
        <w:gridCol w:w="4330"/>
        <w:gridCol w:w="2478"/>
        <w:gridCol w:w="1708"/>
      </w:tblGrid>
      <w:tr w:rsidR="00252358" w:rsidRPr="009B78DA" w14:paraId="52F596FF" w14:textId="77777777" w:rsidTr="00252358">
        <w:trPr>
          <w:cantSplit/>
          <w:tblHeader/>
        </w:trPr>
        <w:tc>
          <w:tcPr>
            <w:tcW w:w="546" w:type="dxa"/>
            <w:shd w:val="clear" w:color="auto" w:fill="DEEAF6" w:themeFill="accent1" w:themeFillTint="33"/>
          </w:tcPr>
          <w:p w14:paraId="4597E1AD" w14:textId="77777777" w:rsidR="00252358" w:rsidRPr="009B78DA" w:rsidRDefault="00252358" w:rsidP="00070C2E">
            <w:pPr>
              <w:rPr>
                <w:rFonts w:ascii="Arial" w:hAnsi="Arial" w:cs="Arial"/>
                <w:b/>
                <w:bCs/>
                <w:color w:val="000000" w:themeColor="text1"/>
                <w:sz w:val="22"/>
                <w:szCs w:val="22"/>
              </w:rPr>
            </w:pPr>
            <w:r w:rsidRPr="009B78DA">
              <w:rPr>
                <w:rFonts w:ascii="Arial" w:hAnsi="Arial" w:cs="Arial"/>
                <w:b/>
                <w:bCs/>
                <w:color w:val="000000" w:themeColor="text1"/>
                <w:sz w:val="22"/>
                <w:szCs w:val="22"/>
              </w:rPr>
              <w:t>Lp.</w:t>
            </w:r>
          </w:p>
        </w:tc>
        <w:tc>
          <w:tcPr>
            <w:tcW w:w="4330" w:type="dxa"/>
            <w:shd w:val="clear" w:color="auto" w:fill="DEEAF6" w:themeFill="accent1" w:themeFillTint="33"/>
          </w:tcPr>
          <w:p w14:paraId="6EB992D2" w14:textId="77777777" w:rsidR="00252358" w:rsidRPr="009B78DA" w:rsidRDefault="00252358"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Opis Ryzyka</w:t>
            </w:r>
          </w:p>
        </w:tc>
        <w:tc>
          <w:tcPr>
            <w:tcW w:w="2478" w:type="dxa"/>
            <w:shd w:val="clear" w:color="auto" w:fill="DEEAF6" w:themeFill="accent1" w:themeFillTint="33"/>
          </w:tcPr>
          <w:p w14:paraId="60426E7C" w14:textId="77777777" w:rsidR="00252358" w:rsidRPr="009B78DA" w:rsidRDefault="00252358"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Skala prawdopodobieństwa</w:t>
            </w:r>
          </w:p>
        </w:tc>
        <w:tc>
          <w:tcPr>
            <w:tcW w:w="1708" w:type="dxa"/>
            <w:shd w:val="clear" w:color="auto" w:fill="DEEAF6" w:themeFill="accent1" w:themeFillTint="33"/>
          </w:tcPr>
          <w:p w14:paraId="6F956FF9" w14:textId="77777777" w:rsidR="00252358" w:rsidRPr="009B78DA" w:rsidRDefault="00252358"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Siła oddziaływania</w:t>
            </w:r>
          </w:p>
        </w:tc>
      </w:tr>
      <w:tr w:rsidR="00252358" w:rsidRPr="009B78DA" w14:paraId="7694F7E1" w14:textId="77777777" w:rsidTr="00070C2E">
        <w:trPr>
          <w:cantSplit/>
        </w:trPr>
        <w:tc>
          <w:tcPr>
            <w:tcW w:w="546" w:type="dxa"/>
            <w:shd w:val="clear" w:color="auto" w:fill="E2EFD9" w:themeFill="accent6" w:themeFillTint="33"/>
          </w:tcPr>
          <w:p w14:paraId="32AE9213"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15</w:t>
            </w:r>
          </w:p>
        </w:tc>
        <w:tc>
          <w:tcPr>
            <w:tcW w:w="4330" w:type="dxa"/>
            <w:shd w:val="clear" w:color="auto" w:fill="E2EFD9" w:themeFill="accent6" w:themeFillTint="33"/>
          </w:tcPr>
          <w:p w14:paraId="6E26A9C8"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Niedostateczna jakość dokumentacji przetargowej i technicznej oraz opóźnienia w obiegu dokumentacji, skutkująca trudnościami w wyborze wykonawcy w ramach przetargów.</w:t>
            </w:r>
          </w:p>
        </w:tc>
        <w:tc>
          <w:tcPr>
            <w:tcW w:w="2478" w:type="dxa"/>
            <w:shd w:val="clear" w:color="auto" w:fill="E2EFD9" w:themeFill="accent6" w:themeFillTint="33"/>
            <w:vAlign w:val="center"/>
          </w:tcPr>
          <w:p w14:paraId="5C4C576A"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B</w:t>
            </w:r>
          </w:p>
        </w:tc>
        <w:tc>
          <w:tcPr>
            <w:tcW w:w="1708" w:type="dxa"/>
            <w:shd w:val="clear" w:color="auto" w:fill="E2EFD9" w:themeFill="accent6" w:themeFillTint="33"/>
            <w:vAlign w:val="center"/>
          </w:tcPr>
          <w:p w14:paraId="77C25DCA"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w:t>
            </w:r>
          </w:p>
        </w:tc>
      </w:tr>
      <w:tr w:rsidR="00252358" w:rsidRPr="009B78DA" w14:paraId="6E47BD6C" w14:textId="77777777" w:rsidTr="00070C2E">
        <w:trPr>
          <w:cantSplit/>
        </w:trPr>
        <w:tc>
          <w:tcPr>
            <w:tcW w:w="546" w:type="dxa"/>
            <w:shd w:val="clear" w:color="auto" w:fill="FFF2CC" w:themeFill="accent4" w:themeFillTint="33"/>
          </w:tcPr>
          <w:p w14:paraId="4BF66959"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16</w:t>
            </w:r>
          </w:p>
        </w:tc>
        <w:tc>
          <w:tcPr>
            <w:tcW w:w="4330" w:type="dxa"/>
            <w:shd w:val="clear" w:color="auto" w:fill="FFF2CC" w:themeFill="accent4" w:themeFillTint="33"/>
          </w:tcPr>
          <w:p w14:paraId="473469DA" w14:textId="7260363F"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 xml:space="preserve">Brak kompetencji i doświadczenia podmiotów wyłanianych w przetargach skutkujące niską jakością robót i usług </w:t>
            </w:r>
            <w:r w:rsidR="000E1E87">
              <w:rPr>
                <w:rFonts w:ascii="Arial" w:hAnsi="Arial" w:cs="Arial"/>
                <w:color w:val="000000" w:themeColor="text1"/>
                <w:sz w:val="22"/>
                <w:szCs w:val="22"/>
              </w:rPr>
              <w:br/>
            </w:r>
            <w:r w:rsidRPr="009B78DA">
              <w:rPr>
                <w:rFonts w:ascii="Arial" w:hAnsi="Arial" w:cs="Arial"/>
                <w:color w:val="000000" w:themeColor="text1"/>
                <w:sz w:val="22"/>
                <w:szCs w:val="22"/>
              </w:rPr>
              <w:t>(w tym brak znajomości realiów rynkowych i administracyjnych w Polsce).</w:t>
            </w:r>
          </w:p>
        </w:tc>
        <w:tc>
          <w:tcPr>
            <w:tcW w:w="2478" w:type="dxa"/>
            <w:shd w:val="clear" w:color="auto" w:fill="FFF2CC" w:themeFill="accent4" w:themeFillTint="33"/>
            <w:vAlign w:val="center"/>
          </w:tcPr>
          <w:p w14:paraId="40CDA6F6"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B</w:t>
            </w:r>
          </w:p>
        </w:tc>
        <w:tc>
          <w:tcPr>
            <w:tcW w:w="1708" w:type="dxa"/>
            <w:shd w:val="clear" w:color="auto" w:fill="FFF2CC" w:themeFill="accent4" w:themeFillTint="33"/>
            <w:vAlign w:val="center"/>
          </w:tcPr>
          <w:p w14:paraId="2C8B123F"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III</w:t>
            </w:r>
          </w:p>
        </w:tc>
      </w:tr>
      <w:tr w:rsidR="00252358" w:rsidRPr="009B78DA" w14:paraId="15918581" w14:textId="77777777" w:rsidTr="00070C2E">
        <w:trPr>
          <w:cantSplit/>
        </w:trPr>
        <w:tc>
          <w:tcPr>
            <w:tcW w:w="546" w:type="dxa"/>
            <w:shd w:val="clear" w:color="auto" w:fill="E1A3C2"/>
          </w:tcPr>
          <w:p w14:paraId="513ABD76"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17</w:t>
            </w:r>
          </w:p>
        </w:tc>
        <w:tc>
          <w:tcPr>
            <w:tcW w:w="4330" w:type="dxa"/>
            <w:shd w:val="clear" w:color="auto" w:fill="E1A3C2"/>
          </w:tcPr>
          <w:p w14:paraId="558340FE"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Przedłużające się procedury administracyjne (związane m.in. z uzyskiwaniem uzgodnień, pozwoleń itp.), skutkująca opóźnieniem w realizacji inwestycji i działań.</w:t>
            </w:r>
          </w:p>
        </w:tc>
        <w:tc>
          <w:tcPr>
            <w:tcW w:w="2478" w:type="dxa"/>
            <w:shd w:val="clear" w:color="auto" w:fill="E1A3C2"/>
            <w:vAlign w:val="center"/>
          </w:tcPr>
          <w:p w14:paraId="2761240C"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D</w:t>
            </w:r>
          </w:p>
        </w:tc>
        <w:tc>
          <w:tcPr>
            <w:tcW w:w="1708" w:type="dxa"/>
            <w:shd w:val="clear" w:color="auto" w:fill="E1A3C2"/>
            <w:vAlign w:val="center"/>
          </w:tcPr>
          <w:p w14:paraId="54B096AE"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IV</w:t>
            </w:r>
          </w:p>
        </w:tc>
      </w:tr>
      <w:tr w:rsidR="00252358" w:rsidRPr="009B78DA" w14:paraId="0471DE04" w14:textId="77777777" w:rsidTr="00070C2E">
        <w:trPr>
          <w:cantSplit/>
        </w:trPr>
        <w:tc>
          <w:tcPr>
            <w:tcW w:w="546" w:type="dxa"/>
            <w:shd w:val="clear" w:color="auto" w:fill="FFF2CC" w:themeFill="accent4" w:themeFillTint="33"/>
          </w:tcPr>
          <w:p w14:paraId="0ABB55BF"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18</w:t>
            </w:r>
          </w:p>
        </w:tc>
        <w:tc>
          <w:tcPr>
            <w:tcW w:w="4330" w:type="dxa"/>
            <w:shd w:val="clear" w:color="auto" w:fill="FFF2CC" w:themeFill="accent4" w:themeFillTint="33"/>
          </w:tcPr>
          <w:p w14:paraId="4FD5367C"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Nieterminowa realizacja inwestycji wynikająca m.in. z niedotrzymywania harmonogramów prac, konieczności modyfikacji przyjętych rozwiązań.</w:t>
            </w:r>
          </w:p>
        </w:tc>
        <w:tc>
          <w:tcPr>
            <w:tcW w:w="2478" w:type="dxa"/>
            <w:shd w:val="clear" w:color="auto" w:fill="FFF2CC" w:themeFill="accent4" w:themeFillTint="33"/>
            <w:vAlign w:val="center"/>
          </w:tcPr>
          <w:p w14:paraId="4198126E"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D</w:t>
            </w:r>
          </w:p>
        </w:tc>
        <w:tc>
          <w:tcPr>
            <w:tcW w:w="1708" w:type="dxa"/>
            <w:shd w:val="clear" w:color="auto" w:fill="FFF2CC" w:themeFill="accent4" w:themeFillTint="33"/>
            <w:vAlign w:val="center"/>
          </w:tcPr>
          <w:p w14:paraId="0207E892"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w:t>
            </w:r>
          </w:p>
        </w:tc>
      </w:tr>
      <w:tr w:rsidR="00252358" w:rsidRPr="009B78DA" w14:paraId="584EB6CC" w14:textId="77777777" w:rsidTr="00070C2E">
        <w:trPr>
          <w:cantSplit/>
        </w:trPr>
        <w:tc>
          <w:tcPr>
            <w:tcW w:w="546" w:type="dxa"/>
            <w:shd w:val="clear" w:color="auto" w:fill="E2EFD9" w:themeFill="accent6" w:themeFillTint="33"/>
          </w:tcPr>
          <w:p w14:paraId="1F5F030B"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19</w:t>
            </w:r>
          </w:p>
        </w:tc>
        <w:tc>
          <w:tcPr>
            <w:tcW w:w="4330" w:type="dxa"/>
            <w:shd w:val="clear" w:color="auto" w:fill="E2EFD9" w:themeFill="accent6" w:themeFillTint="33"/>
          </w:tcPr>
          <w:p w14:paraId="1B048153"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Zmiany organizacyjne w JST wynikające z procesów wyborczych, które utrudnią proces komunikacji z samorządami, realizację inwestycji i wpłyną na brak akceptacji przyjętych w Programie założeń.</w:t>
            </w:r>
          </w:p>
        </w:tc>
        <w:tc>
          <w:tcPr>
            <w:tcW w:w="2478" w:type="dxa"/>
            <w:shd w:val="clear" w:color="auto" w:fill="E2EFD9" w:themeFill="accent6" w:themeFillTint="33"/>
            <w:vAlign w:val="center"/>
          </w:tcPr>
          <w:p w14:paraId="16E20A8F"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A</w:t>
            </w:r>
          </w:p>
        </w:tc>
        <w:tc>
          <w:tcPr>
            <w:tcW w:w="1708" w:type="dxa"/>
            <w:shd w:val="clear" w:color="auto" w:fill="E2EFD9" w:themeFill="accent6" w:themeFillTint="33"/>
            <w:vAlign w:val="center"/>
          </w:tcPr>
          <w:p w14:paraId="78BBD105"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w:t>
            </w:r>
          </w:p>
        </w:tc>
      </w:tr>
    </w:tbl>
    <w:p w14:paraId="64DA5190" w14:textId="0034EEF2" w:rsidR="00252358" w:rsidRDefault="00252358" w:rsidP="0065515D">
      <w:pPr>
        <w:spacing w:before="120" w:after="120" w:line="276" w:lineRule="auto"/>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SPOŁECZNE</w:t>
      </w:r>
    </w:p>
    <w:tbl>
      <w:tblPr>
        <w:tblStyle w:val="Tabela-Siatka"/>
        <w:tblW w:w="0" w:type="auto"/>
        <w:tblLook w:val="04A0" w:firstRow="1" w:lastRow="0" w:firstColumn="1" w:lastColumn="0" w:noHBand="0" w:noVBand="1"/>
        <w:tblCaption w:val="Tabela 44 Ocena ryzyka - SPOŁECZNE"/>
        <w:tblDescription w:val="Tabela zawiera Lp., Opis Ryzyka, Skala prawdopodobieństwa, Siła oddziaływania"/>
      </w:tblPr>
      <w:tblGrid>
        <w:gridCol w:w="546"/>
        <w:gridCol w:w="4330"/>
        <w:gridCol w:w="2478"/>
        <w:gridCol w:w="1708"/>
      </w:tblGrid>
      <w:tr w:rsidR="00252358" w:rsidRPr="009B78DA" w14:paraId="263CD504" w14:textId="77777777" w:rsidTr="00252358">
        <w:trPr>
          <w:cantSplit/>
          <w:tblHeader/>
        </w:trPr>
        <w:tc>
          <w:tcPr>
            <w:tcW w:w="546" w:type="dxa"/>
            <w:shd w:val="clear" w:color="auto" w:fill="DEEAF6" w:themeFill="accent1" w:themeFillTint="33"/>
          </w:tcPr>
          <w:p w14:paraId="28048B94" w14:textId="77777777" w:rsidR="00252358" w:rsidRPr="009B78DA" w:rsidRDefault="00252358" w:rsidP="00070C2E">
            <w:pPr>
              <w:rPr>
                <w:rFonts w:ascii="Arial" w:hAnsi="Arial" w:cs="Arial"/>
                <w:b/>
                <w:bCs/>
                <w:color w:val="000000" w:themeColor="text1"/>
                <w:sz w:val="22"/>
                <w:szCs w:val="22"/>
              </w:rPr>
            </w:pPr>
            <w:r w:rsidRPr="009B78DA">
              <w:rPr>
                <w:rFonts w:ascii="Arial" w:hAnsi="Arial" w:cs="Arial"/>
                <w:b/>
                <w:bCs/>
                <w:color w:val="000000" w:themeColor="text1"/>
                <w:sz w:val="22"/>
                <w:szCs w:val="22"/>
              </w:rPr>
              <w:t>Lp.</w:t>
            </w:r>
          </w:p>
        </w:tc>
        <w:tc>
          <w:tcPr>
            <w:tcW w:w="4330" w:type="dxa"/>
            <w:shd w:val="clear" w:color="auto" w:fill="DEEAF6" w:themeFill="accent1" w:themeFillTint="33"/>
          </w:tcPr>
          <w:p w14:paraId="516B80D6" w14:textId="77777777" w:rsidR="00252358" w:rsidRPr="009B78DA" w:rsidRDefault="00252358"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Opis Ryzyka</w:t>
            </w:r>
          </w:p>
        </w:tc>
        <w:tc>
          <w:tcPr>
            <w:tcW w:w="2478" w:type="dxa"/>
            <w:shd w:val="clear" w:color="auto" w:fill="DEEAF6" w:themeFill="accent1" w:themeFillTint="33"/>
          </w:tcPr>
          <w:p w14:paraId="243A63F1" w14:textId="77777777" w:rsidR="00252358" w:rsidRPr="009B78DA" w:rsidRDefault="00252358"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Skala prawdopodobieństwa</w:t>
            </w:r>
          </w:p>
        </w:tc>
        <w:tc>
          <w:tcPr>
            <w:tcW w:w="1708" w:type="dxa"/>
            <w:shd w:val="clear" w:color="auto" w:fill="DEEAF6" w:themeFill="accent1" w:themeFillTint="33"/>
          </w:tcPr>
          <w:p w14:paraId="6F18D1FD" w14:textId="77777777" w:rsidR="00252358" w:rsidRPr="009B78DA" w:rsidRDefault="00252358" w:rsidP="00070C2E">
            <w:pPr>
              <w:jc w:val="center"/>
              <w:rPr>
                <w:rFonts w:ascii="Arial" w:hAnsi="Arial" w:cs="Arial"/>
                <w:b/>
                <w:bCs/>
                <w:color w:val="000000" w:themeColor="text1"/>
                <w:sz w:val="22"/>
                <w:szCs w:val="22"/>
              </w:rPr>
            </w:pPr>
            <w:r w:rsidRPr="009B78DA">
              <w:rPr>
                <w:rFonts w:ascii="Arial" w:hAnsi="Arial" w:cs="Arial"/>
                <w:b/>
                <w:bCs/>
                <w:color w:val="000000" w:themeColor="text1"/>
                <w:sz w:val="22"/>
                <w:szCs w:val="22"/>
              </w:rPr>
              <w:t>Siła oddziaływania</w:t>
            </w:r>
          </w:p>
        </w:tc>
      </w:tr>
      <w:tr w:rsidR="00252358" w:rsidRPr="009B78DA" w14:paraId="1FCFECD8" w14:textId="77777777" w:rsidTr="00070C2E">
        <w:trPr>
          <w:cantSplit/>
        </w:trPr>
        <w:tc>
          <w:tcPr>
            <w:tcW w:w="546" w:type="dxa"/>
            <w:shd w:val="clear" w:color="auto" w:fill="E2EFD9" w:themeFill="accent6" w:themeFillTint="33"/>
          </w:tcPr>
          <w:p w14:paraId="06C4C8E8"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20</w:t>
            </w:r>
          </w:p>
        </w:tc>
        <w:tc>
          <w:tcPr>
            <w:tcW w:w="4330" w:type="dxa"/>
            <w:shd w:val="clear" w:color="auto" w:fill="E2EFD9" w:themeFill="accent6" w:themeFillTint="33"/>
          </w:tcPr>
          <w:p w14:paraId="465C2693"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Konflikty społeczne związane z prowadzeniem inwestycji (związane m.in. z regulacjami stanu prawnego nieruchomości, wywłaszczeniem nieruchomości na cele publiczne).</w:t>
            </w:r>
          </w:p>
        </w:tc>
        <w:tc>
          <w:tcPr>
            <w:tcW w:w="2478" w:type="dxa"/>
            <w:shd w:val="clear" w:color="auto" w:fill="E2EFD9" w:themeFill="accent6" w:themeFillTint="33"/>
            <w:vAlign w:val="center"/>
          </w:tcPr>
          <w:p w14:paraId="5840BB61"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B</w:t>
            </w:r>
          </w:p>
        </w:tc>
        <w:tc>
          <w:tcPr>
            <w:tcW w:w="1708" w:type="dxa"/>
            <w:shd w:val="clear" w:color="auto" w:fill="E2EFD9" w:themeFill="accent6" w:themeFillTint="33"/>
            <w:vAlign w:val="center"/>
          </w:tcPr>
          <w:p w14:paraId="46615A3F"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w:t>
            </w:r>
          </w:p>
        </w:tc>
      </w:tr>
      <w:tr w:rsidR="00252358" w:rsidRPr="009B78DA" w14:paraId="1A3E1D0A" w14:textId="77777777" w:rsidTr="00070C2E">
        <w:trPr>
          <w:cantSplit/>
        </w:trPr>
        <w:tc>
          <w:tcPr>
            <w:tcW w:w="546" w:type="dxa"/>
            <w:shd w:val="clear" w:color="auto" w:fill="FFF2CC" w:themeFill="accent4" w:themeFillTint="33"/>
          </w:tcPr>
          <w:p w14:paraId="06BDD8AA"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21</w:t>
            </w:r>
          </w:p>
        </w:tc>
        <w:tc>
          <w:tcPr>
            <w:tcW w:w="4330" w:type="dxa"/>
            <w:shd w:val="clear" w:color="auto" w:fill="FFF2CC" w:themeFill="accent4" w:themeFillTint="33"/>
          </w:tcPr>
          <w:p w14:paraId="3C2D9C18" w14:textId="77777777" w:rsidR="00252358" w:rsidRPr="009B78DA" w:rsidRDefault="00252358" w:rsidP="00070C2E">
            <w:pPr>
              <w:rPr>
                <w:rFonts w:ascii="Arial" w:hAnsi="Arial" w:cs="Arial"/>
                <w:color w:val="000000" w:themeColor="text1"/>
                <w:sz w:val="22"/>
                <w:szCs w:val="22"/>
              </w:rPr>
            </w:pPr>
            <w:r w:rsidRPr="009B78DA">
              <w:rPr>
                <w:rFonts w:ascii="Arial" w:hAnsi="Arial" w:cs="Arial"/>
                <w:color w:val="000000" w:themeColor="text1"/>
                <w:sz w:val="22"/>
                <w:szCs w:val="22"/>
              </w:rPr>
              <w:t>Niewystarczająca znajomość tematyki Programu wśród mieszkańców i brak zaangażowania, skutkujące brakiem społecznej akceptacji dla realizowanych działań i utrudnieniem zmiany podziału modalnego na korzyść transportu zbiorowego i ekologicznego.</w:t>
            </w:r>
          </w:p>
        </w:tc>
        <w:tc>
          <w:tcPr>
            <w:tcW w:w="2478" w:type="dxa"/>
            <w:shd w:val="clear" w:color="auto" w:fill="FFF2CC" w:themeFill="accent4" w:themeFillTint="33"/>
            <w:vAlign w:val="center"/>
          </w:tcPr>
          <w:p w14:paraId="3CCA103F"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B</w:t>
            </w:r>
          </w:p>
        </w:tc>
        <w:tc>
          <w:tcPr>
            <w:tcW w:w="1708" w:type="dxa"/>
            <w:shd w:val="clear" w:color="auto" w:fill="FFF2CC" w:themeFill="accent4" w:themeFillTint="33"/>
            <w:vAlign w:val="center"/>
          </w:tcPr>
          <w:p w14:paraId="2EDE1E53" w14:textId="77777777" w:rsidR="00252358" w:rsidRPr="009B78DA" w:rsidRDefault="00252358" w:rsidP="00070C2E">
            <w:pPr>
              <w:jc w:val="center"/>
              <w:rPr>
                <w:rFonts w:ascii="Arial" w:hAnsi="Arial" w:cs="Arial"/>
                <w:color w:val="000000" w:themeColor="text1"/>
                <w:sz w:val="22"/>
                <w:szCs w:val="22"/>
              </w:rPr>
            </w:pPr>
            <w:r w:rsidRPr="009B78DA">
              <w:rPr>
                <w:rFonts w:ascii="Arial" w:hAnsi="Arial" w:cs="Arial"/>
                <w:color w:val="000000" w:themeColor="text1"/>
                <w:sz w:val="22"/>
                <w:szCs w:val="22"/>
              </w:rPr>
              <w:t>III</w:t>
            </w:r>
          </w:p>
        </w:tc>
      </w:tr>
    </w:tbl>
    <w:p w14:paraId="4444A2EF" w14:textId="4C45684A" w:rsidR="00FE16ED" w:rsidRPr="009B78DA" w:rsidRDefault="00FE16ED" w:rsidP="005E7040">
      <w:pPr>
        <w:spacing w:before="120"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Szacunkowa ocena wystąpienia ryzyk jest trudna do jednoznacznego określenia z powodu ich współzależności oraz braku możliwości jednoznacznego wyodrębniania wpływu czynnika na realizację Programu. Bardzo trudne jest określenie zależności czynników o charakte</w:t>
      </w:r>
      <w:r w:rsidR="005E7040">
        <w:rPr>
          <w:rFonts w:ascii="Arial" w:hAnsi="Arial" w:cs="Arial"/>
          <w:color w:val="000000" w:themeColor="text1"/>
          <w:sz w:val="22"/>
          <w:szCs w:val="22"/>
        </w:rPr>
        <w:t>rze politycznym i ekonomicznym.</w:t>
      </w:r>
    </w:p>
    <w:p w14:paraId="182B9407" w14:textId="19F415A0" w:rsidR="00FE16ED" w:rsidRPr="009B78DA" w:rsidRDefault="00FE16ED" w:rsidP="005E7040">
      <w:pPr>
        <w:spacing w:after="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Reakcja na ryzyko </w:t>
      </w:r>
      <w:r w:rsidR="00644E46"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podjęcie właściwych działań </w:t>
      </w:r>
      <w:r w:rsidR="00644E46"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pozwala na przeciwdziałanie i łagodzenie konsekwencji. Mogą to być:</w:t>
      </w:r>
    </w:p>
    <w:p w14:paraId="5ADA84EB" w14:textId="77777777" w:rsidR="00FE16ED" w:rsidRPr="009B78DA" w:rsidRDefault="00FE16ED" w:rsidP="005E7040">
      <w:pPr>
        <w:pStyle w:val="Akapitzlist"/>
        <w:numPr>
          <w:ilvl w:val="0"/>
          <w:numId w:val="255"/>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zapobieganie – zmiana planu przedsięwzięcia, </w:t>
      </w:r>
      <w:bookmarkStart w:id="441" w:name="_Hlk86910572"/>
      <w:r w:rsidRPr="009B78DA">
        <w:rPr>
          <w:rFonts w:ascii="Arial" w:hAnsi="Arial" w:cs="Arial"/>
          <w:color w:val="000000" w:themeColor="text1"/>
          <w:sz w:val="22"/>
          <w:szCs w:val="22"/>
        </w:rPr>
        <w:t>wdrożenie działań zaradczych eliminujących zagrożenie lub eliminujące wpływ ryzyka na Program</w:t>
      </w:r>
      <w:bookmarkEnd w:id="441"/>
      <w:r w:rsidRPr="009B78DA">
        <w:rPr>
          <w:rFonts w:ascii="Arial" w:hAnsi="Arial" w:cs="Arial"/>
          <w:color w:val="000000" w:themeColor="text1"/>
          <w:sz w:val="22"/>
          <w:szCs w:val="22"/>
        </w:rPr>
        <w:t>;</w:t>
      </w:r>
    </w:p>
    <w:p w14:paraId="0C2A03F1" w14:textId="77777777" w:rsidR="00FE16ED" w:rsidRPr="009B78DA" w:rsidRDefault="00FE16ED" w:rsidP="005E7040">
      <w:pPr>
        <w:pStyle w:val="Akapitzlist"/>
        <w:numPr>
          <w:ilvl w:val="0"/>
          <w:numId w:val="255"/>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ograniczanie – zmniejszenie prawdopodobieństwa wystąpienia ryzyka (lub jego skutków) przez wprowadzenie zmian, przewidywanie i reagowanie zanim ryzyko wystąpi;</w:t>
      </w:r>
    </w:p>
    <w:p w14:paraId="42E5DC7D" w14:textId="700E0BF1" w:rsidR="00FE16ED" w:rsidRPr="009B78DA" w:rsidRDefault="00FE16ED" w:rsidP="005E7040">
      <w:pPr>
        <w:pStyle w:val="Akapitzlist"/>
        <w:numPr>
          <w:ilvl w:val="0"/>
          <w:numId w:val="255"/>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przeniesienie – przeniesienie odpowiedzialności za ryzyko na inne podmioty </w:t>
      </w:r>
      <w:r w:rsidR="000E1E87">
        <w:rPr>
          <w:rFonts w:ascii="Arial" w:hAnsi="Arial" w:cs="Arial"/>
          <w:color w:val="000000" w:themeColor="text1"/>
          <w:sz w:val="22"/>
          <w:szCs w:val="22"/>
        </w:rPr>
        <w:br/>
      </w:r>
      <w:r w:rsidRPr="009B78DA">
        <w:rPr>
          <w:rFonts w:ascii="Arial" w:hAnsi="Arial" w:cs="Arial"/>
          <w:color w:val="000000" w:themeColor="text1"/>
          <w:sz w:val="22"/>
          <w:szCs w:val="22"/>
        </w:rPr>
        <w:t>(za określoną cenę), które będą w stanie lepiej kontrolować dane ryzyko;</w:t>
      </w:r>
    </w:p>
    <w:p w14:paraId="02823236" w14:textId="71C823B5" w:rsidR="00FE16ED" w:rsidRPr="009B78DA" w:rsidRDefault="00FE16ED" w:rsidP="005E7040">
      <w:pPr>
        <w:pStyle w:val="Akapitzlist"/>
        <w:numPr>
          <w:ilvl w:val="0"/>
          <w:numId w:val="255"/>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akceptacja – nie można zapobiec ryzyku, ograniczyć go lub przenieść, podejście wymaga opracowania planu awaryjnego.</w:t>
      </w:r>
    </w:p>
    <w:p w14:paraId="57CCFC82" w14:textId="745D875B" w:rsidR="00FE16ED" w:rsidRPr="009B78DA" w:rsidRDefault="00FE16ED" w:rsidP="005E7040">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odniesieniu do ryzyk </w:t>
      </w:r>
      <w:r w:rsidRPr="009B78DA">
        <w:rPr>
          <w:rFonts w:ascii="Arial" w:hAnsi="Arial" w:cs="Arial"/>
          <w:b/>
          <w:bCs/>
          <w:color w:val="000000" w:themeColor="text1"/>
          <w:sz w:val="22"/>
          <w:szCs w:val="22"/>
        </w:rPr>
        <w:t>politycznych i prawnych,</w:t>
      </w:r>
      <w:r w:rsidRPr="009B78DA">
        <w:rPr>
          <w:rFonts w:ascii="Arial" w:hAnsi="Arial" w:cs="Arial"/>
          <w:color w:val="000000" w:themeColor="text1"/>
          <w:sz w:val="22"/>
          <w:szCs w:val="22"/>
        </w:rPr>
        <w:t xml:space="preserve"> właściwym rozwiązaniem mogą być: akceptacja i</w:t>
      </w:r>
      <w:r w:rsidR="00B74C98" w:rsidRPr="009B78DA">
        <w:rPr>
          <w:rFonts w:ascii="Arial" w:hAnsi="Arial" w:cs="Arial"/>
          <w:color w:val="000000" w:themeColor="text1"/>
          <w:sz w:val="22"/>
          <w:szCs w:val="22"/>
        </w:rPr>
        <w:t>/lub</w:t>
      </w:r>
      <w:r w:rsidRPr="009B78DA">
        <w:rPr>
          <w:rFonts w:ascii="Arial" w:hAnsi="Arial" w:cs="Arial"/>
          <w:color w:val="000000" w:themeColor="text1"/>
          <w:sz w:val="22"/>
          <w:szCs w:val="22"/>
        </w:rPr>
        <w:t xml:space="preserve"> zapobieganie oznaczające aktywność polityczną zmierzającą do zmiany polityk</w:t>
      </w:r>
      <w:r w:rsidR="005E7040">
        <w:rPr>
          <w:rFonts w:ascii="Arial" w:hAnsi="Arial" w:cs="Arial"/>
          <w:color w:val="000000" w:themeColor="text1"/>
          <w:sz w:val="22"/>
          <w:szCs w:val="22"/>
        </w:rPr>
        <w:t>i i/lub prawa.</w:t>
      </w:r>
    </w:p>
    <w:p w14:paraId="6DFFFE96" w14:textId="77777777" w:rsidR="00FE16ED" w:rsidRPr="009B78DA" w:rsidRDefault="00FE16ED" w:rsidP="005E7040">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Akceptacja i zapobieganie mogą również stanowić podstawę w zarządzaniu ryzykiem związanym z kwestiami </w:t>
      </w:r>
      <w:r w:rsidRPr="009B78DA">
        <w:rPr>
          <w:rFonts w:ascii="Arial" w:hAnsi="Arial" w:cs="Arial"/>
          <w:b/>
          <w:bCs/>
          <w:color w:val="000000" w:themeColor="text1"/>
          <w:sz w:val="22"/>
          <w:szCs w:val="22"/>
        </w:rPr>
        <w:t>środowiskowymi i kulturowymi</w:t>
      </w:r>
      <w:r w:rsidRPr="009B78DA">
        <w:rPr>
          <w:rFonts w:ascii="Arial" w:hAnsi="Arial" w:cs="Arial"/>
          <w:color w:val="000000" w:themeColor="text1"/>
          <w:sz w:val="22"/>
          <w:szCs w:val="22"/>
        </w:rPr>
        <w:t xml:space="preserve">. </w:t>
      </w:r>
    </w:p>
    <w:p w14:paraId="10D6BEE6" w14:textId="77777777" w:rsidR="00FE16ED" w:rsidRPr="009B78DA" w:rsidRDefault="00FE16ED" w:rsidP="005E7040">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Ryzyka związane z czynnikami </w:t>
      </w:r>
      <w:r w:rsidRPr="009B78DA">
        <w:rPr>
          <w:rFonts w:ascii="Arial" w:hAnsi="Arial" w:cs="Arial"/>
          <w:b/>
          <w:bCs/>
          <w:color w:val="000000" w:themeColor="text1"/>
          <w:sz w:val="22"/>
          <w:szCs w:val="22"/>
        </w:rPr>
        <w:t xml:space="preserve">ekonomicznymi </w:t>
      </w:r>
      <w:r w:rsidRPr="009B78DA">
        <w:rPr>
          <w:rFonts w:ascii="Arial" w:hAnsi="Arial" w:cs="Arial"/>
          <w:bCs/>
          <w:color w:val="000000" w:themeColor="text1"/>
          <w:sz w:val="22"/>
          <w:szCs w:val="22"/>
        </w:rPr>
        <w:t>można</w:t>
      </w:r>
      <w:r w:rsidRPr="009B78DA">
        <w:rPr>
          <w:rFonts w:ascii="Arial" w:hAnsi="Arial" w:cs="Arial"/>
          <w:color w:val="000000" w:themeColor="text1"/>
          <w:sz w:val="22"/>
          <w:szCs w:val="22"/>
        </w:rPr>
        <w:t xml:space="preserve"> złagodzić poprzez wdrażanie działań zaradczych eliminujących zagrożenie lub wpływ ryzyka na Program. </w:t>
      </w:r>
    </w:p>
    <w:p w14:paraId="19664184" w14:textId="464F436B" w:rsidR="00FE16ED" w:rsidRPr="009B78DA" w:rsidRDefault="00FE16ED" w:rsidP="005E7040">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Strategia zarządzania ryzykiem </w:t>
      </w:r>
      <w:r w:rsidRPr="009B78DA">
        <w:rPr>
          <w:rFonts w:ascii="Arial" w:hAnsi="Arial" w:cs="Arial"/>
          <w:b/>
          <w:bCs/>
          <w:color w:val="000000" w:themeColor="text1"/>
          <w:sz w:val="22"/>
          <w:szCs w:val="22"/>
        </w:rPr>
        <w:t xml:space="preserve">organizacyjnym </w:t>
      </w:r>
      <w:r w:rsidRPr="009B78DA">
        <w:rPr>
          <w:rFonts w:ascii="Arial" w:hAnsi="Arial" w:cs="Arial"/>
          <w:color w:val="000000" w:themeColor="text1"/>
          <w:sz w:val="22"/>
          <w:szCs w:val="22"/>
        </w:rPr>
        <w:t xml:space="preserve">powinna być prowadzona poprzez akceptację lub przeniesienie odpowiedzialności za </w:t>
      </w:r>
      <w:r w:rsidR="005E7040">
        <w:rPr>
          <w:rFonts w:ascii="Arial" w:hAnsi="Arial" w:cs="Arial"/>
          <w:color w:val="000000" w:themeColor="text1"/>
          <w:sz w:val="22"/>
          <w:szCs w:val="22"/>
        </w:rPr>
        <w:t>pewne ryzyka na stronę trzecią.</w:t>
      </w:r>
    </w:p>
    <w:p w14:paraId="0FE29862" w14:textId="7214E0D5" w:rsidR="005E7040" w:rsidRDefault="00FE16ED" w:rsidP="005E7040">
      <w:pPr>
        <w:spacing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W odniesieniu do ryzyk </w:t>
      </w:r>
      <w:r w:rsidRPr="009B78DA">
        <w:rPr>
          <w:rFonts w:ascii="Arial" w:hAnsi="Arial" w:cs="Arial"/>
          <w:b/>
          <w:bCs/>
          <w:color w:val="000000" w:themeColor="text1"/>
          <w:sz w:val="22"/>
          <w:szCs w:val="22"/>
        </w:rPr>
        <w:t>społecznych,</w:t>
      </w:r>
      <w:r w:rsidRPr="009B78DA">
        <w:rPr>
          <w:rFonts w:ascii="Arial" w:hAnsi="Arial" w:cs="Arial"/>
          <w:color w:val="000000" w:themeColor="text1"/>
          <w:sz w:val="22"/>
          <w:szCs w:val="22"/>
        </w:rPr>
        <w:t xml:space="preserve"> właściwą strategią zarządzania może być przeniesienie i ograniczanie.</w:t>
      </w:r>
    </w:p>
    <w:p w14:paraId="260247B0" w14:textId="77777777" w:rsidR="005E7040" w:rsidRDefault="005E7040">
      <w:pPr>
        <w:rPr>
          <w:rFonts w:ascii="Arial" w:hAnsi="Arial" w:cs="Arial"/>
          <w:color w:val="000000" w:themeColor="text1"/>
          <w:sz w:val="22"/>
          <w:szCs w:val="22"/>
        </w:rPr>
      </w:pPr>
      <w:r>
        <w:rPr>
          <w:rFonts w:ascii="Arial" w:hAnsi="Arial" w:cs="Arial"/>
          <w:color w:val="000000" w:themeColor="text1"/>
          <w:sz w:val="22"/>
          <w:szCs w:val="22"/>
        </w:rPr>
        <w:br w:type="page"/>
      </w:r>
    </w:p>
    <w:p w14:paraId="5AB80195" w14:textId="77777777" w:rsidR="00D12CEB" w:rsidRPr="009B78DA" w:rsidRDefault="00D12CEB" w:rsidP="00870F15">
      <w:pPr>
        <w:pStyle w:val="Nagwek1"/>
        <w:rPr>
          <w:b/>
          <w:color w:val="000000" w:themeColor="text1"/>
          <w:sz w:val="24"/>
          <w:szCs w:val="24"/>
          <w:u w:val="single"/>
        </w:rPr>
      </w:pPr>
      <w:bookmarkStart w:id="442" w:name="_Toc146785814"/>
      <w:r w:rsidRPr="009B78DA">
        <w:rPr>
          <w:b/>
          <w:color w:val="000000" w:themeColor="text1"/>
          <w:sz w:val="24"/>
          <w:szCs w:val="24"/>
          <w:u w:val="single"/>
        </w:rPr>
        <w:t>Spis rysunków</w:t>
      </w:r>
      <w:bookmarkEnd w:id="442"/>
    </w:p>
    <w:p w14:paraId="141CDACE" w14:textId="77777777" w:rsidR="006F25E0" w:rsidRPr="006F25E0" w:rsidRDefault="00D12CEB" w:rsidP="006F25E0">
      <w:pPr>
        <w:pStyle w:val="Spisilustracji"/>
        <w:tabs>
          <w:tab w:val="right" w:leader="dot" w:pos="9062"/>
        </w:tabs>
        <w:spacing w:before="40" w:after="40" w:line="276" w:lineRule="auto"/>
        <w:rPr>
          <w:rFonts w:ascii="Arial" w:eastAsiaTheme="minorEastAsia" w:hAnsi="Arial" w:cs="Arial"/>
          <w:noProof/>
          <w:sz w:val="22"/>
          <w:szCs w:val="22"/>
        </w:rPr>
      </w:pPr>
      <w:r w:rsidRPr="009B78DA">
        <w:rPr>
          <w:rFonts w:ascii="Arial" w:hAnsi="Arial" w:cs="Arial"/>
          <w:color w:val="000000" w:themeColor="text1"/>
          <w:sz w:val="22"/>
          <w:szCs w:val="22"/>
        </w:rPr>
        <w:fldChar w:fldCharType="begin"/>
      </w:r>
      <w:r w:rsidRPr="009B78DA">
        <w:rPr>
          <w:rFonts w:ascii="Arial" w:hAnsi="Arial" w:cs="Arial"/>
          <w:color w:val="000000" w:themeColor="text1"/>
          <w:sz w:val="22"/>
          <w:szCs w:val="22"/>
        </w:rPr>
        <w:instrText xml:space="preserve"> TOC \h \z \c "Rysunek " </w:instrText>
      </w:r>
      <w:r w:rsidRPr="009B78DA">
        <w:rPr>
          <w:rFonts w:ascii="Arial" w:hAnsi="Arial" w:cs="Arial"/>
          <w:color w:val="000000" w:themeColor="text1"/>
          <w:sz w:val="22"/>
          <w:szCs w:val="22"/>
        </w:rPr>
        <w:fldChar w:fldCharType="separate"/>
      </w:r>
      <w:hyperlink w:anchor="_Toc146785630" w:history="1">
        <w:r w:rsidR="006F25E0" w:rsidRPr="006F25E0">
          <w:rPr>
            <w:rStyle w:val="Hipercze"/>
            <w:rFonts w:ascii="Arial" w:eastAsiaTheme="majorEastAsia" w:hAnsi="Arial" w:cs="Arial"/>
            <w:b/>
            <w:noProof/>
            <w:sz w:val="22"/>
            <w:szCs w:val="22"/>
          </w:rPr>
          <w:t>Rysunek 1</w:t>
        </w:r>
        <w:r w:rsidR="006F25E0" w:rsidRPr="006F25E0">
          <w:rPr>
            <w:rStyle w:val="Hipercze"/>
            <w:rFonts w:ascii="Arial" w:eastAsiaTheme="majorEastAsia" w:hAnsi="Arial" w:cs="Arial"/>
            <w:noProof/>
            <w:sz w:val="22"/>
            <w:szCs w:val="22"/>
          </w:rPr>
          <w:t xml:space="preserve"> Schemat obrazujący układ Programu Strategicznego Rozwoju Transportu Województwa Podkarpackiego do roku 2030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_Toc146785630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14</w:t>
        </w:r>
        <w:r w:rsidR="006F25E0" w:rsidRPr="006F25E0">
          <w:rPr>
            <w:rFonts w:ascii="Arial" w:hAnsi="Arial" w:cs="Arial"/>
            <w:noProof/>
            <w:webHidden/>
            <w:sz w:val="22"/>
            <w:szCs w:val="22"/>
          </w:rPr>
          <w:fldChar w:fldCharType="end"/>
        </w:r>
      </w:hyperlink>
    </w:p>
    <w:p w14:paraId="3202C523"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31" w:history="1">
        <w:r w:rsidR="006F25E0" w:rsidRPr="006F25E0">
          <w:rPr>
            <w:rStyle w:val="Hipercze"/>
            <w:rFonts w:ascii="Arial" w:eastAsiaTheme="majorEastAsia" w:hAnsi="Arial" w:cs="Arial"/>
            <w:b/>
            <w:noProof/>
            <w:sz w:val="22"/>
            <w:szCs w:val="22"/>
          </w:rPr>
          <w:t>Rysunek 2</w:t>
        </w:r>
        <w:r w:rsidR="006F25E0" w:rsidRPr="006F25E0">
          <w:rPr>
            <w:rStyle w:val="Hipercze"/>
            <w:rFonts w:ascii="Arial" w:eastAsiaTheme="majorEastAsia" w:hAnsi="Arial" w:cs="Arial"/>
            <w:noProof/>
            <w:sz w:val="22"/>
            <w:szCs w:val="22"/>
          </w:rPr>
          <w:t xml:space="preserve"> Saldo migracji stałej na 1000 ludności w województwie podkarpackim wg gmin  w 2022 r. [‰]</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_Toc146785631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18</w:t>
        </w:r>
        <w:r w:rsidR="006F25E0" w:rsidRPr="006F25E0">
          <w:rPr>
            <w:rFonts w:ascii="Arial" w:hAnsi="Arial" w:cs="Arial"/>
            <w:noProof/>
            <w:webHidden/>
            <w:sz w:val="22"/>
            <w:szCs w:val="22"/>
          </w:rPr>
          <w:fldChar w:fldCharType="end"/>
        </w:r>
      </w:hyperlink>
    </w:p>
    <w:p w14:paraId="2F51A15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32" w:history="1">
        <w:r w:rsidR="006F25E0" w:rsidRPr="006F25E0">
          <w:rPr>
            <w:rStyle w:val="Hipercze"/>
            <w:rFonts w:ascii="Arial" w:eastAsiaTheme="majorEastAsia" w:hAnsi="Arial" w:cs="Arial"/>
            <w:b/>
            <w:noProof/>
            <w:sz w:val="22"/>
            <w:szCs w:val="22"/>
          </w:rPr>
          <w:t>Rysunek 3</w:t>
        </w:r>
        <w:r w:rsidR="006F25E0" w:rsidRPr="006F25E0">
          <w:rPr>
            <w:rStyle w:val="Hipercze"/>
            <w:rFonts w:ascii="Arial" w:eastAsiaTheme="majorEastAsia" w:hAnsi="Arial" w:cs="Arial"/>
            <w:noProof/>
            <w:sz w:val="22"/>
            <w:szCs w:val="22"/>
          </w:rPr>
          <w:t xml:space="preserve"> Obszary osuwiskowe na terenie województwa podkarpackiego (stan w 2019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_Toc146785632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20</w:t>
        </w:r>
        <w:r w:rsidR="006F25E0" w:rsidRPr="006F25E0">
          <w:rPr>
            <w:rFonts w:ascii="Arial" w:hAnsi="Arial" w:cs="Arial"/>
            <w:noProof/>
            <w:webHidden/>
            <w:sz w:val="22"/>
            <w:szCs w:val="22"/>
          </w:rPr>
          <w:fldChar w:fldCharType="end"/>
        </w:r>
      </w:hyperlink>
    </w:p>
    <w:p w14:paraId="69A64C7B"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33" w:history="1">
        <w:r w:rsidR="006F25E0" w:rsidRPr="006F25E0">
          <w:rPr>
            <w:rStyle w:val="Hipercze"/>
            <w:rFonts w:ascii="Arial" w:eastAsiaTheme="majorEastAsia" w:hAnsi="Arial" w:cs="Arial"/>
            <w:b/>
            <w:noProof/>
            <w:sz w:val="22"/>
            <w:szCs w:val="22"/>
          </w:rPr>
          <w:t>Rysunek 4</w:t>
        </w:r>
        <w:r w:rsidR="006F25E0" w:rsidRPr="006F25E0">
          <w:rPr>
            <w:rStyle w:val="Hipercze"/>
            <w:rFonts w:ascii="Arial" w:eastAsiaTheme="majorEastAsia" w:hAnsi="Arial" w:cs="Arial"/>
            <w:noProof/>
            <w:sz w:val="22"/>
            <w:szCs w:val="22"/>
          </w:rPr>
          <w:t xml:space="preserve"> Nośność dróg krajowych w 2020/2021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_Toc146785633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26</w:t>
        </w:r>
        <w:r w:rsidR="006F25E0" w:rsidRPr="006F25E0">
          <w:rPr>
            <w:rFonts w:ascii="Arial" w:hAnsi="Arial" w:cs="Arial"/>
            <w:noProof/>
            <w:webHidden/>
            <w:sz w:val="22"/>
            <w:szCs w:val="22"/>
          </w:rPr>
          <w:fldChar w:fldCharType="end"/>
        </w:r>
      </w:hyperlink>
    </w:p>
    <w:p w14:paraId="2BD10365"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34" w:history="1">
        <w:r w:rsidR="006F25E0" w:rsidRPr="006F25E0">
          <w:rPr>
            <w:rStyle w:val="Hipercze"/>
            <w:rFonts w:ascii="Arial" w:eastAsiaTheme="majorEastAsia" w:hAnsi="Arial" w:cs="Arial"/>
            <w:b/>
            <w:noProof/>
            <w:sz w:val="22"/>
            <w:szCs w:val="22"/>
          </w:rPr>
          <w:t>Rysunek 5</w:t>
        </w:r>
        <w:r w:rsidR="006F25E0" w:rsidRPr="006F25E0">
          <w:rPr>
            <w:rStyle w:val="Hipercze"/>
            <w:rFonts w:ascii="Arial" w:eastAsiaTheme="majorEastAsia" w:hAnsi="Arial" w:cs="Arial"/>
            <w:noProof/>
            <w:sz w:val="22"/>
            <w:szCs w:val="22"/>
          </w:rPr>
          <w:t xml:space="preserve"> Nośność dróg wojewódzkich w 2021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_Toc146785634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27</w:t>
        </w:r>
        <w:r w:rsidR="006F25E0" w:rsidRPr="006F25E0">
          <w:rPr>
            <w:rFonts w:ascii="Arial" w:hAnsi="Arial" w:cs="Arial"/>
            <w:noProof/>
            <w:webHidden/>
            <w:sz w:val="22"/>
            <w:szCs w:val="22"/>
          </w:rPr>
          <w:fldChar w:fldCharType="end"/>
        </w:r>
      </w:hyperlink>
    </w:p>
    <w:p w14:paraId="0C7C0513"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35" w:history="1">
        <w:r w:rsidR="006F25E0" w:rsidRPr="006F25E0">
          <w:rPr>
            <w:rStyle w:val="Hipercze"/>
            <w:rFonts w:ascii="Arial" w:eastAsiaTheme="majorEastAsia" w:hAnsi="Arial" w:cs="Arial"/>
            <w:b/>
            <w:noProof/>
            <w:sz w:val="22"/>
            <w:szCs w:val="22"/>
          </w:rPr>
          <w:t>Rysunek 6</w:t>
        </w:r>
        <w:r w:rsidR="006F25E0" w:rsidRPr="006F25E0">
          <w:rPr>
            <w:rStyle w:val="Hipercze"/>
            <w:rFonts w:ascii="Arial" w:eastAsiaTheme="majorEastAsia" w:hAnsi="Arial" w:cs="Arial"/>
            <w:noProof/>
            <w:sz w:val="22"/>
            <w:szCs w:val="22"/>
          </w:rPr>
          <w:t xml:space="preserve"> Stan elektryfikacji linii kolejowych w 2021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_Toc146785635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29</w:t>
        </w:r>
        <w:r w:rsidR="006F25E0" w:rsidRPr="006F25E0">
          <w:rPr>
            <w:rFonts w:ascii="Arial" w:hAnsi="Arial" w:cs="Arial"/>
            <w:noProof/>
            <w:webHidden/>
            <w:sz w:val="22"/>
            <w:szCs w:val="22"/>
          </w:rPr>
          <w:fldChar w:fldCharType="end"/>
        </w:r>
      </w:hyperlink>
    </w:p>
    <w:p w14:paraId="0CDB530B"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36" w:history="1">
        <w:r w:rsidR="006F25E0" w:rsidRPr="006F25E0">
          <w:rPr>
            <w:rStyle w:val="Hipercze"/>
            <w:rFonts w:ascii="Arial" w:eastAsiaTheme="majorEastAsia" w:hAnsi="Arial" w:cs="Arial"/>
            <w:b/>
            <w:noProof/>
            <w:sz w:val="22"/>
            <w:szCs w:val="22"/>
          </w:rPr>
          <w:t>Rysunek 7</w:t>
        </w:r>
        <w:r w:rsidR="006F25E0" w:rsidRPr="006F25E0">
          <w:rPr>
            <w:rStyle w:val="Hipercze"/>
            <w:rFonts w:ascii="Arial" w:eastAsiaTheme="majorEastAsia" w:hAnsi="Arial" w:cs="Arial"/>
            <w:noProof/>
            <w:sz w:val="22"/>
            <w:szCs w:val="22"/>
          </w:rPr>
          <w:t xml:space="preserve"> Maksymalne prędkości techniczne na sieci kolejowej w 2019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_Toc146785636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30</w:t>
        </w:r>
        <w:r w:rsidR="006F25E0" w:rsidRPr="006F25E0">
          <w:rPr>
            <w:rFonts w:ascii="Arial" w:hAnsi="Arial" w:cs="Arial"/>
            <w:noProof/>
            <w:webHidden/>
            <w:sz w:val="22"/>
            <w:szCs w:val="22"/>
          </w:rPr>
          <w:fldChar w:fldCharType="end"/>
        </w:r>
      </w:hyperlink>
    </w:p>
    <w:p w14:paraId="550D75C2"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37" w:history="1">
        <w:r w:rsidR="006F25E0" w:rsidRPr="006F25E0">
          <w:rPr>
            <w:rStyle w:val="Hipercze"/>
            <w:rFonts w:ascii="Arial" w:eastAsiaTheme="majorEastAsia" w:hAnsi="Arial" w:cs="Arial"/>
            <w:b/>
            <w:noProof/>
            <w:sz w:val="22"/>
            <w:szCs w:val="22"/>
          </w:rPr>
          <w:t>Rysunek 8</w:t>
        </w:r>
        <w:r w:rsidR="006F25E0" w:rsidRPr="006F25E0">
          <w:rPr>
            <w:rStyle w:val="Hipercze"/>
            <w:rFonts w:ascii="Arial" w:eastAsiaTheme="majorEastAsia" w:hAnsi="Arial" w:cs="Arial"/>
            <w:noProof/>
            <w:sz w:val="22"/>
            <w:szCs w:val="22"/>
          </w:rPr>
          <w:t xml:space="preserve"> Lotniska i lądowiska (stan na czerwiec 2023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_Toc146785637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31</w:t>
        </w:r>
        <w:r w:rsidR="006F25E0" w:rsidRPr="006F25E0">
          <w:rPr>
            <w:rFonts w:ascii="Arial" w:hAnsi="Arial" w:cs="Arial"/>
            <w:noProof/>
            <w:webHidden/>
            <w:sz w:val="22"/>
            <w:szCs w:val="22"/>
          </w:rPr>
          <w:fldChar w:fldCharType="end"/>
        </w:r>
      </w:hyperlink>
    </w:p>
    <w:p w14:paraId="006B662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38" w:history="1">
        <w:r w:rsidR="006F25E0" w:rsidRPr="006F25E0">
          <w:rPr>
            <w:rStyle w:val="Hipercze"/>
            <w:rFonts w:ascii="Arial" w:eastAsiaTheme="majorEastAsia" w:hAnsi="Arial" w:cs="Arial"/>
            <w:b/>
            <w:noProof/>
            <w:sz w:val="22"/>
            <w:szCs w:val="22"/>
          </w:rPr>
          <w:t>Rysunek 9</w:t>
        </w:r>
        <w:r w:rsidR="006F25E0" w:rsidRPr="006F25E0">
          <w:rPr>
            <w:rStyle w:val="Hipercze"/>
            <w:rFonts w:ascii="Arial" w:eastAsiaTheme="majorEastAsia" w:hAnsi="Arial" w:cs="Arial"/>
            <w:noProof/>
            <w:sz w:val="22"/>
            <w:szCs w:val="22"/>
          </w:rPr>
          <w:t xml:space="preserve"> Punkty tankowania CNG i elektryczne punkty ładowania samochodów</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_Toc146785638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33</w:t>
        </w:r>
        <w:r w:rsidR="006F25E0" w:rsidRPr="006F25E0">
          <w:rPr>
            <w:rFonts w:ascii="Arial" w:hAnsi="Arial" w:cs="Arial"/>
            <w:noProof/>
            <w:webHidden/>
            <w:sz w:val="22"/>
            <w:szCs w:val="22"/>
          </w:rPr>
          <w:fldChar w:fldCharType="end"/>
        </w:r>
      </w:hyperlink>
    </w:p>
    <w:p w14:paraId="33399A84"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39" w:history="1">
        <w:r w:rsidR="006F25E0" w:rsidRPr="006F25E0">
          <w:rPr>
            <w:rStyle w:val="Hipercze"/>
            <w:rFonts w:ascii="Arial" w:eastAsiaTheme="majorEastAsia" w:hAnsi="Arial" w:cs="Arial"/>
            <w:b/>
            <w:noProof/>
            <w:sz w:val="22"/>
            <w:szCs w:val="22"/>
          </w:rPr>
          <w:t>Rysunek 10</w:t>
        </w:r>
        <w:r w:rsidR="006F25E0" w:rsidRPr="006F25E0">
          <w:rPr>
            <w:rStyle w:val="Hipercze"/>
            <w:rFonts w:ascii="Arial" w:eastAsiaTheme="majorEastAsia" w:hAnsi="Arial" w:cs="Arial"/>
            <w:noProof/>
            <w:sz w:val="22"/>
            <w:szCs w:val="22"/>
          </w:rPr>
          <w:t xml:space="preserve"> </w:t>
        </w:r>
        <w:r w:rsidR="006F25E0" w:rsidRPr="006F25E0">
          <w:rPr>
            <w:rStyle w:val="Hipercze"/>
            <w:rFonts w:ascii="Arial" w:eastAsiaTheme="majorEastAsia" w:hAnsi="Arial" w:cs="Arial"/>
            <w:iCs/>
            <w:noProof/>
            <w:sz w:val="22"/>
            <w:szCs w:val="22"/>
          </w:rPr>
          <w:t>Stan drogowej dostępności krajowej (WDDT osobowy) w województwie podkarpackim w 2023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_Toc146785639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34</w:t>
        </w:r>
        <w:r w:rsidR="006F25E0" w:rsidRPr="006F25E0">
          <w:rPr>
            <w:rFonts w:ascii="Arial" w:hAnsi="Arial" w:cs="Arial"/>
            <w:noProof/>
            <w:webHidden/>
            <w:sz w:val="22"/>
            <w:szCs w:val="22"/>
          </w:rPr>
          <w:fldChar w:fldCharType="end"/>
        </w:r>
      </w:hyperlink>
    </w:p>
    <w:p w14:paraId="43E978F8"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40" w:history="1">
        <w:r w:rsidR="006F25E0" w:rsidRPr="006F25E0">
          <w:rPr>
            <w:rStyle w:val="Hipercze"/>
            <w:rFonts w:ascii="Arial" w:eastAsiaTheme="majorEastAsia" w:hAnsi="Arial" w:cs="Arial"/>
            <w:b/>
            <w:noProof/>
            <w:sz w:val="22"/>
            <w:szCs w:val="22"/>
          </w:rPr>
          <w:t>Rysunek 11</w:t>
        </w:r>
        <w:r w:rsidR="006F25E0" w:rsidRPr="006F25E0">
          <w:rPr>
            <w:rStyle w:val="Hipercze"/>
            <w:rFonts w:ascii="Arial" w:eastAsiaTheme="majorEastAsia" w:hAnsi="Arial" w:cs="Arial"/>
            <w:noProof/>
            <w:sz w:val="22"/>
            <w:szCs w:val="22"/>
          </w:rPr>
          <w:t xml:space="preserve"> Zmiany krajowej, drogowej dostępności (WDDT) osobowej w województwie podkarpackim w wyniku inwestycji drogowych w latach 2013-2023</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_Toc146785640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35</w:t>
        </w:r>
        <w:r w:rsidR="006F25E0" w:rsidRPr="006F25E0">
          <w:rPr>
            <w:rFonts w:ascii="Arial" w:hAnsi="Arial" w:cs="Arial"/>
            <w:noProof/>
            <w:webHidden/>
            <w:sz w:val="22"/>
            <w:szCs w:val="22"/>
          </w:rPr>
          <w:fldChar w:fldCharType="end"/>
        </w:r>
      </w:hyperlink>
    </w:p>
    <w:p w14:paraId="6ED29E3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41" w:history="1">
        <w:r w:rsidR="006F25E0" w:rsidRPr="006F25E0">
          <w:rPr>
            <w:rStyle w:val="Hipercze"/>
            <w:rFonts w:ascii="Arial" w:eastAsiaTheme="majorEastAsia" w:hAnsi="Arial" w:cs="Arial"/>
            <w:b/>
            <w:noProof/>
            <w:sz w:val="22"/>
            <w:szCs w:val="22"/>
          </w:rPr>
          <w:t>Rysunek 12</w:t>
        </w:r>
        <w:r w:rsidR="006F25E0" w:rsidRPr="006F25E0">
          <w:rPr>
            <w:rStyle w:val="Hipercze"/>
            <w:rFonts w:ascii="Arial" w:eastAsiaTheme="majorEastAsia" w:hAnsi="Arial" w:cs="Arial"/>
            <w:noProof/>
            <w:sz w:val="22"/>
            <w:szCs w:val="22"/>
          </w:rPr>
          <w:t xml:space="preserve"> </w:t>
        </w:r>
        <w:r w:rsidR="006F25E0" w:rsidRPr="006F25E0">
          <w:rPr>
            <w:rStyle w:val="Hipercze"/>
            <w:rFonts w:ascii="Arial" w:eastAsiaTheme="majorEastAsia" w:hAnsi="Arial" w:cs="Arial"/>
            <w:iCs/>
            <w:noProof/>
            <w:sz w:val="22"/>
            <w:szCs w:val="22"/>
          </w:rPr>
          <w:t>Stan kolejowej dostępności krajowej (WKDT pasażerski) w województwie podkarpackim w 2023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_Toc146785641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36</w:t>
        </w:r>
        <w:r w:rsidR="006F25E0" w:rsidRPr="006F25E0">
          <w:rPr>
            <w:rFonts w:ascii="Arial" w:hAnsi="Arial" w:cs="Arial"/>
            <w:noProof/>
            <w:webHidden/>
            <w:sz w:val="22"/>
            <w:szCs w:val="22"/>
          </w:rPr>
          <w:fldChar w:fldCharType="end"/>
        </w:r>
      </w:hyperlink>
    </w:p>
    <w:p w14:paraId="210C9D84"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42" w:history="1">
        <w:r w:rsidR="006F25E0" w:rsidRPr="006F25E0">
          <w:rPr>
            <w:rStyle w:val="Hipercze"/>
            <w:rFonts w:ascii="Arial" w:eastAsiaTheme="majorEastAsia" w:hAnsi="Arial" w:cs="Arial"/>
            <w:b/>
            <w:noProof/>
            <w:sz w:val="22"/>
            <w:szCs w:val="22"/>
          </w:rPr>
          <w:t>Rysunek 13</w:t>
        </w:r>
        <w:r w:rsidR="006F25E0" w:rsidRPr="006F25E0">
          <w:rPr>
            <w:rStyle w:val="Hipercze"/>
            <w:rFonts w:ascii="Arial" w:eastAsiaTheme="majorEastAsia" w:hAnsi="Arial" w:cs="Arial"/>
            <w:noProof/>
            <w:sz w:val="22"/>
            <w:szCs w:val="22"/>
          </w:rPr>
          <w:t xml:space="preserve"> Zmiany kolejowej dostępności krajowej (WKDT pasażerski) w województwie podkarpackim w latach 2013-2023</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_Toc146785642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36</w:t>
        </w:r>
        <w:r w:rsidR="006F25E0" w:rsidRPr="006F25E0">
          <w:rPr>
            <w:rFonts w:ascii="Arial" w:hAnsi="Arial" w:cs="Arial"/>
            <w:noProof/>
            <w:webHidden/>
            <w:sz w:val="22"/>
            <w:szCs w:val="22"/>
          </w:rPr>
          <w:fldChar w:fldCharType="end"/>
        </w:r>
      </w:hyperlink>
    </w:p>
    <w:p w14:paraId="7C039C6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43" w:history="1">
        <w:r w:rsidR="006F25E0" w:rsidRPr="006F25E0">
          <w:rPr>
            <w:rStyle w:val="Hipercze"/>
            <w:rFonts w:ascii="Arial" w:eastAsiaTheme="majorEastAsia" w:hAnsi="Arial" w:cs="Arial"/>
            <w:b/>
            <w:noProof/>
            <w:sz w:val="22"/>
            <w:szCs w:val="22"/>
          </w:rPr>
          <w:t>Rysunek 14</w:t>
        </w:r>
        <w:r w:rsidR="006F25E0" w:rsidRPr="006F25E0">
          <w:rPr>
            <w:rStyle w:val="Hipercze"/>
            <w:rFonts w:ascii="Arial" w:eastAsiaTheme="majorEastAsia" w:hAnsi="Arial" w:cs="Arial"/>
            <w:noProof/>
            <w:sz w:val="22"/>
            <w:szCs w:val="22"/>
          </w:rPr>
          <w:t xml:space="preserve"> Powiązania sieci komunikacyjnej z Rzeszowskim Obszarem Funkcjonalnym oraz pozostałymi obszarami funkcjonalnymi na tle województwa podkarpackiego</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_Toc146785643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38</w:t>
        </w:r>
        <w:r w:rsidR="006F25E0" w:rsidRPr="006F25E0">
          <w:rPr>
            <w:rFonts w:ascii="Arial" w:hAnsi="Arial" w:cs="Arial"/>
            <w:noProof/>
            <w:webHidden/>
            <w:sz w:val="22"/>
            <w:szCs w:val="22"/>
          </w:rPr>
          <w:fldChar w:fldCharType="end"/>
        </w:r>
      </w:hyperlink>
    </w:p>
    <w:p w14:paraId="3194184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44" w:history="1">
        <w:r w:rsidR="006F25E0" w:rsidRPr="006F25E0">
          <w:rPr>
            <w:rStyle w:val="Hipercze"/>
            <w:rFonts w:ascii="Arial" w:eastAsiaTheme="majorEastAsia" w:hAnsi="Arial" w:cs="Arial"/>
            <w:b/>
            <w:noProof/>
            <w:sz w:val="22"/>
            <w:szCs w:val="22"/>
          </w:rPr>
          <w:t>Rysunek 15</w:t>
        </w:r>
        <w:r w:rsidR="006F25E0" w:rsidRPr="006F25E0">
          <w:rPr>
            <w:rStyle w:val="Hipercze"/>
            <w:rFonts w:ascii="Arial" w:eastAsiaTheme="majorEastAsia" w:hAnsi="Arial" w:cs="Arial"/>
            <w:noProof/>
            <w:sz w:val="22"/>
            <w:szCs w:val="22"/>
          </w:rPr>
          <w:t xml:space="preserve"> Sieć transportowa w Rzeszowskim Obszarze Funkcjonalnym</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_Toc146785644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42</w:t>
        </w:r>
        <w:r w:rsidR="006F25E0" w:rsidRPr="006F25E0">
          <w:rPr>
            <w:rFonts w:ascii="Arial" w:hAnsi="Arial" w:cs="Arial"/>
            <w:noProof/>
            <w:webHidden/>
            <w:sz w:val="22"/>
            <w:szCs w:val="22"/>
          </w:rPr>
          <w:fldChar w:fldCharType="end"/>
        </w:r>
      </w:hyperlink>
    </w:p>
    <w:p w14:paraId="19731A68"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45" w:history="1">
        <w:r w:rsidR="006F25E0" w:rsidRPr="006F25E0">
          <w:rPr>
            <w:rStyle w:val="Hipercze"/>
            <w:rFonts w:ascii="Arial" w:eastAsiaTheme="majorEastAsia" w:hAnsi="Arial" w:cs="Arial"/>
            <w:b/>
            <w:noProof/>
            <w:sz w:val="22"/>
            <w:szCs w:val="22"/>
          </w:rPr>
          <w:t>Rysunek 16</w:t>
        </w:r>
        <w:r w:rsidR="006F25E0" w:rsidRPr="006F25E0">
          <w:rPr>
            <w:rStyle w:val="Hipercze"/>
            <w:rFonts w:ascii="Arial" w:eastAsiaTheme="majorEastAsia" w:hAnsi="Arial" w:cs="Arial"/>
            <w:noProof/>
            <w:sz w:val="22"/>
            <w:szCs w:val="22"/>
          </w:rPr>
          <w:t xml:space="preserve"> Sieć transportowa w obszarze funkcjonalnym Przemyśl</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_Toc146785645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44</w:t>
        </w:r>
        <w:r w:rsidR="006F25E0" w:rsidRPr="006F25E0">
          <w:rPr>
            <w:rFonts w:ascii="Arial" w:hAnsi="Arial" w:cs="Arial"/>
            <w:noProof/>
            <w:webHidden/>
            <w:sz w:val="22"/>
            <w:szCs w:val="22"/>
          </w:rPr>
          <w:fldChar w:fldCharType="end"/>
        </w:r>
      </w:hyperlink>
    </w:p>
    <w:p w14:paraId="6FC8C25F"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46" w:history="1">
        <w:r w:rsidR="006F25E0" w:rsidRPr="006F25E0">
          <w:rPr>
            <w:rStyle w:val="Hipercze"/>
            <w:rFonts w:ascii="Arial" w:eastAsiaTheme="majorEastAsia" w:hAnsi="Arial" w:cs="Arial"/>
            <w:b/>
            <w:noProof/>
            <w:sz w:val="22"/>
            <w:szCs w:val="22"/>
          </w:rPr>
          <w:t>Rysunek 17</w:t>
        </w:r>
        <w:r w:rsidR="006F25E0" w:rsidRPr="006F25E0">
          <w:rPr>
            <w:rStyle w:val="Hipercze"/>
            <w:rFonts w:ascii="Arial" w:eastAsiaTheme="majorEastAsia" w:hAnsi="Arial" w:cs="Arial"/>
            <w:noProof/>
            <w:sz w:val="22"/>
            <w:szCs w:val="22"/>
          </w:rPr>
          <w:t xml:space="preserve"> Sieć transportowa w obszarze funkcjonalnym Krosno</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_Toc146785646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45</w:t>
        </w:r>
        <w:r w:rsidR="006F25E0" w:rsidRPr="006F25E0">
          <w:rPr>
            <w:rFonts w:ascii="Arial" w:hAnsi="Arial" w:cs="Arial"/>
            <w:noProof/>
            <w:webHidden/>
            <w:sz w:val="22"/>
            <w:szCs w:val="22"/>
          </w:rPr>
          <w:fldChar w:fldCharType="end"/>
        </w:r>
      </w:hyperlink>
    </w:p>
    <w:p w14:paraId="03D5B85E"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47" w:history="1">
        <w:r w:rsidR="006F25E0" w:rsidRPr="006F25E0">
          <w:rPr>
            <w:rStyle w:val="Hipercze"/>
            <w:rFonts w:ascii="Arial" w:eastAsiaTheme="majorEastAsia" w:hAnsi="Arial" w:cs="Arial"/>
            <w:b/>
            <w:noProof/>
            <w:sz w:val="22"/>
            <w:szCs w:val="22"/>
          </w:rPr>
          <w:t>Rysunek 18</w:t>
        </w:r>
        <w:r w:rsidR="006F25E0" w:rsidRPr="006F25E0">
          <w:rPr>
            <w:rStyle w:val="Hipercze"/>
            <w:rFonts w:ascii="Arial" w:eastAsiaTheme="majorEastAsia" w:hAnsi="Arial" w:cs="Arial"/>
            <w:noProof/>
            <w:sz w:val="22"/>
            <w:szCs w:val="22"/>
          </w:rPr>
          <w:t xml:space="preserve"> Sieć transportowa w obszarze funkcjonalnym Jasło</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_Toc146785647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47</w:t>
        </w:r>
        <w:r w:rsidR="006F25E0" w:rsidRPr="006F25E0">
          <w:rPr>
            <w:rFonts w:ascii="Arial" w:hAnsi="Arial" w:cs="Arial"/>
            <w:noProof/>
            <w:webHidden/>
            <w:sz w:val="22"/>
            <w:szCs w:val="22"/>
          </w:rPr>
          <w:fldChar w:fldCharType="end"/>
        </w:r>
      </w:hyperlink>
    </w:p>
    <w:p w14:paraId="390E9962"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48" w:history="1">
        <w:r w:rsidR="006F25E0" w:rsidRPr="006F25E0">
          <w:rPr>
            <w:rStyle w:val="Hipercze"/>
            <w:rFonts w:ascii="Arial" w:eastAsiaTheme="majorEastAsia" w:hAnsi="Arial" w:cs="Arial"/>
            <w:b/>
            <w:noProof/>
            <w:sz w:val="22"/>
            <w:szCs w:val="22"/>
          </w:rPr>
          <w:t>Rysunek 19</w:t>
        </w:r>
        <w:r w:rsidR="006F25E0" w:rsidRPr="006F25E0">
          <w:rPr>
            <w:rStyle w:val="Hipercze"/>
            <w:rFonts w:ascii="Arial" w:eastAsiaTheme="majorEastAsia" w:hAnsi="Arial" w:cs="Arial"/>
            <w:noProof/>
            <w:sz w:val="22"/>
            <w:szCs w:val="22"/>
          </w:rPr>
          <w:t xml:space="preserve"> Sieć transportowa w obszarze funkcjonalnym Tarnobrzeg</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_Toc146785648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48</w:t>
        </w:r>
        <w:r w:rsidR="006F25E0" w:rsidRPr="006F25E0">
          <w:rPr>
            <w:rFonts w:ascii="Arial" w:hAnsi="Arial" w:cs="Arial"/>
            <w:noProof/>
            <w:webHidden/>
            <w:sz w:val="22"/>
            <w:szCs w:val="22"/>
          </w:rPr>
          <w:fldChar w:fldCharType="end"/>
        </w:r>
      </w:hyperlink>
    </w:p>
    <w:p w14:paraId="001F170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49" w:history="1">
        <w:r w:rsidR="006F25E0" w:rsidRPr="006F25E0">
          <w:rPr>
            <w:rStyle w:val="Hipercze"/>
            <w:rFonts w:ascii="Arial" w:eastAsiaTheme="majorEastAsia" w:hAnsi="Arial" w:cs="Arial"/>
            <w:b/>
            <w:noProof/>
            <w:sz w:val="22"/>
            <w:szCs w:val="22"/>
          </w:rPr>
          <w:t>Rysunek 20</w:t>
        </w:r>
        <w:r w:rsidR="006F25E0" w:rsidRPr="006F25E0">
          <w:rPr>
            <w:rStyle w:val="Hipercze"/>
            <w:rFonts w:ascii="Arial" w:eastAsiaTheme="majorEastAsia" w:hAnsi="Arial" w:cs="Arial"/>
            <w:noProof/>
            <w:sz w:val="22"/>
            <w:szCs w:val="22"/>
          </w:rPr>
          <w:t xml:space="preserve"> Sieć transportowa w obszarze funkcjonalnym Stalowa Wola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_Toc146785649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49</w:t>
        </w:r>
        <w:r w:rsidR="006F25E0" w:rsidRPr="006F25E0">
          <w:rPr>
            <w:rFonts w:ascii="Arial" w:hAnsi="Arial" w:cs="Arial"/>
            <w:noProof/>
            <w:webHidden/>
            <w:sz w:val="22"/>
            <w:szCs w:val="22"/>
          </w:rPr>
          <w:fldChar w:fldCharType="end"/>
        </w:r>
      </w:hyperlink>
    </w:p>
    <w:p w14:paraId="43C3138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50" w:history="1">
        <w:r w:rsidR="006F25E0" w:rsidRPr="006F25E0">
          <w:rPr>
            <w:rStyle w:val="Hipercze"/>
            <w:rFonts w:ascii="Arial" w:eastAsiaTheme="majorEastAsia" w:hAnsi="Arial" w:cs="Arial"/>
            <w:b/>
            <w:noProof/>
            <w:sz w:val="22"/>
            <w:szCs w:val="22"/>
          </w:rPr>
          <w:t>Rysunek 21</w:t>
        </w:r>
        <w:r w:rsidR="006F25E0" w:rsidRPr="006F25E0">
          <w:rPr>
            <w:rStyle w:val="Hipercze"/>
            <w:rFonts w:ascii="Arial" w:eastAsiaTheme="majorEastAsia" w:hAnsi="Arial" w:cs="Arial"/>
            <w:noProof/>
            <w:sz w:val="22"/>
            <w:szCs w:val="22"/>
          </w:rPr>
          <w:t xml:space="preserve"> Sieć transportowa w obszarze funkcjonalnym Lubaczów</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_Toc146785650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51</w:t>
        </w:r>
        <w:r w:rsidR="006F25E0" w:rsidRPr="006F25E0">
          <w:rPr>
            <w:rFonts w:ascii="Arial" w:hAnsi="Arial" w:cs="Arial"/>
            <w:noProof/>
            <w:webHidden/>
            <w:sz w:val="22"/>
            <w:szCs w:val="22"/>
          </w:rPr>
          <w:fldChar w:fldCharType="end"/>
        </w:r>
      </w:hyperlink>
    </w:p>
    <w:p w14:paraId="2DD0ED6C"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51" w:history="1">
        <w:r w:rsidR="006F25E0" w:rsidRPr="006F25E0">
          <w:rPr>
            <w:rStyle w:val="Hipercze"/>
            <w:rFonts w:ascii="Arial" w:eastAsiaTheme="majorEastAsia" w:hAnsi="Arial" w:cs="Arial"/>
            <w:b/>
            <w:noProof/>
            <w:sz w:val="22"/>
            <w:szCs w:val="22"/>
          </w:rPr>
          <w:t>Rysunek 22</w:t>
        </w:r>
        <w:r w:rsidR="006F25E0" w:rsidRPr="006F25E0">
          <w:rPr>
            <w:rStyle w:val="Hipercze"/>
            <w:rFonts w:ascii="Arial" w:eastAsiaTheme="majorEastAsia" w:hAnsi="Arial" w:cs="Arial"/>
            <w:noProof/>
            <w:sz w:val="22"/>
            <w:szCs w:val="22"/>
          </w:rPr>
          <w:t xml:space="preserve"> Sieć transportowa w obszarze funkcjonalnym Mielec</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_Toc146785651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52</w:t>
        </w:r>
        <w:r w:rsidR="006F25E0" w:rsidRPr="006F25E0">
          <w:rPr>
            <w:rFonts w:ascii="Arial" w:hAnsi="Arial" w:cs="Arial"/>
            <w:noProof/>
            <w:webHidden/>
            <w:sz w:val="22"/>
            <w:szCs w:val="22"/>
          </w:rPr>
          <w:fldChar w:fldCharType="end"/>
        </w:r>
      </w:hyperlink>
    </w:p>
    <w:p w14:paraId="4331261F"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52" w:history="1">
        <w:r w:rsidR="006F25E0" w:rsidRPr="006F25E0">
          <w:rPr>
            <w:rStyle w:val="Hipercze"/>
            <w:rFonts w:ascii="Arial" w:eastAsiaTheme="majorEastAsia" w:hAnsi="Arial" w:cs="Arial"/>
            <w:b/>
            <w:noProof/>
            <w:sz w:val="22"/>
            <w:szCs w:val="22"/>
          </w:rPr>
          <w:t>Rysunek 23</w:t>
        </w:r>
        <w:r w:rsidR="006F25E0" w:rsidRPr="006F25E0">
          <w:rPr>
            <w:rStyle w:val="Hipercze"/>
            <w:rFonts w:ascii="Arial" w:eastAsiaTheme="majorEastAsia" w:hAnsi="Arial" w:cs="Arial"/>
            <w:noProof/>
            <w:sz w:val="22"/>
            <w:szCs w:val="22"/>
          </w:rPr>
          <w:t xml:space="preserve"> Sieć transportowa w obszarze funkcjonalnym Dębica – Ropczyce</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_Toc146785652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53</w:t>
        </w:r>
        <w:r w:rsidR="006F25E0" w:rsidRPr="006F25E0">
          <w:rPr>
            <w:rFonts w:ascii="Arial" w:hAnsi="Arial" w:cs="Arial"/>
            <w:noProof/>
            <w:webHidden/>
            <w:sz w:val="22"/>
            <w:szCs w:val="22"/>
          </w:rPr>
          <w:fldChar w:fldCharType="end"/>
        </w:r>
      </w:hyperlink>
    </w:p>
    <w:p w14:paraId="4F903D9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53" w:history="1">
        <w:r w:rsidR="006F25E0" w:rsidRPr="006F25E0">
          <w:rPr>
            <w:rStyle w:val="Hipercze"/>
            <w:rFonts w:ascii="Arial" w:eastAsiaTheme="majorEastAsia" w:hAnsi="Arial" w:cs="Arial"/>
            <w:b/>
            <w:noProof/>
            <w:sz w:val="22"/>
            <w:szCs w:val="22"/>
          </w:rPr>
          <w:t>Rysunek 24</w:t>
        </w:r>
        <w:r w:rsidR="006F25E0" w:rsidRPr="006F25E0">
          <w:rPr>
            <w:rStyle w:val="Hipercze"/>
            <w:rFonts w:ascii="Arial" w:eastAsiaTheme="majorEastAsia" w:hAnsi="Arial" w:cs="Arial"/>
            <w:noProof/>
            <w:sz w:val="22"/>
            <w:szCs w:val="22"/>
          </w:rPr>
          <w:t xml:space="preserve"> Sieć transportowa w obszarze funkcjonalnym Jarosław – Przeworsk</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_Toc146785653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54</w:t>
        </w:r>
        <w:r w:rsidR="006F25E0" w:rsidRPr="006F25E0">
          <w:rPr>
            <w:rFonts w:ascii="Arial" w:hAnsi="Arial" w:cs="Arial"/>
            <w:noProof/>
            <w:webHidden/>
            <w:sz w:val="22"/>
            <w:szCs w:val="22"/>
          </w:rPr>
          <w:fldChar w:fldCharType="end"/>
        </w:r>
      </w:hyperlink>
    </w:p>
    <w:p w14:paraId="6B97AAE3"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54" w:history="1">
        <w:r w:rsidR="006F25E0" w:rsidRPr="006F25E0">
          <w:rPr>
            <w:rStyle w:val="Hipercze"/>
            <w:rFonts w:ascii="Arial" w:eastAsiaTheme="majorEastAsia" w:hAnsi="Arial" w:cs="Arial"/>
            <w:b/>
            <w:noProof/>
            <w:sz w:val="22"/>
            <w:szCs w:val="22"/>
          </w:rPr>
          <w:t>Rysunek 25</w:t>
        </w:r>
        <w:r w:rsidR="006F25E0" w:rsidRPr="006F25E0">
          <w:rPr>
            <w:rStyle w:val="Hipercze"/>
            <w:rFonts w:ascii="Arial" w:eastAsiaTheme="majorEastAsia" w:hAnsi="Arial" w:cs="Arial"/>
            <w:noProof/>
            <w:sz w:val="22"/>
            <w:szCs w:val="22"/>
          </w:rPr>
          <w:t xml:space="preserve"> Sieć transportowa w obszarze funkcjonalnym Sanok – Lesko</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_Toc146785654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55</w:t>
        </w:r>
        <w:r w:rsidR="006F25E0" w:rsidRPr="006F25E0">
          <w:rPr>
            <w:rFonts w:ascii="Arial" w:hAnsi="Arial" w:cs="Arial"/>
            <w:noProof/>
            <w:webHidden/>
            <w:sz w:val="22"/>
            <w:szCs w:val="22"/>
          </w:rPr>
          <w:fldChar w:fldCharType="end"/>
        </w:r>
      </w:hyperlink>
    </w:p>
    <w:p w14:paraId="3483A8EC"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55" w:history="1">
        <w:r w:rsidR="006F25E0" w:rsidRPr="006F25E0">
          <w:rPr>
            <w:rStyle w:val="Hipercze"/>
            <w:rFonts w:ascii="Arial" w:eastAsiaTheme="majorEastAsia" w:hAnsi="Arial" w:cs="Arial"/>
            <w:b/>
            <w:noProof/>
            <w:sz w:val="22"/>
            <w:szCs w:val="22"/>
          </w:rPr>
          <w:t>Rysunek 26</w:t>
        </w:r>
        <w:r w:rsidR="006F25E0" w:rsidRPr="006F25E0">
          <w:rPr>
            <w:rStyle w:val="Hipercze"/>
            <w:rFonts w:ascii="Arial" w:eastAsiaTheme="majorEastAsia" w:hAnsi="Arial" w:cs="Arial"/>
            <w:noProof/>
            <w:sz w:val="22"/>
            <w:szCs w:val="22"/>
          </w:rPr>
          <w:t xml:space="preserve"> Wskaźnik udziału liczby osób przyjeżdżających do pracy w liczbie osób wyjeżdżających do pracy w ujęciu gminnym (pomiędzy poszczególnymi gminami) w roku 2016 (osoba)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_Toc146785655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56</w:t>
        </w:r>
        <w:r w:rsidR="006F25E0" w:rsidRPr="006F25E0">
          <w:rPr>
            <w:rFonts w:ascii="Arial" w:hAnsi="Arial" w:cs="Arial"/>
            <w:noProof/>
            <w:webHidden/>
            <w:sz w:val="22"/>
            <w:szCs w:val="22"/>
          </w:rPr>
          <w:fldChar w:fldCharType="end"/>
        </w:r>
      </w:hyperlink>
    </w:p>
    <w:p w14:paraId="39F43349"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56" w:history="1">
        <w:r w:rsidR="006F25E0" w:rsidRPr="006F25E0">
          <w:rPr>
            <w:rStyle w:val="Hipercze"/>
            <w:rFonts w:ascii="Arial" w:eastAsiaTheme="majorEastAsia" w:hAnsi="Arial" w:cs="Arial"/>
            <w:b/>
            <w:noProof/>
            <w:sz w:val="22"/>
            <w:szCs w:val="22"/>
          </w:rPr>
          <w:t>Rysunek 27</w:t>
        </w:r>
        <w:r w:rsidR="006F25E0" w:rsidRPr="006F25E0">
          <w:rPr>
            <w:rStyle w:val="Hipercze"/>
            <w:rFonts w:ascii="Arial" w:eastAsiaTheme="majorEastAsia" w:hAnsi="Arial" w:cs="Arial"/>
            <w:noProof/>
            <w:sz w:val="22"/>
            <w:szCs w:val="22"/>
          </w:rPr>
          <w:t xml:space="preserve"> Ruch pojazdów osobowych na drogach krajowych i wojewódzkich województwa podkarpackiego w latach 2015 i 2020/21</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_Toc146785656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60</w:t>
        </w:r>
        <w:r w:rsidR="006F25E0" w:rsidRPr="006F25E0">
          <w:rPr>
            <w:rFonts w:ascii="Arial" w:hAnsi="Arial" w:cs="Arial"/>
            <w:noProof/>
            <w:webHidden/>
            <w:sz w:val="22"/>
            <w:szCs w:val="22"/>
          </w:rPr>
          <w:fldChar w:fldCharType="end"/>
        </w:r>
      </w:hyperlink>
    </w:p>
    <w:p w14:paraId="68605148"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57" w:history="1">
        <w:r w:rsidR="006F25E0" w:rsidRPr="006F25E0">
          <w:rPr>
            <w:rStyle w:val="Hipercze"/>
            <w:rFonts w:ascii="Arial" w:eastAsiaTheme="majorEastAsia" w:hAnsi="Arial" w:cs="Arial"/>
            <w:b/>
            <w:noProof/>
            <w:sz w:val="22"/>
            <w:szCs w:val="22"/>
          </w:rPr>
          <w:t>Rysunek 28</w:t>
        </w:r>
        <w:r w:rsidR="006F25E0" w:rsidRPr="006F25E0">
          <w:rPr>
            <w:rStyle w:val="Hipercze"/>
            <w:rFonts w:ascii="Arial" w:eastAsiaTheme="majorEastAsia" w:hAnsi="Arial" w:cs="Arial"/>
            <w:noProof/>
            <w:sz w:val="22"/>
            <w:szCs w:val="22"/>
          </w:rPr>
          <w:t xml:space="preserve"> Ruch pojazdów ciężarowych na drogach krajowych i wojewódzkich województwa podkarpackiego w latach 2015 i 2020/21.</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_Toc146785657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61</w:t>
        </w:r>
        <w:r w:rsidR="006F25E0" w:rsidRPr="006F25E0">
          <w:rPr>
            <w:rFonts w:ascii="Arial" w:hAnsi="Arial" w:cs="Arial"/>
            <w:noProof/>
            <w:webHidden/>
            <w:sz w:val="22"/>
            <w:szCs w:val="22"/>
          </w:rPr>
          <w:fldChar w:fldCharType="end"/>
        </w:r>
      </w:hyperlink>
    </w:p>
    <w:p w14:paraId="521B2839"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58" w:history="1">
        <w:r w:rsidR="006F25E0" w:rsidRPr="006F25E0">
          <w:rPr>
            <w:rStyle w:val="Hipercze"/>
            <w:rFonts w:ascii="Arial" w:eastAsiaTheme="majorEastAsia" w:hAnsi="Arial" w:cs="Arial"/>
            <w:b/>
            <w:noProof/>
            <w:sz w:val="22"/>
            <w:szCs w:val="22"/>
          </w:rPr>
          <w:t>Rysunek 29</w:t>
        </w:r>
        <w:r w:rsidR="006F25E0" w:rsidRPr="006F25E0">
          <w:rPr>
            <w:rStyle w:val="Hipercze"/>
            <w:rFonts w:ascii="Arial" w:eastAsiaTheme="majorEastAsia" w:hAnsi="Arial" w:cs="Arial"/>
            <w:noProof/>
            <w:sz w:val="22"/>
            <w:szCs w:val="22"/>
          </w:rPr>
          <w:t xml:space="preserve"> Zmiany w ruchu pojazdów osobowych i ciężarowych na drogach krajowych  i wojewódzkich województwa podkarpackiego w okresie 2015 - 2020/21</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_Toc146785658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62</w:t>
        </w:r>
        <w:r w:rsidR="006F25E0" w:rsidRPr="006F25E0">
          <w:rPr>
            <w:rFonts w:ascii="Arial" w:hAnsi="Arial" w:cs="Arial"/>
            <w:noProof/>
            <w:webHidden/>
            <w:sz w:val="22"/>
            <w:szCs w:val="22"/>
          </w:rPr>
          <w:fldChar w:fldCharType="end"/>
        </w:r>
      </w:hyperlink>
    </w:p>
    <w:p w14:paraId="76E2F03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59" w:history="1">
        <w:r w:rsidR="006F25E0" w:rsidRPr="006F25E0">
          <w:rPr>
            <w:rStyle w:val="Hipercze"/>
            <w:rFonts w:ascii="Arial" w:eastAsiaTheme="majorEastAsia" w:hAnsi="Arial" w:cs="Arial"/>
            <w:b/>
            <w:noProof/>
            <w:sz w:val="22"/>
            <w:szCs w:val="22"/>
          </w:rPr>
          <w:t>Rysunek 30</w:t>
        </w:r>
        <w:r w:rsidR="006F25E0" w:rsidRPr="006F25E0">
          <w:rPr>
            <w:rStyle w:val="Hipercze"/>
            <w:rFonts w:ascii="Arial" w:eastAsiaTheme="majorEastAsia" w:hAnsi="Arial" w:cs="Arial"/>
            <w:noProof/>
            <w:sz w:val="22"/>
            <w:szCs w:val="22"/>
          </w:rPr>
          <w:t xml:space="preserve"> Identyfikacja miast z funkcjonującym lokalnym systemem zbiorowego transportu publicznego z uwzględnieniem rangi ośrodka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_Toc146785659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64</w:t>
        </w:r>
        <w:r w:rsidR="006F25E0" w:rsidRPr="006F25E0">
          <w:rPr>
            <w:rFonts w:ascii="Arial" w:hAnsi="Arial" w:cs="Arial"/>
            <w:noProof/>
            <w:webHidden/>
            <w:sz w:val="22"/>
            <w:szCs w:val="22"/>
          </w:rPr>
          <w:fldChar w:fldCharType="end"/>
        </w:r>
      </w:hyperlink>
    </w:p>
    <w:p w14:paraId="7B266231"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60" w:history="1">
        <w:r w:rsidR="006F25E0" w:rsidRPr="006F25E0">
          <w:rPr>
            <w:rStyle w:val="Hipercze"/>
            <w:rFonts w:ascii="Arial" w:eastAsiaTheme="majorEastAsia" w:hAnsi="Arial" w:cs="Arial"/>
            <w:b/>
            <w:noProof/>
            <w:sz w:val="22"/>
            <w:szCs w:val="22"/>
          </w:rPr>
          <w:t>Rysunek 31</w:t>
        </w:r>
        <w:r w:rsidR="006F25E0" w:rsidRPr="006F25E0">
          <w:rPr>
            <w:rStyle w:val="Hipercze"/>
            <w:rFonts w:ascii="Arial" w:eastAsiaTheme="majorEastAsia" w:hAnsi="Arial" w:cs="Arial"/>
            <w:noProof/>
            <w:sz w:val="22"/>
            <w:szCs w:val="22"/>
          </w:rPr>
          <w:t xml:space="preserve"> Międzypowiatowe połączenia autobusowe w województwie podkarpackim  w 2019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_Toc146785660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65</w:t>
        </w:r>
        <w:r w:rsidR="006F25E0" w:rsidRPr="006F25E0">
          <w:rPr>
            <w:rFonts w:ascii="Arial" w:hAnsi="Arial" w:cs="Arial"/>
            <w:noProof/>
            <w:webHidden/>
            <w:sz w:val="22"/>
            <w:szCs w:val="22"/>
          </w:rPr>
          <w:fldChar w:fldCharType="end"/>
        </w:r>
      </w:hyperlink>
    </w:p>
    <w:p w14:paraId="0A91E784"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61" w:history="1">
        <w:r w:rsidR="006F25E0" w:rsidRPr="006F25E0">
          <w:rPr>
            <w:rStyle w:val="Hipercze"/>
            <w:rFonts w:ascii="Arial" w:eastAsiaTheme="majorEastAsia" w:hAnsi="Arial" w:cs="Arial"/>
            <w:b/>
            <w:noProof/>
            <w:sz w:val="22"/>
            <w:szCs w:val="22"/>
          </w:rPr>
          <w:t>Rysunek 32</w:t>
        </w:r>
        <w:r w:rsidR="006F25E0" w:rsidRPr="006F25E0">
          <w:rPr>
            <w:rStyle w:val="Hipercze"/>
            <w:rFonts w:ascii="Arial" w:eastAsiaTheme="majorEastAsia" w:hAnsi="Arial" w:cs="Arial"/>
            <w:noProof/>
            <w:sz w:val="22"/>
            <w:szCs w:val="22"/>
          </w:rPr>
          <w:t xml:space="preserve"> Schemat połączeń kolejowych na terenie województwa podkarpackiego w 2020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_Toc146785661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66</w:t>
        </w:r>
        <w:r w:rsidR="006F25E0" w:rsidRPr="006F25E0">
          <w:rPr>
            <w:rFonts w:ascii="Arial" w:hAnsi="Arial" w:cs="Arial"/>
            <w:noProof/>
            <w:webHidden/>
            <w:sz w:val="22"/>
            <w:szCs w:val="22"/>
          </w:rPr>
          <w:fldChar w:fldCharType="end"/>
        </w:r>
      </w:hyperlink>
    </w:p>
    <w:p w14:paraId="1A6B7438"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62" w:history="1">
        <w:r w:rsidR="006F25E0" w:rsidRPr="006F25E0">
          <w:rPr>
            <w:rStyle w:val="Hipercze"/>
            <w:rFonts w:ascii="Arial" w:eastAsiaTheme="majorEastAsia" w:hAnsi="Arial" w:cs="Arial"/>
            <w:b/>
            <w:noProof/>
            <w:sz w:val="22"/>
            <w:szCs w:val="22"/>
          </w:rPr>
          <w:t>Rysunek 33</w:t>
        </w:r>
        <w:r w:rsidR="006F25E0" w:rsidRPr="006F25E0">
          <w:rPr>
            <w:rStyle w:val="Hipercze"/>
            <w:rFonts w:ascii="Arial" w:eastAsiaTheme="majorEastAsia" w:hAnsi="Arial" w:cs="Arial"/>
            <w:noProof/>
            <w:sz w:val="22"/>
            <w:szCs w:val="22"/>
          </w:rPr>
          <w:t xml:space="preserve"> Średniodobowa liczba pociągów pasażerskich w województwie podkarpackim  w maju 2020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_Toc146785662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67</w:t>
        </w:r>
        <w:r w:rsidR="006F25E0" w:rsidRPr="006F25E0">
          <w:rPr>
            <w:rFonts w:ascii="Arial" w:hAnsi="Arial" w:cs="Arial"/>
            <w:noProof/>
            <w:webHidden/>
            <w:sz w:val="22"/>
            <w:szCs w:val="22"/>
          </w:rPr>
          <w:fldChar w:fldCharType="end"/>
        </w:r>
      </w:hyperlink>
    </w:p>
    <w:p w14:paraId="275643D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63" w:history="1">
        <w:r w:rsidR="006F25E0" w:rsidRPr="006F25E0">
          <w:rPr>
            <w:rStyle w:val="Hipercze"/>
            <w:rFonts w:ascii="Arial" w:eastAsiaTheme="majorEastAsia" w:hAnsi="Arial" w:cs="Arial"/>
            <w:b/>
            <w:noProof/>
            <w:sz w:val="22"/>
            <w:szCs w:val="22"/>
          </w:rPr>
          <w:t>Rysunek 34</w:t>
        </w:r>
        <w:r w:rsidR="006F25E0" w:rsidRPr="006F25E0">
          <w:rPr>
            <w:rStyle w:val="Hipercze"/>
            <w:rFonts w:ascii="Arial" w:eastAsiaTheme="majorEastAsia" w:hAnsi="Arial" w:cs="Arial"/>
            <w:noProof/>
            <w:sz w:val="22"/>
            <w:szCs w:val="22"/>
          </w:rPr>
          <w:t xml:space="preserve"> Lokalizacja odcinków niebezpiecznych na drogach wojewódzkich w latach 2015-2018</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_Toc146785663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72</w:t>
        </w:r>
        <w:r w:rsidR="006F25E0" w:rsidRPr="006F25E0">
          <w:rPr>
            <w:rFonts w:ascii="Arial" w:hAnsi="Arial" w:cs="Arial"/>
            <w:noProof/>
            <w:webHidden/>
            <w:sz w:val="22"/>
            <w:szCs w:val="22"/>
          </w:rPr>
          <w:fldChar w:fldCharType="end"/>
        </w:r>
      </w:hyperlink>
    </w:p>
    <w:p w14:paraId="33754B2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64" w:history="1">
        <w:r w:rsidR="006F25E0" w:rsidRPr="006F25E0">
          <w:rPr>
            <w:rStyle w:val="Hipercze"/>
            <w:rFonts w:ascii="Arial" w:eastAsiaTheme="majorEastAsia" w:hAnsi="Arial" w:cs="Arial"/>
            <w:b/>
            <w:noProof/>
            <w:sz w:val="22"/>
            <w:szCs w:val="22"/>
          </w:rPr>
          <w:t>Rysunek 35</w:t>
        </w:r>
        <w:r w:rsidR="006F25E0" w:rsidRPr="006F25E0">
          <w:rPr>
            <w:rStyle w:val="Hipercze"/>
            <w:rFonts w:ascii="Arial" w:eastAsiaTheme="majorEastAsia" w:hAnsi="Arial" w:cs="Arial"/>
            <w:noProof/>
            <w:sz w:val="22"/>
            <w:szCs w:val="22"/>
          </w:rPr>
          <w:t xml:space="preserve"> Lokalizacja miejsc niebezpiecznych dla rowerzystów na terenie województwa podkarpackiego w 2019 roku</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_Toc146785664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73</w:t>
        </w:r>
        <w:r w:rsidR="006F25E0" w:rsidRPr="006F25E0">
          <w:rPr>
            <w:rFonts w:ascii="Arial" w:hAnsi="Arial" w:cs="Arial"/>
            <w:noProof/>
            <w:webHidden/>
            <w:sz w:val="22"/>
            <w:szCs w:val="22"/>
          </w:rPr>
          <w:fldChar w:fldCharType="end"/>
        </w:r>
      </w:hyperlink>
    </w:p>
    <w:p w14:paraId="35CFD10F"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65" w:history="1">
        <w:r w:rsidR="006F25E0" w:rsidRPr="006F25E0">
          <w:rPr>
            <w:rStyle w:val="Hipercze"/>
            <w:rFonts w:ascii="Arial" w:eastAsiaTheme="majorEastAsia" w:hAnsi="Arial" w:cs="Arial"/>
            <w:b/>
            <w:noProof/>
            <w:sz w:val="22"/>
            <w:szCs w:val="22"/>
          </w:rPr>
          <w:t>Rysunek 36</w:t>
        </w:r>
        <w:r w:rsidR="006F25E0" w:rsidRPr="006F25E0">
          <w:rPr>
            <w:rStyle w:val="Hipercze"/>
            <w:rFonts w:ascii="Arial" w:eastAsiaTheme="majorEastAsia" w:hAnsi="Arial" w:cs="Arial"/>
            <w:noProof/>
            <w:sz w:val="22"/>
            <w:szCs w:val="22"/>
          </w:rPr>
          <w:t xml:space="preserve"> Zdarzenia na drogach wojewódzkich wg gmin w 2020 r. (liczba ofiar śmiertelnych oraz osób rannych).</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_Toc146785665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74</w:t>
        </w:r>
        <w:r w:rsidR="006F25E0" w:rsidRPr="006F25E0">
          <w:rPr>
            <w:rFonts w:ascii="Arial" w:hAnsi="Arial" w:cs="Arial"/>
            <w:noProof/>
            <w:webHidden/>
            <w:sz w:val="22"/>
            <w:szCs w:val="22"/>
          </w:rPr>
          <w:fldChar w:fldCharType="end"/>
        </w:r>
      </w:hyperlink>
    </w:p>
    <w:p w14:paraId="0093FC6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66" w:history="1">
        <w:r w:rsidR="006F25E0" w:rsidRPr="006F25E0">
          <w:rPr>
            <w:rStyle w:val="Hipercze"/>
            <w:rFonts w:ascii="Arial" w:eastAsiaTheme="majorEastAsia" w:hAnsi="Arial" w:cs="Arial"/>
            <w:b/>
            <w:noProof/>
            <w:sz w:val="22"/>
            <w:szCs w:val="22"/>
          </w:rPr>
          <w:t>Rysunek 37</w:t>
        </w:r>
        <w:r w:rsidR="006F25E0" w:rsidRPr="006F25E0">
          <w:rPr>
            <w:rStyle w:val="Hipercze"/>
            <w:rFonts w:ascii="Arial" w:eastAsiaTheme="majorEastAsia" w:hAnsi="Arial" w:cs="Arial"/>
            <w:noProof/>
            <w:sz w:val="22"/>
            <w:szCs w:val="22"/>
          </w:rPr>
          <w:t xml:space="preserve"> Sieć transportowa (istniejąca i projektowana) województwa podkarpackiego  a korytarze ekologiczne.</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_Toc146785666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75</w:t>
        </w:r>
        <w:r w:rsidR="006F25E0" w:rsidRPr="006F25E0">
          <w:rPr>
            <w:rFonts w:ascii="Arial" w:hAnsi="Arial" w:cs="Arial"/>
            <w:noProof/>
            <w:webHidden/>
            <w:sz w:val="22"/>
            <w:szCs w:val="22"/>
          </w:rPr>
          <w:fldChar w:fldCharType="end"/>
        </w:r>
      </w:hyperlink>
    </w:p>
    <w:p w14:paraId="4846A7A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67" w:history="1">
        <w:r w:rsidR="006F25E0" w:rsidRPr="006F25E0">
          <w:rPr>
            <w:rStyle w:val="Hipercze"/>
            <w:rFonts w:ascii="Arial" w:eastAsiaTheme="majorEastAsia" w:hAnsi="Arial" w:cs="Arial"/>
            <w:b/>
            <w:noProof/>
            <w:sz w:val="22"/>
            <w:szCs w:val="22"/>
          </w:rPr>
          <w:t>Rysunek 38</w:t>
        </w:r>
        <w:r w:rsidR="006F25E0" w:rsidRPr="006F25E0">
          <w:rPr>
            <w:rStyle w:val="Hipercze"/>
            <w:rFonts w:ascii="Arial" w:eastAsiaTheme="majorEastAsia" w:hAnsi="Arial" w:cs="Arial"/>
            <w:noProof/>
            <w:sz w:val="22"/>
            <w:szCs w:val="22"/>
          </w:rPr>
          <w:t xml:space="preserve"> Najważniejsze inwestycje drogowe i kolejowe zrealizowane oraz będące  w trakcie realizacji przy wykorzystaniu Funduszy Europejskich dostępnych w ramach perspektywy finansowej 2014-2020.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_Toc146785667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79</w:t>
        </w:r>
        <w:r w:rsidR="006F25E0" w:rsidRPr="006F25E0">
          <w:rPr>
            <w:rFonts w:ascii="Arial" w:hAnsi="Arial" w:cs="Arial"/>
            <w:noProof/>
            <w:webHidden/>
            <w:sz w:val="22"/>
            <w:szCs w:val="22"/>
          </w:rPr>
          <w:fldChar w:fldCharType="end"/>
        </w:r>
      </w:hyperlink>
    </w:p>
    <w:p w14:paraId="59998568"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68" w:history="1">
        <w:r w:rsidR="006F25E0" w:rsidRPr="006F25E0">
          <w:rPr>
            <w:rStyle w:val="Hipercze"/>
            <w:rFonts w:ascii="Arial" w:eastAsiaTheme="majorEastAsia" w:hAnsi="Arial" w:cs="Arial"/>
            <w:b/>
            <w:noProof/>
            <w:sz w:val="22"/>
            <w:szCs w:val="22"/>
          </w:rPr>
          <w:t>Rysunek 39</w:t>
        </w:r>
        <w:r w:rsidR="006F25E0" w:rsidRPr="006F25E0">
          <w:rPr>
            <w:rStyle w:val="Hipercze"/>
            <w:rFonts w:ascii="Arial" w:eastAsiaTheme="majorEastAsia" w:hAnsi="Arial" w:cs="Arial"/>
            <w:noProof/>
            <w:sz w:val="22"/>
            <w:szCs w:val="22"/>
          </w:rPr>
          <w:t xml:space="preserve"> Modelowa więźba ruchu pasażerskiego w transporcie indywidualnym  i zbiorowym (wg ZMR 2022)</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_Toc146785668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85</w:t>
        </w:r>
        <w:r w:rsidR="006F25E0" w:rsidRPr="006F25E0">
          <w:rPr>
            <w:rFonts w:ascii="Arial" w:hAnsi="Arial" w:cs="Arial"/>
            <w:noProof/>
            <w:webHidden/>
            <w:sz w:val="22"/>
            <w:szCs w:val="22"/>
          </w:rPr>
          <w:fldChar w:fldCharType="end"/>
        </w:r>
      </w:hyperlink>
    </w:p>
    <w:p w14:paraId="719FDBBE"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69" w:history="1">
        <w:r w:rsidR="006F25E0" w:rsidRPr="006F25E0">
          <w:rPr>
            <w:rStyle w:val="Hipercze"/>
            <w:rFonts w:ascii="Arial" w:eastAsiaTheme="majorEastAsia" w:hAnsi="Arial" w:cs="Arial"/>
            <w:b/>
            <w:noProof/>
            <w:sz w:val="22"/>
            <w:szCs w:val="22"/>
          </w:rPr>
          <w:t>Rysunek 40</w:t>
        </w:r>
        <w:r w:rsidR="006F25E0" w:rsidRPr="006F25E0">
          <w:rPr>
            <w:rStyle w:val="Hipercze"/>
            <w:rFonts w:ascii="Arial" w:eastAsiaTheme="majorEastAsia" w:hAnsi="Arial" w:cs="Arial"/>
            <w:noProof/>
            <w:sz w:val="22"/>
            <w:szCs w:val="22"/>
          </w:rPr>
          <w:t xml:space="preserve"> Modelowa więźba ruchu pasażerskiego w transporcie indywidualnym wg motywacji (bazowy ZMR 2022)</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_Toc146785669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88</w:t>
        </w:r>
        <w:r w:rsidR="006F25E0" w:rsidRPr="006F25E0">
          <w:rPr>
            <w:rFonts w:ascii="Arial" w:hAnsi="Arial" w:cs="Arial"/>
            <w:noProof/>
            <w:webHidden/>
            <w:sz w:val="22"/>
            <w:szCs w:val="22"/>
          </w:rPr>
          <w:fldChar w:fldCharType="end"/>
        </w:r>
      </w:hyperlink>
    </w:p>
    <w:p w14:paraId="1CBDF69F"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70" w:history="1">
        <w:r w:rsidR="006F25E0" w:rsidRPr="006F25E0">
          <w:rPr>
            <w:rStyle w:val="Hipercze"/>
            <w:rFonts w:ascii="Arial" w:eastAsiaTheme="majorEastAsia" w:hAnsi="Arial" w:cs="Arial"/>
            <w:b/>
            <w:noProof/>
            <w:sz w:val="22"/>
            <w:szCs w:val="22"/>
          </w:rPr>
          <w:t>Rysunek 41</w:t>
        </w:r>
        <w:r w:rsidR="006F25E0" w:rsidRPr="006F25E0">
          <w:rPr>
            <w:rStyle w:val="Hipercze"/>
            <w:rFonts w:ascii="Arial" w:eastAsiaTheme="majorEastAsia" w:hAnsi="Arial" w:cs="Arial"/>
            <w:noProof/>
            <w:sz w:val="22"/>
            <w:szCs w:val="22"/>
          </w:rPr>
          <w:t xml:space="preserve"> Modelowa więźba ruchu pasażerskiego w transporcie zbiorowym wg motywacji (bazowy ZMR 2022)</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_Toc146785670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89</w:t>
        </w:r>
        <w:r w:rsidR="006F25E0" w:rsidRPr="006F25E0">
          <w:rPr>
            <w:rFonts w:ascii="Arial" w:hAnsi="Arial" w:cs="Arial"/>
            <w:noProof/>
            <w:webHidden/>
            <w:sz w:val="22"/>
            <w:szCs w:val="22"/>
          </w:rPr>
          <w:fldChar w:fldCharType="end"/>
        </w:r>
      </w:hyperlink>
    </w:p>
    <w:p w14:paraId="3EAAE922"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71" w:history="1">
        <w:r w:rsidR="006F25E0" w:rsidRPr="006F25E0">
          <w:rPr>
            <w:rStyle w:val="Hipercze"/>
            <w:rFonts w:ascii="Arial" w:eastAsiaTheme="majorEastAsia" w:hAnsi="Arial" w:cs="Arial"/>
            <w:b/>
            <w:noProof/>
            <w:sz w:val="22"/>
            <w:szCs w:val="22"/>
          </w:rPr>
          <w:t>Rysunek 42</w:t>
        </w:r>
        <w:r w:rsidR="006F25E0" w:rsidRPr="006F25E0">
          <w:rPr>
            <w:rStyle w:val="Hipercze"/>
            <w:rFonts w:ascii="Arial" w:eastAsiaTheme="majorEastAsia" w:hAnsi="Arial" w:cs="Arial"/>
            <w:noProof/>
            <w:sz w:val="22"/>
            <w:szCs w:val="22"/>
          </w:rPr>
          <w:t xml:space="preserve"> Modelowa prognozowana więźba ruchu pasażerskiego w transporcie indywidualnym i zbiorowym (wg ZMR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_Toc146785671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92</w:t>
        </w:r>
        <w:r w:rsidR="006F25E0" w:rsidRPr="006F25E0">
          <w:rPr>
            <w:rFonts w:ascii="Arial" w:hAnsi="Arial" w:cs="Arial"/>
            <w:noProof/>
            <w:webHidden/>
            <w:sz w:val="22"/>
            <w:szCs w:val="22"/>
          </w:rPr>
          <w:fldChar w:fldCharType="end"/>
        </w:r>
      </w:hyperlink>
    </w:p>
    <w:p w14:paraId="3DBEA01C"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72" w:history="1">
        <w:r w:rsidR="006F25E0" w:rsidRPr="006F25E0">
          <w:rPr>
            <w:rStyle w:val="Hipercze"/>
            <w:rFonts w:ascii="Arial" w:eastAsiaTheme="majorEastAsia" w:hAnsi="Arial" w:cs="Arial"/>
            <w:b/>
            <w:noProof/>
            <w:sz w:val="22"/>
            <w:szCs w:val="22"/>
          </w:rPr>
          <w:t>Rysunek 43</w:t>
        </w:r>
        <w:r w:rsidR="006F25E0" w:rsidRPr="006F25E0">
          <w:rPr>
            <w:rStyle w:val="Hipercze"/>
            <w:rFonts w:ascii="Arial" w:eastAsiaTheme="majorEastAsia" w:hAnsi="Arial" w:cs="Arial"/>
            <w:noProof/>
            <w:sz w:val="22"/>
            <w:szCs w:val="22"/>
          </w:rPr>
          <w:t xml:space="preserve"> </w:t>
        </w:r>
        <w:r w:rsidR="006F25E0" w:rsidRPr="006F25E0">
          <w:rPr>
            <w:rStyle w:val="Hipercze"/>
            <w:rFonts w:ascii="Arial" w:eastAsiaTheme="majorEastAsia" w:hAnsi="Arial" w:cs="Arial"/>
            <w:b/>
            <w:noProof/>
            <w:sz w:val="22"/>
            <w:szCs w:val="22"/>
          </w:rPr>
          <w:t xml:space="preserve"> </w:t>
        </w:r>
        <w:r w:rsidR="006F25E0" w:rsidRPr="006F25E0">
          <w:rPr>
            <w:rStyle w:val="Hipercze"/>
            <w:rFonts w:ascii="Arial" w:eastAsiaTheme="majorEastAsia" w:hAnsi="Arial" w:cs="Arial"/>
            <w:noProof/>
            <w:sz w:val="22"/>
            <w:szCs w:val="22"/>
          </w:rPr>
          <w:t>Modelowa prognozowana więźba ruchu pasażerskiego w transporcie indywidualnym wg podstawowych motywacji (wg ZMR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_Toc146785672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94</w:t>
        </w:r>
        <w:r w:rsidR="006F25E0" w:rsidRPr="006F25E0">
          <w:rPr>
            <w:rFonts w:ascii="Arial" w:hAnsi="Arial" w:cs="Arial"/>
            <w:noProof/>
            <w:webHidden/>
            <w:sz w:val="22"/>
            <w:szCs w:val="22"/>
          </w:rPr>
          <w:fldChar w:fldCharType="end"/>
        </w:r>
      </w:hyperlink>
    </w:p>
    <w:p w14:paraId="55111515"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73" w:history="1">
        <w:r w:rsidR="006F25E0" w:rsidRPr="006F25E0">
          <w:rPr>
            <w:rStyle w:val="Hipercze"/>
            <w:rFonts w:ascii="Arial" w:eastAsiaTheme="majorEastAsia" w:hAnsi="Arial" w:cs="Arial"/>
            <w:b/>
            <w:noProof/>
            <w:sz w:val="22"/>
            <w:szCs w:val="22"/>
          </w:rPr>
          <w:t>Rysunek 44</w:t>
        </w:r>
        <w:r w:rsidR="006F25E0" w:rsidRPr="006F25E0">
          <w:rPr>
            <w:rStyle w:val="Hipercze"/>
            <w:rFonts w:ascii="Arial" w:eastAsiaTheme="majorEastAsia" w:hAnsi="Arial" w:cs="Arial"/>
            <w:noProof/>
            <w:sz w:val="22"/>
            <w:szCs w:val="22"/>
          </w:rPr>
          <w:t xml:space="preserve"> Modelowa prognozowana więźba ruchu pasażerskiego w transporcie zbiorowym wg podstawowych motywacji (wg ZMR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_Toc146785673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95</w:t>
        </w:r>
        <w:r w:rsidR="006F25E0" w:rsidRPr="006F25E0">
          <w:rPr>
            <w:rFonts w:ascii="Arial" w:hAnsi="Arial" w:cs="Arial"/>
            <w:noProof/>
            <w:webHidden/>
            <w:sz w:val="22"/>
            <w:szCs w:val="22"/>
          </w:rPr>
          <w:fldChar w:fldCharType="end"/>
        </w:r>
      </w:hyperlink>
    </w:p>
    <w:p w14:paraId="0B62A85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74" w:history="1">
        <w:r w:rsidR="006F25E0" w:rsidRPr="006F25E0">
          <w:rPr>
            <w:rStyle w:val="Hipercze"/>
            <w:rFonts w:ascii="Arial" w:eastAsiaTheme="majorEastAsia" w:hAnsi="Arial" w:cs="Arial"/>
            <w:b/>
            <w:noProof/>
            <w:sz w:val="22"/>
            <w:szCs w:val="22"/>
          </w:rPr>
          <w:t>Rysunek 45</w:t>
        </w:r>
        <w:r w:rsidR="006F25E0" w:rsidRPr="006F25E0">
          <w:rPr>
            <w:rStyle w:val="Hipercze"/>
            <w:rFonts w:ascii="Arial" w:eastAsiaTheme="majorEastAsia" w:hAnsi="Arial" w:cs="Arial"/>
            <w:noProof/>
            <w:sz w:val="22"/>
            <w:szCs w:val="22"/>
          </w:rPr>
          <w:t xml:space="preserve"> Prognozowane zmiany więźby ruchu w transporcie indywidualnym i zbiorowym 2022-2030 (porównanie bazowego ZMR 2022 i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_Toc146785674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96</w:t>
        </w:r>
        <w:r w:rsidR="006F25E0" w:rsidRPr="006F25E0">
          <w:rPr>
            <w:rFonts w:ascii="Arial" w:hAnsi="Arial" w:cs="Arial"/>
            <w:noProof/>
            <w:webHidden/>
            <w:sz w:val="22"/>
            <w:szCs w:val="22"/>
          </w:rPr>
          <w:fldChar w:fldCharType="end"/>
        </w:r>
      </w:hyperlink>
    </w:p>
    <w:p w14:paraId="62E0BFAF"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75" w:history="1">
        <w:r w:rsidR="006F25E0" w:rsidRPr="006F25E0">
          <w:rPr>
            <w:rStyle w:val="Hipercze"/>
            <w:rFonts w:ascii="Arial" w:eastAsiaTheme="majorEastAsia" w:hAnsi="Arial" w:cs="Arial"/>
            <w:b/>
            <w:noProof/>
            <w:sz w:val="22"/>
            <w:szCs w:val="22"/>
          </w:rPr>
          <w:t>Rysunek 46</w:t>
        </w:r>
        <w:r w:rsidR="006F25E0" w:rsidRPr="006F25E0">
          <w:rPr>
            <w:rStyle w:val="Hipercze"/>
            <w:rFonts w:ascii="Arial" w:eastAsiaTheme="majorEastAsia" w:hAnsi="Arial" w:cs="Arial"/>
            <w:noProof/>
            <w:sz w:val="22"/>
            <w:szCs w:val="22"/>
          </w:rPr>
          <w:t xml:space="preserve"> Prognozowane zmiany więźby ruchu w transporcie indywidualnym 2022-2030 wg podstawowych motywacji (porównanie bazowego ZMR 2022 i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_Toc146785675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100</w:t>
        </w:r>
        <w:r w:rsidR="006F25E0" w:rsidRPr="006F25E0">
          <w:rPr>
            <w:rFonts w:ascii="Arial" w:hAnsi="Arial" w:cs="Arial"/>
            <w:noProof/>
            <w:webHidden/>
            <w:sz w:val="22"/>
            <w:szCs w:val="22"/>
          </w:rPr>
          <w:fldChar w:fldCharType="end"/>
        </w:r>
      </w:hyperlink>
    </w:p>
    <w:p w14:paraId="6326919C"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76" w:history="1">
        <w:r w:rsidR="006F25E0" w:rsidRPr="006F25E0">
          <w:rPr>
            <w:rStyle w:val="Hipercze"/>
            <w:rFonts w:ascii="Arial" w:eastAsiaTheme="majorEastAsia" w:hAnsi="Arial" w:cs="Arial"/>
            <w:b/>
            <w:noProof/>
            <w:sz w:val="22"/>
            <w:szCs w:val="22"/>
          </w:rPr>
          <w:t>Rysunek 47</w:t>
        </w:r>
        <w:r w:rsidR="006F25E0" w:rsidRPr="006F25E0">
          <w:rPr>
            <w:rStyle w:val="Hipercze"/>
            <w:rFonts w:ascii="Arial" w:eastAsiaTheme="majorEastAsia" w:hAnsi="Arial" w:cs="Arial"/>
            <w:noProof/>
            <w:sz w:val="22"/>
            <w:szCs w:val="22"/>
          </w:rPr>
          <w:t xml:space="preserve"> Prognozowane zmiany więźby ruchu w transporcie zbiorowym 2022-2030 wg podstawowych motywacji (porównanie bazowego ZMR 2022 i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_Toc146785676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101</w:t>
        </w:r>
        <w:r w:rsidR="006F25E0" w:rsidRPr="006F25E0">
          <w:rPr>
            <w:rFonts w:ascii="Arial" w:hAnsi="Arial" w:cs="Arial"/>
            <w:noProof/>
            <w:webHidden/>
            <w:sz w:val="22"/>
            <w:szCs w:val="22"/>
          </w:rPr>
          <w:fldChar w:fldCharType="end"/>
        </w:r>
      </w:hyperlink>
    </w:p>
    <w:p w14:paraId="59AD033C"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77" w:history="1">
        <w:r w:rsidR="006F25E0" w:rsidRPr="006F25E0">
          <w:rPr>
            <w:rStyle w:val="Hipercze"/>
            <w:rFonts w:ascii="Arial" w:eastAsiaTheme="majorEastAsia" w:hAnsi="Arial" w:cs="Arial"/>
            <w:b/>
            <w:noProof/>
            <w:sz w:val="22"/>
            <w:szCs w:val="22"/>
          </w:rPr>
          <w:t>Rysunek 48</w:t>
        </w:r>
        <w:r w:rsidR="006F25E0" w:rsidRPr="006F25E0">
          <w:rPr>
            <w:rStyle w:val="Hipercze"/>
            <w:rFonts w:ascii="Arial" w:eastAsiaTheme="majorEastAsia" w:hAnsi="Arial" w:cs="Arial"/>
            <w:noProof/>
            <w:sz w:val="22"/>
            <w:szCs w:val="22"/>
          </w:rPr>
          <w:t xml:space="preserve"> Prognozowany rozkład ruchu pojazdów na sieci drogowej województwa podkarpackiego wg bazowego ZMR 2022 i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_Toc146785677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103</w:t>
        </w:r>
        <w:r w:rsidR="006F25E0" w:rsidRPr="006F25E0">
          <w:rPr>
            <w:rFonts w:ascii="Arial" w:hAnsi="Arial" w:cs="Arial"/>
            <w:noProof/>
            <w:webHidden/>
            <w:sz w:val="22"/>
            <w:szCs w:val="22"/>
          </w:rPr>
          <w:fldChar w:fldCharType="end"/>
        </w:r>
      </w:hyperlink>
    </w:p>
    <w:p w14:paraId="5D61EE69"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78" w:history="1">
        <w:r w:rsidR="006F25E0" w:rsidRPr="006F25E0">
          <w:rPr>
            <w:rStyle w:val="Hipercze"/>
            <w:rFonts w:ascii="Arial" w:eastAsiaTheme="majorEastAsia" w:hAnsi="Arial" w:cs="Arial"/>
            <w:b/>
            <w:noProof/>
            <w:sz w:val="22"/>
            <w:szCs w:val="22"/>
          </w:rPr>
          <w:t>Rysunek 49</w:t>
        </w:r>
        <w:r w:rsidR="006F25E0" w:rsidRPr="006F25E0">
          <w:rPr>
            <w:rStyle w:val="Hipercze"/>
            <w:rFonts w:ascii="Arial" w:eastAsiaTheme="majorEastAsia" w:hAnsi="Arial" w:cs="Arial"/>
            <w:noProof/>
            <w:sz w:val="22"/>
            <w:szCs w:val="22"/>
          </w:rPr>
          <w:t xml:space="preserve"> Prognozowany rozkład ruchu pasażerskiego na sieci drogowej i kolejowej województwa podkarpackiego wg bazowego ZMR 2022 i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_Toc146785678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104</w:t>
        </w:r>
        <w:r w:rsidR="006F25E0" w:rsidRPr="006F25E0">
          <w:rPr>
            <w:rFonts w:ascii="Arial" w:hAnsi="Arial" w:cs="Arial"/>
            <w:noProof/>
            <w:webHidden/>
            <w:sz w:val="22"/>
            <w:szCs w:val="22"/>
          </w:rPr>
          <w:fldChar w:fldCharType="end"/>
        </w:r>
      </w:hyperlink>
    </w:p>
    <w:p w14:paraId="1104154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79" w:history="1">
        <w:r w:rsidR="006F25E0" w:rsidRPr="006F25E0">
          <w:rPr>
            <w:rStyle w:val="Hipercze"/>
            <w:rFonts w:ascii="Arial" w:eastAsiaTheme="majorEastAsia" w:hAnsi="Arial" w:cs="Arial"/>
            <w:b/>
            <w:noProof/>
            <w:sz w:val="22"/>
            <w:szCs w:val="22"/>
          </w:rPr>
          <w:t>Rysunek 50</w:t>
        </w:r>
        <w:r w:rsidR="006F25E0" w:rsidRPr="006F25E0">
          <w:rPr>
            <w:rStyle w:val="Hipercze"/>
            <w:rFonts w:ascii="Arial" w:eastAsiaTheme="majorEastAsia" w:hAnsi="Arial" w:cs="Arial"/>
            <w:noProof/>
            <w:sz w:val="22"/>
            <w:szCs w:val="22"/>
          </w:rPr>
          <w:t xml:space="preserve"> Prognozowany rozkład ruchu pasażerskiego na sieci drogowej województwa podkarpackiego w układzie podstawowych motywacji wg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_Toc146785679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106</w:t>
        </w:r>
        <w:r w:rsidR="006F25E0" w:rsidRPr="006F25E0">
          <w:rPr>
            <w:rFonts w:ascii="Arial" w:hAnsi="Arial" w:cs="Arial"/>
            <w:noProof/>
            <w:webHidden/>
            <w:sz w:val="22"/>
            <w:szCs w:val="22"/>
          </w:rPr>
          <w:fldChar w:fldCharType="end"/>
        </w:r>
      </w:hyperlink>
    </w:p>
    <w:p w14:paraId="64B1042E"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80" w:history="1">
        <w:r w:rsidR="006F25E0" w:rsidRPr="006F25E0">
          <w:rPr>
            <w:rStyle w:val="Hipercze"/>
            <w:rFonts w:ascii="Arial" w:eastAsiaTheme="majorEastAsia" w:hAnsi="Arial" w:cs="Arial"/>
            <w:b/>
            <w:noProof/>
            <w:sz w:val="22"/>
            <w:szCs w:val="22"/>
          </w:rPr>
          <w:t>Rysunek 51</w:t>
        </w:r>
        <w:r w:rsidR="006F25E0" w:rsidRPr="006F25E0">
          <w:rPr>
            <w:rStyle w:val="Hipercze"/>
            <w:rFonts w:ascii="Arial" w:eastAsiaTheme="majorEastAsia" w:hAnsi="Arial" w:cs="Arial"/>
            <w:noProof/>
            <w:sz w:val="22"/>
            <w:szCs w:val="22"/>
          </w:rPr>
          <w:t xml:space="preserve"> Prognozowany rozkład ruchu pojazdów na sieci drogowej województwa podkarpackiego w układzie podstawowych motywacji wg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_Toc146785680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107</w:t>
        </w:r>
        <w:r w:rsidR="006F25E0" w:rsidRPr="006F25E0">
          <w:rPr>
            <w:rFonts w:ascii="Arial" w:hAnsi="Arial" w:cs="Arial"/>
            <w:noProof/>
            <w:webHidden/>
            <w:sz w:val="22"/>
            <w:szCs w:val="22"/>
          </w:rPr>
          <w:fldChar w:fldCharType="end"/>
        </w:r>
      </w:hyperlink>
    </w:p>
    <w:p w14:paraId="75FA4C2C"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81" w:history="1">
        <w:r w:rsidR="006F25E0" w:rsidRPr="006F25E0">
          <w:rPr>
            <w:rStyle w:val="Hipercze"/>
            <w:rFonts w:ascii="Arial" w:eastAsiaTheme="majorEastAsia" w:hAnsi="Arial" w:cs="Arial"/>
            <w:b/>
            <w:noProof/>
            <w:sz w:val="22"/>
            <w:szCs w:val="22"/>
          </w:rPr>
          <w:t>Rysunek 52</w:t>
        </w:r>
        <w:r w:rsidR="006F25E0" w:rsidRPr="006F25E0">
          <w:rPr>
            <w:rStyle w:val="Hipercze"/>
            <w:rFonts w:ascii="Arial" w:eastAsiaTheme="majorEastAsia" w:hAnsi="Arial" w:cs="Arial"/>
            <w:noProof/>
            <w:sz w:val="22"/>
            <w:szCs w:val="22"/>
          </w:rPr>
          <w:t xml:space="preserve"> Prognozowana zmiana ruchu pojazdów na sieci drogowej w okresie 2022-2030 wg bazowego ZMR 2022 i BAU2030 (wersja 3.0), w układzie podstawowych motywacji</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_Toc146785681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109</w:t>
        </w:r>
        <w:r w:rsidR="006F25E0" w:rsidRPr="006F25E0">
          <w:rPr>
            <w:rFonts w:ascii="Arial" w:hAnsi="Arial" w:cs="Arial"/>
            <w:noProof/>
            <w:webHidden/>
            <w:sz w:val="22"/>
            <w:szCs w:val="22"/>
          </w:rPr>
          <w:fldChar w:fldCharType="end"/>
        </w:r>
      </w:hyperlink>
    </w:p>
    <w:p w14:paraId="1E4930AB"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82" w:history="1">
        <w:r w:rsidR="006F25E0" w:rsidRPr="006F25E0">
          <w:rPr>
            <w:rStyle w:val="Hipercze"/>
            <w:rFonts w:ascii="Arial" w:eastAsiaTheme="majorEastAsia" w:hAnsi="Arial" w:cs="Arial"/>
            <w:b/>
            <w:noProof/>
            <w:sz w:val="22"/>
            <w:szCs w:val="22"/>
          </w:rPr>
          <w:t>Rysunek 53</w:t>
        </w:r>
        <w:r w:rsidR="006F25E0" w:rsidRPr="006F25E0">
          <w:rPr>
            <w:rStyle w:val="Hipercze"/>
            <w:rFonts w:ascii="Arial" w:eastAsiaTheme="majorEastAsia" w:hAnsi="Arial" w:cs="Arial"/>
            <w:noProof/>
            <w:sz w:val="22"/>
            <w:szCs w:val="22"/>
          </w:rPr>
          <w:t xml:space="preserve"> Prognozowana zmiana ogólnego ruchu pojazdów na sieci drogowej w okresie 2022-2030 wg bazowego ZMR 2022 i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_Toc146785682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110</w:t>
        </w:r>
        <w:r w:rsidR="006F25E0" w:rsidRPr="006F25E0">
          <w:rPr>
            <w:rFonts w:ascii="Arial" w:hAnsi="Arial" w:cs="Arial"/>
            <w:noProof/>
            <w:webHidden/>
            <w:sz w:val="22"/>
            <w:szCs w:val="22"/>
          </w:rPr>
          <w:fldChar w:fldCharType="end"/>
        </w:r>
      </w:hyperlink>
    </w:p>
    <w:p w14:paraId="78DCCD2F"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83" w:history="1">
        <w:r w:rsidR="006F25E0" w:rsidRPr="006F25E0">
          <w:rPr>
            <w:rStyle w:val="Hipercze"/>
            <w:rFonts w:ascii="Arial" w:eastAsiaTheme="majorEastAsia" w:hAnsi="Arial" w:cs="Arial"/>
            <w:b/>
            <w:noProof/>
            <w:sz w:val="22"/>
            <w:szCs w:val="22"/>
          </w:rPr>
          <w:t>Rysunek 54</w:t>
        </w:r>
        <w:r w:rsidR="006F25E0" w:rsidRPr="006F25E0">
          <w:rPr>
            <w:rStyle w:val="Hipercze"/>
            <w:rFonts w:ascii="Arial" w:eastAsiaTheme="majorEastAsia" w:hAnsi="Arial" w:cs="Arial"/>
            <w:noProof/>
            <w:sz w:val="22"/>
            <w:szCs w:val="22"/>
          </w:rPr>
          <w:t xml:space="preserve"> Prognozowana zmiana ogólnego ruchu pasażerów na sieci drogowej i kolejowej w okresie 2022-2030 wg bazowego ZMR2022 i BAU2030 (wersja 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_Toc146785683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111</w:t>
        </w:r>
        <w:r w:rsidR="006F25E0" w:rsidRPr="006F25E0">
          <w:rPr>
            <w:rFonts w:ascii="Arial" w:hAnsi="Arial" w:cs="Arial"/>
            <w:noProof/>
            <w:webHidden/>
            <w:sz w:val="22"/>
            <w:szCs w:val="22"/>
          </w:rPr>
          <w:fldChar w:fldCharType="end"/>
        </w:r>
      </w:hyperlink>
    </w:p>
    <w:p w14:paraId="49B885B3"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84" w:history="1">
        <w:r w:rsidR="006F25E0" w:rsidRPr="006F25E0">
          <w:rPr>
            <w:rStyle w:val="Hipercze"/>
            <w:rFonts w:ascii="Arial" w:eastAsiaTheme="majorEastAsia" w:hAnsi="Arial" w:cs="Arial"/>
            <w:b/>
            <w:noProof/>
            <w:sz w:val="22"/>
            <w:szCs w:val="22"/>
          </w:rPr>
          <w:t>Rysunek 55</w:t>
        </w:r>
        <w:r w:rsidR="006F25E0" w:rsidRPr="006F25E0">
          <w:rPr>
            <w:rStyle w:val="Hipercze"/>
            <w:rFonts w:ascii="Arial" w:eastAsiaTheme="majorEastAsia" w:hAnsi="Arial" w:cs="Arial"/>
            <w:noProof/>
            <w:sz w:val="22"/>
            <w:szCs w:val="22"/>
          </w:rPr>
          <w:t xml:space="preserve"> Wynik rozkładu ruchu w modelu drogowym dla wszystkich pojazdów – prognoza ruchu na drogach w 2045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_Toc146785684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122</w:t>
        </w:r>
        <w:r w:rsidR="006F25E0" w:rsidRPr="006F25E0">
          <w:rPr>
            <w:rFonts w:ascii="Arial" w:hAnsi="Arial" w:cs="Arial"/>
            <w:noProof/>
            <w:webHidden/>
            <w:sz w:val="22"/>
            <w:szCs w:val="22"/>
          </w:rPr>
          <w:fldChar w:fldCharType="end"/>
        </w:r>
      </w:hyperlink>
    </w:p>
    <w:p w14:paraId="46EE0728"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85" w:history="1">
        <w:r w:rsidR="006F25E0" w:rsidRPr="006F25E0">
          <w:rPr>
            <w:rStyle w:val="Hipercze"/>
            <w:rFonts w:ascii="Arial" w:eastAsiaTheme="majorEastAsia" w:hAnsi="Arial" w:cs="Arial"/>
            <w:b/>
            <w:noProof/>
            <w:sz w:val="22"/>
            <w:szCs w:val="22"/>
          </w:rPr>
          <w:t>Rysunek 56</w:t>
        </w:r>
        <w:r w:rsidR="006F25E0" w:rsidRPr="006F25E0">
          <w:rPr>
            <w:rStyle w:val="Hipercze"/>
            <w:rFonts w:ascii="Arial" w:eastAsiaTheme="majorEastAsia" w:hAnsi="Arial" w:cs="Arial"/>
            <w:noProof/>
            <w:sz w:val="22"/>
            <w:szCs w:val="22"/>
          </w:rPr>
          <w:t xml:space="preserve"> Schemat dla wariantu 1. Maksymalizacji pozycji konkurencyjnej regionu</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_Toc146785685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133</w:t>
        </w:r>
        <w:r w:rsidR="006F25E0" w:rsidRPr="006F25E0">
          <w:rPr>
            <w:rFonts w:ascii="Arial" w:hAnsi="Arial" w:cs="Arial"/>
            <w:noProof/>
            <w:webHidden/>
            <w:sz w:val="22"/>
            <w:szCs w:val="22"/>
          </w:rPr>
          <w:fldChar w:fldCharType="end"/>
        </w:r>
      </w:hyperlink>
    </w:p>
    <w:p w14:paraId="34956F49"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86" w:history="1">
        <w:r w:rsidR="006F25E0" w:rsidRPr="006F25E0">
          <w:rPr>
            <w:rStyle w:val="Hipercze"/>
            <w:rFonts w:ascii="Arial" w:eastAsiaTheme="majorEastAsia" w:hAnsi="Arial" w:cs="Arial"/>
            <w:b/>
            <w:noProof/>
            <w:sz w:val="22"/>
            <w:szCs w:val="22"/>
          </w:rPr>
          <w:t>Rysunek 57</w:t>
        </w:r>
        <w:r w:rsidR="006F25E0" w:rsidRPr="006F25E0">
          <w:rPr>
            <w:rStyle w:val="Hipercze"/>
            <w:rFonts w:ascii="Arial" w:eastAsiaTheme="majorEastAsia" w:hAnsi="Arial" w:cs="Arial"/>
            <w:noProof/>
            <w:sz w:val="22"/>
            <w:szCs w:val="22"/>
          </w:rPr>
          <w:t xml:space="preserve"> Schemat dla wariantu 2. Równoważenia rozwoju na poziomie lokalnym</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_Toc146785686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134</w:t>
        </w:r>
        <w:r w:rsidR="006F25E0" w:rsidRPr="006F25E0">
          <w:rPr>
            <w:rFonts w:ascii="Arial" w:hAnsi="Arial" w:cs="Arial"/>
            <w:noProof/>
            <w:webHidden/>
            <w:sz w:val="22"/>
            <w:szCs w:val="22"/>
          </w:rPr>
          <w:fldChar w:fldCharType="end"/>
        </w:r>
      </w:hyperlink>
    </w:p>
    <w:p w14:paraId="63DB109E"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87" w:history="1">
        <w:r w:rsidR="006F25E0" w:rsidRPr="006F25E0">
          <w:rPr>
            <w:rStyle w:val="Hipercze"/>
            <w:rFonts w:ascii="Arial" w:eastAsiaTheme="majorEastAsia" w:hAnsi="Arial" w:cs="Arial"/>
            <w:b/>
            <w:noProof/>
            <w:sz w:val="22"/>
            <w:szCs w:val="22"/>
          </w:rPr>
          <w:t>Rysunek 58</w:t>
        </w:r>
        <w:r w:rsidR="006F25E0" w:rsidRPr="006F25E0">
          <w:rPr>
            <w:rStyle w:val="Hipercze"/>
            <w:rFonts w:ascii="Arial" w:eastAsiaTheme="majorEastAsia" w:hAnsi="Arial" w:cs="Arial"/>
            <w:noProof/>
            <w:sz w:val="22"/>
            <w:szCs w:val="22"/>
          </w:rPr>
          <w:t xml:space="preserve"> Schemat dla wariantu 3. Skokowego przesunięcia gałęziowego, na rzecz minimalizacji kosztów klimatycznych i środowiskowych.</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_Toc146785687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136</w:t>
        </w:r>
        <w:r w:rsidR="006F25E0" w:rsidRPr="006F25E0">
          <w:rPr>
            <w:rFonts w:ascii="Arial" w:hAnsi="Arial" w:cs="Arial"/>
            <w:noProof/>
            <w:webHidden/>
            <w:sz w:val="22"/>
            <w:szCs w:val="22"/>
          </w:rPr>
          <w:fldChar w:fldCharType="end"/>
        </w:r>
      </w:hyperlink>
    </w:p>
    <w:p w14:paraId="66197A14"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88" w:history="1">
        <w:r w:rsidR="006F25E0" w:rsidRPr="006F25E0">
          <w:rPr>
            <w:rStyle w:val="Hipercze"/>
            <w:rFonts w:ascii="Arial" w:eastAsiaTheme="majorEastAsia" w:hAnsi="Arial" w:cs="Arial"/>
            <w:b/>
            <w:noProof/>
            <w:sz w:val="22"/>
            <w:szCs w:val="22"/>
          </w:rPr>
          <w:t>Rysunek 59</w:t>
        </w:r>
        <w:r w:rsidR="006F25E0" w:rsidRPr="006F25E0">
          <w:rPr>
            <w:rStyle w:val="Hipercze"/>
            <w:rFonts w:ascii="Arial" w:eastAsiaTheme="majorEastAsia" w:hAnsi="Arial" w:cs="Arial"/>
            <w:noProof/>
            <w:sz w:val="22"/>
            <w:szCs w:val="22"/>
          </w:rPr>
          <w:t xml:space="preserve"> Schemat dla wariantu 4. Równomiernego rozwoju multimodalnego</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_Toc146785688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138</w:t>
        </w:r>
        <w:r w:rsidR="006F25E0" w:rsidRPr="006F25E0">
          <w:rPr>
            <w:rFonts w:ascii="Arial" w:hAnsi="Arial" w:cs="Arial"/>
            <w:noProof/>
            <w:webHidden/>
            <w:sz w:val="22"/>
            <w:szCs w:val="22"/>
          </w:rPr>
          <w:fldChar w:fldCharType="end"/>
        </w:r>
      </w:hyperlink>
    </w:p>
    <w:p w14:paraId="7A6D34B1"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89" w:history="1">
        <w:r w:rsidR="006F25E0" w:rsidRPr="006F25E0">
          <w:rPr>
            <w:rStyle w:val="Hipercze"/>
            <w:rFonts w:ascii="Arial" w:eastAsiaTheme="majorEastAsia" w:hAnsi="Arial" w:cs="Arial"/>
            <w:b/>
            <w:noProof/>
            <w:sz w:val="22"/>
            <w:szCs w:val="22"/>
          </w:rPr>
          <w:t>Rysunek 60</w:t>
        </w:r>
        <w:r w:rsidR="006F25E0" w:rsidRPr="006F25E0">
          <w:rPr>
            <w:rStyle w:val="Hipercze"/>
            <w:rFonts w:ascii="Arial" w:eastAsiaTheme="majorEastAsia" w:hAnsi="Arial" w:cs="Arial"/>
            <w:noProof/>
            <w:sz w:val="22"/>
            <w:szCs w:val="22"/>
          </w:rPr>
          <w:t xml:space="preserve"> Schemat obrazujący problemy wynikające z diagnozy oraz cele rozwoju regionalnego systemu transportowego.</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_Toc146785689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143</w:t>
        </w:r>
        <w:r w:rsidR="006F25E0" w:rsidRPr="006F25E0">
          <w:rPr>
            <w:rFonts w:ascii="Arial" w:hAnsi="Arial" w:cs="Arial"/>
            <w:noProof/>
            <w:webHidden/>
            <w:sz w:val="22"/>
            <w:szCs w:val="22"/>
          </w:rPr>
          <w:fldChar w:fldCharType="end"/>
        </w:r>
      </w:hyperlink>
    </w:p>
    <w:p w14:paraId="4A8B6BED"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90" w:history="1">
        <w:r w:rsidR="006F25E0" w:rsidRPr="006F25E0">
          <w:rPr>
            <w:rStyle w:val="Hipercze"/>
            <w:rFonts w:ascii="Arial" w:eastAsiaTheme="majorEastAsia" w:hAnsi="Arial" w:cs="Arial"/>
            <w:b/>
            <w:noProof/>
            <w:sz w:val="22"/>
            <w:szCs w:val="22"/>
          </w:rPr>
          <w:t>Rysunek 61</w:t>
        </w:r>
        <w:r w:rsidR="006F25E0" w:rsidRPr="006F25E0">
          <w:rPr>
            <w:rStyle w:val="Hipercze"/>
            <w:rFonts w:ascii="Arial" w:eastAsiaTheme="majorEastAsia" w:hAnsi="Arial" w:cs="Arial"/>
            <w:noProof/>
            <w:sz w:val="22"/>
            <w:szCs w:val="22"/>
          </w:rPr>
          <w:t xml:space="preserve"> Planowane inwestycje drogowe wg priorytetu A i B</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_Toc146785690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167</w:t>
        </w:r>
        <w:r w:rsidR="006F25E0" w:rsidRPr="006F25E0">
          <w:rPr>
            <w:rFonts w:ascii="Arial" w:hAnsi="Arial" w:cs="Arial"/>
            <w:noProof/>
            <w:webHidden/>
            <w:sz w:val="22"/>
            <w:szCs w:val="22"/>
          </w:rPr>
          <w:fldChar w:fldCharType="end"/>
        </w:r>
      </w:hyperlink>
    </w:p>
    <w:p w14:paraId="61B8463A"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91" w:history="1">
        <w:r w:rsidR="006F25E0" w:rsidRPr="006F25E0">
          <w:rPr>
            <w:rStyle w:val="Hipercze"/>
            <w:rFonts w:ascii="Arial" w:eastAsiaTheme="majorEastAsia" w:hAnsi="Arial" w:cs="Arial"/>
            <w:b/>
            <w:noProof/>
            <w:sz w:val="22"/>
            <w:szCs w:val="22"/>
          </w:rPr>
          <w:t>Rysunek 62</w:t>
        </w:r>
        <w:r w:rsidR="006F25E0" w:rsidRPr="006F25E0">
          <w:rPr>
            <w:rStyle w:val="Hipercze"/>
            <w:rFonts w:ascii="Arial" w:eastAsiaTheme="majorEastAsia" w:hAnsi="Arial" w:cs="Arial"/>
            <w:noProof/>
            <w:sz w:val="22"/>
            <w:szCs w:val="22"/>
          </w:rPr>
          <w:t xml:space="preserve"> Planowane inwestycje kolejowe wg priorytetu A i B</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_Toc146785691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169</w:t>
        </w:r>
        <w:r w:rsidR="006F25E0" w:rsidRPr="006F25E0">
          <w:rPr>
            <w:rFonts w:ascii="Arial" w:hAnsi="Arial" w:cs="Arial"/>
            <w:noProof/>
            <w:webHidden/>
            <w:sz w:val="22"/>
            <w:szCs w:val="22"/>
          </w:rPr>
          <w:fldChar w:fldCharType="end"/>
        </w:r>
      </w:hyperlink>
    </w:p>
    <w:p w14:paraId="756B04D2"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92" w:history="1">
        <w:r w:rsidR="006F25E0" w:rsidRPr="006F25E0">
          <w:rPr>
            <w:rStyle w:val="Hipercze"/>
            <w:rFonts w:ascii="Arial" w:eastAsiaTheme="majorEastAsia" w:hAnsi="Arial" w:cs="Arial"/>
            <w:b/>
            <w:noProof/>
            <w:sz w:val="22"/>
            <w:szCs w:val="22"/>
          </w:rPr>
          <w:t>Rysunek 63</w:t>
        </w:r>
        <w:r w:rsidR="006F25E0" w:rsidRPr="006F25E0">
          <w:rPr>
            <w:rStyle w:val="Hipercze"/>
            <w:rFonts w:ascii="Arial" w:eastAsiaTheme="majorEastAsia" w:hAnsi="Arial" w:cs="Arial"/>
            <w:noProof/>
            <w:sz w:val="22"/>
            <w:szCs w:val="22"/>
          </w:rPr>
          <w:t xml:space="preserve"> Inwestycje dotyczące parkingów Park &amp; Ride (etc.) jako elementów projektu Podmiejskiej Kolei Aglomeracyjnej</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_Toc146785692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175</w:t>
        </w:r>
        <w:r w:rsidR="006F25E0" w:rsidRPr="006F25E0">
          <w:rPr>
            <w:rFonts w:ascii="Arial" w:hAnsi="Arial" w:cs="Arial"/>
            <w:noProof/>
            <w:webHidden/>
            <w:sz w:val="22"/>
            <w:szCs w:val="22"/>
          </w:rPr>
          <w:fldChar w:fldCharType="end"/>
        </w:r>
      </w:hyperlink>
    </w:p>
    <w:p w14:paraId="25A4DFC1"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93" w:history="1">
        <w:r w:rsidR="006F25E0" w:rsidRPr="006F25E0">
          <w:rPr>
            <w:rStyle w:val="Hipercze"/>
            <w:rFonts w:ascii="Arial" w:eastAsiaTheme="majorEastAsia" w:hAnsi="Arial" w:cs="Arial"/>
            <w:b/>
            <w:noProof/>
            <w:sz w:val="22"/>
            <w:szCs w:val="22"/>
          </w:rPr>
          <w:t>Rysunek 64</w:t>
        </w:r>
        <w:r w:rsidR="006F25E0" w:rsidRPr="006F25E0">
          <w:rPr>
            <w:rStyle w:val="Hipercze"/>
            <w:rFonts w:ascii="Arial" w:eastAsiaTheme="majorEastAsia" w:hAnsi="Arial" w:cs="Arial"/>
            <w:noProof/>
            <w:sz w:val="22"/>
            <w:szCs w:val="22"/>
          </w:rPr>
          <w:t xml:space="preserve"> Proponowane kierunki rozwoju sieci transportowej w Rzeszowskim Obszarze Funkcjonalnym</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_Toc146785693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177</w:t>
        </w:r>
        <w:r w:rsidR="006F25E0" w:rsidRPr="006F25E0">
          <w:rPr>
            <w:rFonts w:ascii="Arial" w:hAnsi="Arial" w:cs="Arial"/>
            <w:noProof/>
            <w:webHidden/>
            <w:sz w:val="22"/>
            <w:szCs w:val="22"/>
          </w:rPr>
          <w:fldChar w:fldCharType="end"/>
        </w:r>
      </w:hyperlink>
    </w:p>
    <w:p w14:paraId="4128C581"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94" w:history="1">
        <w:r w:rsidR="006F25E0" w:rsidRPr="006F25E0">
          <w:rPr>
            <w:rStyle w:val="Hipercze"/>
            <w:rFonts w:ascii="Arial" w:eastAsiaTheme="majorEastAsia" w:hAnsi="Arial" w:cs="Arial"/>
            <w:b/>
            <w:noProof/>
            <w:sz w:val="22"/>
            <w:szCs w:val="22"/>
          </w:rPr>
          <w:t>Rysunek 65</w:t>
        </w:r>
        <w:r w:rsidR="006F25E0" w:rsidRPr="006F25E0">
          <w:rPr>
            <w:rStyle w:val="Hipercze"/>
            <w:rFonts w:ascii="Arial" w:eastAsiaTheme="majorEastAsia" w:hAnsi="Arial" w:cs="Arial"/>
            <w:noProof/>
            <w:sz w:val="22"/>
            <w:szCs w:val="22"/>
          </w:rPr>
          <w:t xml:space="preserve"> Proponowane kierunki rozwoju sieci transportowej w obszarze funkcjonalnym Przemyśla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_Toc146785694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178</w:t>
        </w:r>
        <w:r w:rsidR="006F25E0" w:rsidRPr="006F25E0">
          <w:rPr>
            <w:rFonts w:ascii="Arial" w:hAnsi="Arial" w:cs="Arial"/>
            <w:noProof/>
            <w:webHidden/>
            <w:sz w:val="22"/>
            <w:szCs w:val="22"/>
          </w:rPr>
          <w:fldChar w:fldCharType="end"/>
        </w:r>
      </w:hyperlink>
    </w:p>
    <w:p w14:paraId="542DD043"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95" w:history="1">
        <w:r w:rsidR="006F25E0" w:rsidRPr="006F25E0">
          <w:rPr>
            <w:rStyle w:val="Hipercze"/>
            <w:rFonts w:ascii="Arial" w:eastAsiaTheme="majorEastAsia" w:hAnsi="Arial" w:cs="Arial"/>
            <w:b/>
            <w:noProof/>
            <w:sz w:val="22"/>
            <w:szCs w:val="22"/>
          </w:rPr>
          <w:t>Rysunek 66</w:t>
        </w:r>
        <w:r w:rsidR="006F25E0" w:rsidRPr="006F25E0">
          <w:rPr>
            <w:rStyle w:val="Hipercze"/>
            <w:rFonts w:ascii="Arial" w:eastAsiaTheme="majorEastAsia" w:hAnsi="Arial" w:cs="Arial"/>
            <w:noProof/>
            <w:sz w:val="22"/>
            <w:szCs w:val="22"/>
          </w:rPr>
          <w:t xml:space="preserve"> Proponowane kierunki rozwoju sieci transportowej w obszarze funkcjonalnym Krosna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_Toc146785695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180</w:t>
        </w:r>
        <w:r w:rsidR="006F25E0" w:rsidRPr="006F25E0">
          <w:rPr>
            <w:rFonts w:ascii="Arial" w:hAnsi="Arial" w:cs="Arial"/>
            <w:noProof/>
            <w:webHidden/>
            <w:sz w:val="22"/>
            <w:szCs w:val="22"/>
          </w:rPr>
          <w:fldChar w:fldCharType="end"/>
        </w:r>
      </w:hyperlink>
    </w:p>
    <w:p w14:paraId="7C9B717A"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96" w:history="1">
        <w:r w:rsidR="006F25E0" w:rsidRPr="006F25E0">
          <w:rPr>
            <w:rStyle w:val="Hipercze"/>
            <w:rFonts w:ascii="Arial" w:eastAsiaTheme="majorEastAsia" w:hAnsi="Arial" w:cs="Arial"/>
            <w:b/>
            <w:noProof/>
            <w:sz w:val="22"/>
            <w:szCs w:val="22"/>
          </w:rPr>
          <w:t>Rysunek 67</w:t>
        </w:r>
        <w:r w:rsidR="006F25E0" w:rsidRPr="006F25E0">
          <w:rPr>
            <w:rStyle w:val="Hipercze"/>
            <w:rFonts w:ascii="Arial" w:eastAsiaTheme="majorEastAsia" w:hAnsi="Arial" w:cs="Arial"/>
            <w:noProof/>
            <w:sz w:val="22"/>
            <w:szCs w:val="22"/>
          </w:rPr>
          <w:t xml:space="preserve"> Proponowane kierunki rozwoju sieci transportowej w obszarze funkcjonalnym Jasła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_Toc146785696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182</w:t>
        </w:r>
        <w:r w:rsidR="006F25E0" w:rsidRPr="006F25E0">
          <w:rPr>
            <w:rFonts w:ascii="Arial" w:hAnsi="Arial" w:cs="Arial"/>
            <w:noProof/>
            <w:webHidden/>
            <w:sz w:val="22"/>
            <w:szCs w:val="22"/>
          </w:rPr>
          <w:fldChar w:fldCharType="end"/>
        </w:r>
      </w:hyperlink>
    </w:p>
    <w:p w14:paraId="725D5F09"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97" w:history="1">
        <w:r w:rsidR="006F25E0" w:rsidRPr="006F25E0">
          <w:rPr>
            <w:rStyle w:val="Hipercze"/>
            <w:rFonts w:ascii="Arial" w:eastAsiaTheme="majorEastAsia" w:hAnsi="Arial" w:cs="Arial"/>
            <w:b/>
            <w:noProof/>
            <w:sz w:val="22"/>
            <w:szCs w:val="22"/>
          </w:rPr>
          <w:t>Rysunek 68</w:t>
        </w:r>
        <w:r w:rsidR="006F25E0" w:rsidRPr="006F25E0">
          <w:rPr>
            <w:rStyle w:val="Hipercze"/>
            <w:rFonts w:ascii="Arial" w:eastAsiaTheme="majorEastAsia" w:hAnsi="Arial" w:cs="Arial"/>
            <w:noProof/>
            <w:sz w:val="22"/>
            <w:szCs w:val="22"/>
          </w:rPr>
          <w:t xml:space="preserve"> Proponowane kierunki rozwoju sieci transportowej w obszarze funkcjonalnym Tarnobrzega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_Toc146785697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184</w:t>
        </w:r>
        <w:r w:rsidR="006F25E0" w:rsidRPr="006F25E0">
          <w:rPr>
            <w:rFonts w:ascii="Arial" w:hAnsi="Arial" w:cs="Arial"/>
            <w:noProof/>
            <w:webHidden/>
            <w:sz w:val="22"/>
            <w:szCs w:val="22"/>
          </w:rPr>
          <w:fldChar w:fldCharType="end"/>
        </w:r>
      </w:hyperlink>
    </w:p>
    <w:p w14:paraId="0313D715"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98" w:history="1">
        <w:r w:rsidR="006F25E0" w:rsidRPr="006F25E0">
          <w:rPr>
            <w:rStyle w:val="Hipercze"/>
            <w:rFonts w:ascii="Arial" w:eastAsiaTheme="majorEastAsia" w:hAnsi="Arial" w:cs="Arial"/>
            <w:b/>
            <w:noProof/>
            <w:sz w:val="22"/>
            <w:szCs w:val="22"/>
          </w:rPr>
          <w:t>Rysunek 69</w:t>
        </w:r>
        <w:r w:rsidR="006F25E0" w:rsidRPr="006F25E0">
          <w:rPr>
            <w:rStyle w:val="Hipercze"/>
            <w:rFonts w:ascii="Arial" w:eastAsiaTheme="majorEastAsia" w:hAnsi="Arial" w:cs="Arial"/>
            <w:noProof/>
            <w:sz w:val="22"/>
            <w:szCs w:val="22"/>
          </w:rPr>
          <w:t xml:space="preserve"> Proponowane kierunki rozwoju sieci transportowej w obszarze funkcjonalnym Stalowej Woli</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_Toc146785698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185</w:t>
        </w:r>
        <w:r w:rsidR="006F25E0" w:rsidRPr="006F25E0">
          <w:rPr>
            <w:rFonts w:ascii="Arial" w:hAnsi="Arial" w:cs="Arial"/>
            <w:noProof/>
            <w:webHidden/>
            <w:sz w:val="22"/>
            <w:szCs w:val="22"/>
          </w:rPr>
          <w:fldChar w:fldCharType="end"/>
        </w:r>
      </w:hyperlink>
    </w:p>
    <w:p w14:paraId="2B2EE904"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699" w:history="1">
        <w:r w:rsidR="006F25E0" w:rsidRPr="006F25E0">
          <w:rPr>
            <w:rStyle w:val="Hipercze"/>
            <w:rFonts w:ascii="Arial" w:eastAsiaTheme="majorEastAsia" w:hAnsi="Arial" w:cs="Arial"/>
            <w:b/>
            <w:noProof/>
            <w:sz w:val="22"/>
            <w:szCs w:val="22"/>
          </w:rPr>
          <w:t>Rysunek 70</w:t>
        </w:r>
        <w:r w:rsidR="006F25E0" w:rsidRPr="006F25E0">
          <w:rPr>
            <w:rStyle w:val="Hipercze"/>
            <w:rFonts w:ascii="Arial" w:eastAsiaTheme="majorEastAsia" w:hAnsi="Arial" w:cs="Arial"/>
            <w:noProof/>
            <w:sz w:val="22"/>
            <w:szCs w:val="22"/>
          </w:rPr>
          <w:t xml:space="preserve"> Proponowane kierunki rozwoju sieci transportowej w obszarze funkcjonalnym Lubaczowa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_Toc146785699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187</w:t>
        </w:r>
        <w:r w:rsidR="006F25E0" w:rsidRPr="006F25E0">
          <w:rPr>
            <w:rFonts w:ascii="Arial" w:hAnsi="Arial" w:cs="Arial"/>
            <w:noProof/>
            <w:webHidden/>
            <w:sz w:val="22"/>
            <w:szCs w:val="22"/>
          </w:rPr>
          <w:fldChar w:fldCharType="end"/>
        </w:r>
      </w:hyperlink>
    </w:p>
    <w:p w14:paraId="41AE14A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00" w:history="1">
        <w:r w:rsidR="006F25E0" w:rsidRPr="006F25E0">
          <w:rPr>
            <w:rStyle w:val="Hipercze"/>
            <w:rFonts w:ascii="Arial" w:eastAsiaTheme="majorEastAsia" w:hAnsi="Arial" w:cs="Arial"/>
            <w:b/>
            <w:noProof/>
            <w:sz w:val="22"/>
            <w:szCs w:val="22"/>
          </w:rPr>
          <w:t>Rysunek 71</w:t>
        </w:r>
        <w:r w:rsidR="006F25E0" w:rsidRPr="006F25E0">
          <w:rPr>
            <w:rStyle w:val="Hipercze"/>
            <w:rFonts w:ascii="Arial" w:eastAsiaTheme="majorEastAsia" w:hAnsi="Arial" w:cs="Arial"/>
            <w:noProof/>
            <w:sz w:val="22"/>
            <w:szCs w:val="22"/>
          </w:rPr>
          <w:t xml:space="preserve"> Proponowane kierunki rozwoju sieci transportowej w obszarze funkcjonalnym Mielca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_Toc146785700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188</w:t>
        </w:r>
        <w:r w:rsidR="006F25E0" w:rsidRPr="006F25E0">
          <w:rPr>
            <w:rFonts w:ascii="Arial" w:hAnsi="Arial" w:cs="Arial"/>
            <w:noProof/>
            <w:webHidden/>
            <w:sz w:val="22"/>
            <w:szCs w:val="22"/>
          </w:rPr>
          <w:fldChar w:fldCharType="end"/>
        </w:r>
      </w:hyperlink>
    </w:p>
    <w:p w14:paraId="4E5A0442"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01" w:history="1">
        <w:r w:rsidR="006F25E0" w:rsidRPr="006F25E0">
          <w:rPr>
            <w:rStyle w:val="Hipercze"/>
            <w:rFonts w:ascii="Arial" w:eastAsiaTheme="majorEastAsia" w:hAnsi="Arial" w:cs="Arial"/>
            <w:b/>
            <w:noProof/>
            <w:sz w:val="22"/>
            <w:szCs w:val="22"/>
          </w:rPr>
          <w:t>Rysunek 72</w:t>
        </w:r>
        <w:r w:rsidR="006F25E0" w:rsidRPr="006F25E0">
          <w:rPr>
            <w:rStyle w:val="Hipercze"/>
            <w:rFonts w:ascii="Arial" w:eastAsiaTheme="majorEastAsia" w:hAnsi="Arial" w:cs="Arial"/>
            <w:noProof/>
            <w:sz w:val="22"/>
            <w:szCs w:val="22"/>
          </w:rPr>
          <w:t xml:space="preserve"> Proponowane kierunki rozwoju sieci transportowej w obszarze funkcjonalnym Dębica – Ropczyce</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_Toc146785701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190</w:t>
        </w:r>
        <w:r w:rsidR="006F25E0" w:rsidRPr="006F25E0">
          <w:rPr>
            <w:rFonts w:ascii="Arial" w:hAnsi="Arial" w:cs="Arial"/>
            <w:noProof/>
            <w:webHidden/>
            <w:sz w:val="22"/>
            <w:szCs w:val="22"/>
          </w:rPr>
          <w:fldChar w:fldCharType="end"/>
        </w:r>
      </w:hyperlink>
    </w:p>
    <w:p w14:paraId="6E62326A"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02" w:history="1">
        <w:r w:rsidR="006F25E0" w:rsidRPr="006F25E0">
          <w:rPr>
            <w:rStyle w:val="Hipercze"/>
            <w:rFonts w:ascii="Arial" w:eastAsiaTheme="majorEastAsia" w:hAnsi="Arial" w:cs="Arial"/>
            <w:b/>
            <w:noProof/>
            <w:sz w:val="22"/>
            <w:szCs w:val="22"/>
          </w:rPr>
          <w:t>Rysunek 73</w:t>
        </w:r>
        <w:r w:rsidR="006F25E0" w:rsidRPr="006F25E0">
          <w:rPr>
            <w:rStyle w:val="Hipercze"/>
            <w:rFonts w:ascii="Arial" w:eastAsiaTheme="majorEastAsia" w:hAnsi="Arial" w:cs="Arial"/>
            <w:noProof/>
            <w:sz w:val="22"/>
            <w:szCs w:val="22"/>
          </w:rPr>
          <w:t xml:space="preserve"> Proponowane kierunki rozwoju sieci transportowej w obszarze funkcjonalnym Jarosław – Przeworsk</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_Toc146785702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191</w:t>
        </w:r>
        <w:r w:rsidR="006F25E0" w:rsidRPr="006F25E0">
          <w:rPr>
            <w:rFonts w:ascii="Arial" w:hAnsi="Arial" w:cs="Arial"/>
            <w:noProof/>
            <w:webHidden/>
            <w:sz w:val="22"/>
            <w:szCs w:val="22"/>
          </w:rPr>
          <w:fldChar w:fldCharType="end"/>
        </w:r>
      </w:hyperlink>
    </w:p>
    <w:p w14:paraId="4834EF9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03" w:history="1">
        <w:r w:rsidR="006F25E0" w:rsidRPr="006F25E0">
          <w:rPr>
            <w:rStyle w:val="Hipercze"/>
            <w:rFonts w:ascii="Arial" w:eastAsiaTheme="majorEastAsia" w:hAnsi="Arial" w:cs="Arial"/>
            <w:b/>
            <w:noProof/>
            <w:sz w:val="22"/>
            <w:szCs w:val="22"/>
          </w:rPr>
          <w:t>Rysunek 74</w:t>
        </w:r>
        <w:r w:rsidR="006F25E0" w:rsidRPr="006F25E0">
          <w:rPr>
            <w:rStyle w:val="Hipercze"/>
            <w:rFonts w:ascii="Arial" w:eastAsiaTheme="majorEastAsia" w:hAnsi="Arial" w:cs="Arial"/>
            <w:noProof/>
            <w:sz w:val="22"/>
            <w:szCs w:val="22"/>
          </w:rPr>
          <w:t xml:space="preserve"> Proponowane kierunki rozwoju sieci transportowej w obszarze funkcjonalnym Sanok – Lesko</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_Toc146785703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193</w:t>
        </w:r>
        <w:r w:rsidR="006F25E0" w:rsidRPr="006F25E0">
          <w:rPr>
            <w:rFonts w:ascii="Arial" w:hAnsi="Arial" w:cs="Arial"/>
            <w:noProof/>
            <w:webHidden/>
            <w:sz w:val="22"/>
            <w:szCs w:val="22"/>
          </w:rPr>
          <w:fldChar w:fldCharType="end"/>
        </w:r>
      </w:hyperlink>
    </w:p>
    <w:p w14:paraId="31D7463F"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04" w:history="1">
        <w:r w:rsidR="006F25E0" w:rsidRPr="006F25E0">
          <w:rPr>
            <w:rStyle w:val="Hipercze"/>
            <w:rFonts w:ascii="Arial" w:eastAsiaTheme="majorEastAsia" w:hAnsi="Arial" w:cs="Arial"/>
            <w:b/>
            <w:noProof/>
            <w:sz w:val="22"/>
            <w:szCs w:val="22"/>
          </w:rPr>
          <w:t>Rysunek 75</w:t>
        </w:r>
        <w:r w:rsidR="006F25E0" w:rsidRPr="006F25E0">
          <w:rPr>
            <w:rStyle w:val="Hipercze"/>
            <w:rFonts w:ascii="Arial" w:eastAsiaTheme="majorEastAsia" w:hAnsi="Arial" w:cs="Arial"/>
            <w:noProof/>
            <w:sz w:val="22"/>
            <w:szCs w:val="22"/>
          </w:rPr>
          <w:t xml:space="preserve"> Mapa sieci transportowej w województwie podkarpackim do 2030 roku.</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_Toc146785704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226</w:t>
        </w:r>
        <w:r w:rsidR="006F25E0" w:rsidRPr="006F25E0">
          <w:rPr>
            <w:rFonts w:ascii="Arial" w:hAnsi="Arial" w:cs="Arial"/>
            <w:noProof/>
            <w:webHidden/>
            <w:sz w:val="22"/>
            <w:szCs w:val="22"/>
          </w:rPr>
          <w:fldChar w:fldCharType="end"/>
        </w:r>
      </w:hyperlink>
    </w:p>
    <w:p w14:paraId="2AAEBE0C"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05" w:history="1">
        <w:r w:rsidR="006F25E0" w:rsidRPr="006F25E0">
          <w:rPr>
            <w:rStyle w:val="Hipercze"/>
            <w:rFonts w:ascii="Arial" w:eastAsiaTheme="majorEastAsia" w:hAnsi="Arial" w:cs="Arial"/>
            <w:b/>
            <w:noProof/>
            <w:sz w:val="22"/>
            <w:szCs w:val="22"/>
          </w:rPr>
          <w:t>Rysunek 76</w:t>
        </w:r>
        <w:r w:rsidR="006F25E0" w:rsidRPr="006F25E0">
          <w:rPr>
            <w:rStyle w:val="Hipercze"/>
            <w:rFonts w:ascii="Arial" w:eastAsiaTheme="majorEastAsia" w:hAnsi="Arial" w:cs="Arial"/>
            <w:noProof/>
            <w:sz w:val="22"/>
            <w:szCs w:val="22"/>
          </w:rPr>
          <w:t xml:space="preserve"> Główni interesariusze regionalnego systemu transportowego i ich miejsce w procesie realizacji PSRT WP.</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_Toc146785705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232</w:t>
        </w:r>
        <w:r w:rsidR="006F25E0" w:rsidRPr="006F25E0">
          <w:rPr>
            <w:rFonts w:ascii="Arial" w:hAnsi="Arial" w:cs="Arial"/>
            <w:noProof/>
            <w:webHidden/>
            <w:sz w:val="22"/>
            <w:szCs w:val="22"/>
          </w:rPr>
          <w:fldChar w:fldCharType="end"/>
        </w:r>
      </w:hyperlink>
    </w:p>
    <w:p w14:paraId="0CBDA01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06" w:history="1">
        <w:r w:rsidR="006F25E0" w:rsidRPr="006F25E0">
          <w:rPr>
            <w:rStyle w:val="Hipercze"/>
            <w:rFonts w:ascii="Arial" w:eastAsiaTheme="majorEastAsia" w:hAnsi="Arial" w:cs="Arial"/>
            <w:b/>
            <w:noProof/>
            <w:sz w:val="22"/>
            <w:szCs w:val="22"/>
          </w:rPr>
          <w:t>Rysunek 77</w:t>
        </w:r>
        <w:r w:rsidR="006F25E0" w:rsidRPr="006F25E0">
          <w:rPr>
            <w:rStyle w:val="Hipercze"/>
            <w:rFonts w:ascii="Arial" w:eastAsiaTheme="majorEastAsia" w:hAnsi="Arial" w:cs="Arial"/>
            <w:noProof/>
            <w:sz w:val="22"/>
            <w:szCs w:val="22"/>
          </w:rPr>
          <w:t xml:space="preserve"> Mapa z inwestycjami w ramach spriorytetyzowanej listy kluczowych projektów dla priorytetu A i B</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_Toc146785706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339</w:t>
        </w:r>
        <w:r w:rsidR="006F25E0" w:rsidRPr="006F25E0">
          <w:rPr>
            <w:rFonts w:ascii="Arial" w:hAnsi="Arial" w:cs="Arial"/>
            <w:noProof/>
            <w:webHidden/>
            <w:sz w:val="22"/>
            <w:szCs w:val="22"/>
          </w:rPr>
          <w:fldChar w:fldCharType="end"/>
        </w:r>
      </w:hyperlink>
    </w:p>
    <w:p w14:paraId="61B24726" w14:textId="77777777" w:rsidR="006F25E0" w:rsidRDefault="000C6002" w:rsidP="006F25E0">
      <w:pPr>
        <w:pStyle w:val="Spisilustracji"/>
        <w:tabs>
          <w:tab w:val="right" w:leader="dot" w:pos="9062"/>
        </w:tabs>
        <w:spacing w:before="40" w:after="40" w:line="276" w:lineRule="auto"/>
        <w:rPr>
          <w:rFonts w:asciiTheme="minorHAnsi" w:eastAsiaTheme="minorEastAsia" w:hAnsiTheme="minorHAnsi" w:cstheme="minorBidi"/>
          <w:noProof/>
          <w:sz w:val="22"/>
          <w:szCs w:val="22"/>
        </w:rPr>
      </w:pPr>
      <w:hyperlink w:anchor="_Toc146785707" w:history="1">
        <w:r w:rsidR="006F25E0" w:rsidRPr="006F25E0">
          <w:rPr>
            <w:rStyle w:val="Hipercze"/>
            <w:rFonts w:ascii="Arial" w:eastAsiaTheme="majorEastAsia" w:hAnsi="Arial" w:cs="Arial"/>
            <w:b/>
            <w:noProof/>
            <w:sz w:val="22"/>
            <w:szCs w:val="22"/>
          </w:rPr>
          <w:t>Rysunek 78</w:t>
        </w:r>
        <w:r w:rsidR="006F25E0" w:rsidRPr="006F25E0">
          <w:rPr>
            <w:rStyle w:val="Hipercze"/>
            <w:rFonts w:ascii="Arial" w:eastAsiaTheme="majorEastAsia" w:hAnsi="Arial" w:cs="Arial"/>
            <w:noProof/>
            <w:sz w:val="22"/>
            <w:szCs w:val="22"/>
          </w:rPr>
          <w:t xml:space="preserve"> Terminale intermodalne, punkty przeładunkowe oraz strefy inwestycyjne w województwie podkarpackim</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_Toc146785707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347</w:t>
        </w:r>
        <w:r w:rsidR="006F25E0" w:rsidRPr="006F25E0">
          <w:rPr>
            <w:rFonts w:ascii="Arial" w:hAnsi="Arial" w:cs="Arial"/>
            <w:noProof/>
            <w:webHidden/>
            <w:sz w:val="22"/>
            <w:szCs w:val="22"/>
          </w:rPr>
          <w:fldChar w:fldCharType="end"/>
        </w:r>
      </w:hyperlink>
    </w:p>
    <w:p w14:paraId="28B7210A" w14:textId="1BBF500A" w:rsidR="00D12CEB" w:rsidRPr="009B78DA" w:rsidRDefault="00D12CEB" w:rsidP="00621E76">
      <w:pPr>
        <w:pStyle w:val="Nagwek1"/>
        <w:spacing w:before="40" w:after="40"/>
        <w:rPr>
          <w:b/>
          <w:color w:val="000000" w:themeColor="text1"/>
          <w:sz w:val="24"/>
          <w:szCs w:val="24"/>
          <w:u w:val="single"/>
        </w:rPr>
      </w:pPr>
      <w:r w:rsidRPr="009B78DA">
        <w:rPr>
          <w:rFonts w:cs="Arial"/>
          <w:color w:val="000000" w:themeColor="text1"/>
          <w:sz w:val="22"/>
          <w:szCs w:val="22"/>
        </w:rPr>
        <w:fldChar w:fldCharType="end"/>
      </w:r>
      <w:bookmarkStart w:id="443" w:name="_Toc146785815"/>
      <w:r w:rsidRPr="009B78DA">
        <w:rPr>
          <w:b/>
          <w:color w:val="000000" w:themeColor="text1"/>
          <w:sz w:val="24"/>
          <w:szCs w:val="24"/>
          <w:u w:val="single"/>
        </w:rPr>
        <w:t>Spis wykresów</w:t>
      </w:r>
      <w:bookmarkEnd w:id="443"/>
    </w:p>
    <w:p w14:paraId="60BB0CEF" w14:textId="77777777" w:rsidR="006F25E0" w:rsidRPr="006F25E0" w:rsidRDefault="00D12CEB" w:rsidP="006F25E0">
      <w:pPr>
        <w:pStyle w:val="Spisilustracji"/>
        <w:tabs>
          <w:tab w:val="right" w:leader="dot" w:pos="9062"/>
        </w:tabs>
        <w:spacing w:before="40" w:after="40" w:line="276" w:lineRule="auto"/>
        <w:rPr>
          <w:rFonts w:ascii="Arial" w:eastAsiaTheme="minorEastAsia" w:hAnsi="Arial" w:cs="Arial"/>
          <w:noProof/>
          <w:sz w:val="22"/>
          <w:szCs w:val="22"/>
        </w:rPr>
      </w:pPr>
      <w:r w:rsidRPr="009B78DA">
        <w:rPr>
          <w:rFonts w:ascii="Arial" w:hAnsi="Arial" w:cs="Arial"/>
          <w:color w:val="000000" w:themeColor="text1"/>
          <w:sz w:val="22"/>
          <w:szCs w:val="22"/>
        </w:rPr>
        <w:fldChar w:fldCharType="begin"/>
      </w:r>
      <w:r w:rsidRPr="009B78DA">
        <w:rPr>
          <w:rFonts w:ascii="Arial" w:hAnsi="Arial" w:cs="Arial"/>
          <w:color w:val="000000" w:themeColor="text1"/>
          <w:sz w:val="22"/>
          <w:szCs w:val="22"/>
        </w:rPr>
        <w:instrText xml:space="preserve"> TOC \h \z \c "Wykres" </w:instrText>
      </w:r>
      <w:r w:rsidRPr="009B78DA">
        <w:rPr>
          <w:rFonts w:ascii="Arial" w:hAnsi="Arial" w:cs="Arial"/>
          <w:color w:val="000000" w:themeColor="text1"/>
          <w:sz w:val="22"/>
          <w:szCs w:val="22"/>
        </w:rPr>
        <w:fldChar w:fldCharType="separate"/>
      </w:r>
      <w:hyperlink w:anchor="_Toc146785708" w:history="1">
        <w:r w:rsidR="006F25E0" w:rsidRPr="006F25E0">
          <w:rPr>
            <w:rStyle w:val="Hipercze"/>
            <w:rFonts w:ascii="Arial" w:eastAsiaTheme="majorEastAsia" w:hAnsi="Arial" w:cs="Arial"/>
            <w:b/>
            <w:noProof/>
            <w:sz w:val="22"/>
            <w:szCs w:val="22"/>
          </w:rPr>
          <w:t>Wykres 1</w:t>
        </w:r>
        <w:r w:rsidR="006F25E0" w:rsidRPr="006F25E0">
          <w:rPr>
            <w:rStyle w:val="Hipercze"/>
            <w:rFonts w:ascii="Arial" w:eastAsiaTheme="majorEastAsia" w:hAnsi="Arial" w:cs="Arial"/>
            <w:noProof/>
            <w:sz w:val="22"/>
            <w:szCs w:val="22"/>
          </w:rPr>
          <w:t xml:space="preserve"> Koszty utrzymania linii kolejowych w województwie podkarpackim (o znaczeniu państwowym i regionalnym) w mln złotych, w latach 2014-2019</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_Toc146785708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69</w:t>
        </w:r>
        <w:r w:rsidR="006F25E0" w:rsidRPr="006F25E0">
          <w:rPr>
            <w:rFonts w:ascii="Arial" w:hAnsi="Arial" w:cs="Arial"/>
            <w:noProof/>
            <w:webHidden/>
            <w:sz w:val="22"/>
            <w:szCs w:val="22"/>
          </w:rPr>
          <w:fldChar w:fldCharType="end"/>
        </w:r>
      </w:hyperlink>
    </w:p>
    <w:p w14:paraId="02EC101C"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09" w:history="1">
        <w:r w:rsidR="006F25E0" w:rsidRPr="006F25E0">
          <w:rPr>
            <w:rStyle w:val="Hipercze"/>
            <w:rFonts w:ascii="Arial" w:eastAsiaTheme="majorEastAsia" w:hAnsi="Arial" w:cs="Arial"/>
            <w:b/>
            <w:noProof/>
            <w:sz w:val="22"/>
            <w:szCs w:val="22"/>
          </w:rPr>
          <w:t>Wykres 2</w:t>
        </w:r>
        <w:r w:rsidR="006F25E0" w:rsidRPr="006F25E0">
          <w:rPr>
            <w:rStyle w:val="Hipercze"/>
            <w:rFonts w:ascii="Arial" w:eastAsiaTheme="majorEastAsia" w:hAnsi="Arial" w:cs="Arial"/>
            <w:noProof/>
            <w:sz w:val="22"/>
            <w:szCs w:val="22"/>
          </w:rPr>
          <w:t xml:space="preserve"> Liczba wypadków drogowych ogółem w latach 2015-2018</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_Toc146785709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71</w:t>
        </w:r>
        <w:r w:rsidR="006F25E0" w:rsidRPr="006F25E0">
          <w:rPr>
            <w:rFonts w:ascii="Arial" w:hAnsi="Arial" w:cs="Arial"/>
            <w:noProof/>
            <w:webHidden/>
            <w:sz w:val="22"/>
            <w:szCs w:val="22"/>
          </w:rPr>
          <w:fldChar w:fldCharType="end"/>
        </w:r>
      </w:hyperlink>
    </w:p>
    <w:p w14:paraId="3532A923"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10" w:history="1">
        <w:r w:rsidR="006F25E0" w:rsidRPr="006F25E0">
          <w:rPr>
            <w:rStyle w:val="Hipercze"/>
            <w:rFonts w:ascii="Arial" w:eastAsiaTheme="majorEastAsia" w:hAnsi="Arial" w:cs="Arial"/>
            <w:b/>
            <w:noProof/>
            <w:sz w:val="22"/>
            <w:szCs w:val="22"/>
          </w:rPr>
          <w:t>Wykres 3</w:t>
        </w:r>
        <w:r w:rsidR="006F25E0" w:rsidRPr="006F25E0">
          <w:rPr>
            <w:rStyle w:val="Hipercze"/>
            <w:rFonts w:ascii="Arial" w:eastAsiaTheme="majorEastAsia" w:hAnsi="Arial" w:cs="Arial"/>
            <w:noProof/>
            <w:sz w:val="22"/>
            <w:szCs w:val="22"/>
          </w:rPr>
          <w:t xml:space="preserve"> Udział poszczególnych źródeł emisji na terenie województwa podkarpackiego, ogółem w roku 2019</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_Toc146785710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76</w:t>
        </w:r>
        <w:r w:rsidR="006F25E0" w:rsidRPr="006F25E0">
          <w:rPr>
            <w:rFonts w:ascii="Arial" w:hAnsi="Arial" w:cs="Arial"/>
            <w:noProof/>
            <w:webHidden/>
            <w:sz w:val="22"/>
            <w:szCs w:val="22"/>
          </w:rPr>
          <w:fldChar w:fldCharType="end"/>
        </w:r>
      </w:hyperlink>
    </w:p>
    <w:p w14:paraId="738F6893"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11" w:history="1">
        <w:r w:rsidR="006F25E0" w:rsidRPr="006F25E0">
          <w:rPr>
            <w:rStyle w:val="Hipercze"/>
            <w:rFonts w:ascii="Arial" w:eastAsiaTheme="majorEastAsia" w:hAnsi="Arial" w:cs="Arial"/>
            <w:b/>
            <w:noProof/>
            <w:sz w:val="22"/>
            <w:szCs w:val="22"/>
          </w:rPr>
          <w:t>Wykres 4</w:t>
        </w:r>
        <w:r w:rsidR="006F25E0" w:rsidRPr="006F25E0">
          <w:rPr>
            <w:rStyle w:val="Hipercze"/>
            <w:rFonts w:ascii="Arial" w:eastAsiaTheme="majorEastAsia" w:hAnsi="Arial" w:cs="Arial"/>
            <w:noProof/>
            <w:sz w:val="22"/>
            <w:szCs w:val="22"/>
          </w:rPr>
          <w:t xml:space="preserve"> Udział zanieczyszczeń ze źródeł liniowych (pochodzących z transportu drogowego) -w emisji ogółem z terenu województwa podkarpackiego w roku 2019.</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_Toc146785711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77</w:t>
        </w:r>
        <w:r w:rsidR="006F25E0" w:rsidRPr="006F25E0">
          <w:rPr>
            <w:rFonts w:ascii="Arial" w:hAnsi="Arial" w:cs="Arial"/>
            <w:noProof/>
            <w:webHidden/>
            <w:sz w:val="22"/>
            <w:szCs w:val="22"/>
          </w:rPr>
          <w:fldChar w:fldCharType="end"/>
        </w:r>
      </w:hyperlink>
    </w:p>
    <w:p w14:paraId="5FABBD78"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12" w:history="1">
        <w:r w:rsidR="006F25E0" w:rsidRPr="006F25E0">
          <w:rPr>
            <w:rStyle w:val="Hipercze"/>
            <w:rFonts w:ascii="Arial" w:eastAsiaTheme="majorEastAsia" w:hAnsi="Arial" w:cs="Arial"/>
            <w:b/>
            <w:noProof/>
            <w:sz w:val="22"/>
            <w:szCs w:val="22"/>
          </w:rPr>
          <w:t>Wykres 5</w:t>
        </w:r>
        <w:r w:rsidR="006F25E0" w:rsidRPr="006F25E0">
          <w:rPr>
            <w:rStyle w:val="Hipercze"/>
            <w:rFonts w:ascii="Arial" w:eastAsiaTheme="majorEastAsia" w:hAnsi="Arial" w:cs="Arial"/>
            <w:noProof/>
            <w:sz w:val="22"/>
            <w:szCs w:val="22"/>
          </w:rPr>
          <w:t xml:space="preserve"> Procentowy udział poszczególnych odniesień do uwag projektu PSRT WP</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_Toc146785712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299</w:t>
        </w:r>
        <w:r w:rsidR="006F25E0" w:rsidRPr="006F25E0">
          <w:rPr>
            <w:rFonts w:ascii="Arial" w:hAnsi="Arial" w:cs="Arial"/>
            <w:noProof/>
            <w:webHidden/>
            <w:sz w:val="22"/>
            <w:szCs w:val="22"/>
          </w:rPr>
          <w:fldChar w:fldCharType="end"/>
        </w:r>
      </w:hyperlink>
    </w:p>
    <w:p w14:paraId="5A909E5A"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13" w:history="1">
        <w:r w:rsidR="006F25E0" w:rsidRPr="006F25E0">
          <w:rPr>
            <w:rStyle w:val="Hipercze"/>
            <w:rFonts w:ascii="Arial" w:eastAsiaTheme="majorEastAsia" w:hAnsi="Arial" w:cs="Arial"/>
            <w:b/>
            <w:noProof/>
            <w:sz w:val="22"/>
            <w:szCs w:val="22"/>
          </w:rPr>
          <w:t>Wykres 6</w:t>
        </w:r>
        <w:r w:rsidR="006F25E0" w:rsidRPr="006F25E0">
          <w:rPr>
            <w:rStyle w:val="Hipercze"/>
            <w:rFonts w:ascii="Arial" w:eastAsiaTheme="majorEastAsia" w:hAnsi="Arial" w:cs="Arial"/>
            <w:noProof/>
            <w:sz w:val="22"/>
            <w:szCs w:val="22"/>
          </w:rPr>
          <w:t xml:space="preserve"> Procentowy udział poszczególnych odniesień do uwag projektu Prognozy odziaływania na środowisko</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_Toc146785713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299</w:t>
        </w:r>
        <w:r w:rsidR="006F25E0" w:rsidRPr="006F25E0">
          <w:rPr>
            <w:rFonts w:ascii="Arial" w:hAnsi="Arial" w:cs="Arial"/>
            <w:noProof/>
            <w:webHidden/>
            <w:sz w:val="22"/>
            <w:szCs w:val="22"/>
          </w:rPr>
          <w:fldChar w:fldCharType="end"/>
        </w:r>
      </w:hyperlink>
    </w:p>
    <w:p w14:paraId="66386B2D" w14:textId="4C2DF7D6" w:rsidR="00D12CEB" w:rsidRPr="009B78DA" w:rsidRDefault="00D12CEB" w:rsidP="00621E76">
      <w:pPr>
        <w:pStyle w:val="Nagwek1"/>
        <w:spacing w:before="40" w:after="40"/>
        <w:rPr>
          <w:b/>
          <w:color w:val="000000" w:themeColor="text1"/>
          <w:sz w:val="24"/>
          <w:szCs w:val="24"/>
          <w:u w:val="single"/>
        </w:rPr>
      </w:pPr>
      <w:r w:rsidRPr="009B78DA">
        <w:rPr>
          <w:rFonts w:cs="Arial"/>
          <w:color w:val="000000" w:themeColor="text1"/>
          <w:sz w:val="22"/>
          <w:szCs w:val="22"/>
        </w:rPr>
        <w:fldChar w:fldCharType="end"/>
      </w:r>
      <w:bookmarkStart w:id="444" w:name="_Toc146785816"/>
      <w:r w:rsidRPr="009B78DA">
        <w:rPr>
          <w:b/>
          <w:color w:val="000000" w:themeColor="text1"/>
          <w:sz w:val="24"/>
          <w:szCs w:val="24"/>
          <w:u w:val="single"/>
        </w:rPr>
        <w:t>Spis tabel</w:t>
      </w:r>
      <w:bookmarkEnd w:id="444"/>
    </w:p>
    <w:p w14:paraId="5029E790" w14:textId="77777777" w:rsidR="006F25E0" w:rsidRPr="006F25E0" w:rsidRDefault="00D12CEB" w:rsidP="006F25E0">
      <w:pPr>
        <w:pStyle w:val="Spisilustracji"/>
        <w:tabs>
          <w:tab w:val="right" w:leader="dot" w:pos="9062"/>
        </w:tabs>
        <w:spacing w:before="40" w:after="40" w:line="276" w:lineRule="auto"/>
        <w:rPr>
          <w:rFonts w:ascii="Arial" w:eastAsiaTheme="minorEastAsia" w:hAnsi="Arial" w:cs="Arial"/>
          <w:noProof/>
          <w:sz w:val="22"/>
          <w:szCs w:val="22"/>
        </w:rPr>
      </w:pPr>
      <w:r w:rsidRPr="009B78DA">
        <w:rPr>
          <w:rFonts w:ascii="Arial" w:hAnsi="Arial" w:cs="Arial"/>
          <w:color w:val="000000" w:themeColor="text1"/>
          <w:sz w:val="22"/>
          <w:szCs w:val="22"/>
        </w:rPr>
        <w:fldChar w:fldCharType="begin"/>
      </w:r>
      <w:r w:rsidRPr="009B78DA">
        <w:rPr>
          <w:rFonts w:ascii="Arial" w:hAnsi="Arial" w:cs="Arial"/>
          <w:color w:val="000000" w:themeColor="text1"/>
          <w:sz w:val="22"/>
          <w:szCs w:val="22"/>
        </w:rPr>
        <w:instrText xml:space="preserve"> TOC \h \z \c "Tabela" </w:instrText>
      </w:r>
      <w:r w:rsidRPr="009B78DA">
        <w:rPr>
          <w:rFonts w:ascii="Arial" w:hAnsi="Arial" w:cs="Arial"/>
          <w:color w:val="000000" w:themeColor="text1"/>
          <w:sz w:val="22"/>
          <w:szCs w:val="22"/>
        </w:rPr>
        <w:fldChar w:fldCharType="separate"/>
      </w:r>
      <w:hyperlink w:anchor="_Toc146785731" w:history="1">
        <w:r w:rsidR="006F25E0" w:rsidRPr="006F25E0">
          <w:rPr>
            <w:rStyle w:val="Hipercze"/>
            <w:rFonts w:ascii="Arial" w:eastAsiaTheme="majorEastAsia" w:hAnsi="Arial" w:cs="Arial"/>
            <w:b/>
            <w:noProof/>
            <w:sz w:val="22"/>
            <w:szCs w:val="22"/>
          </w:rPr>
          <w:t>Tabela 1</w:t>
        </w:r>
        <w:r w:rsidR="006F25E0" w:rsidRPr="006F25E0">
          <w:rPr>
            <w:rStyle w:val="Hipercze"/>
            <w:rFonts w:ascii="Arial" w:eastAsiaTheme="majorEastAsia" w:hAnsi="Arial" w:cs="Arial"/>
            <w:noProof/>
            <w:sz w:val="22"/>
            <w:szCs w:val="22"/>
          </w:rPr>
          <w:t xml:space="preserve"> Długość sieci drogowej o nawierzchni twardej w Polsce i w województwie podkarpackim w 2021 r. (km)</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_Toc146785731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25</w:t>
        </w:r>
        <w:r w:rsidR="006F25E0" w:rsidRPr="006F25E0">
          <w:rPr>
            <w:rFonts w:ascii="Arial" w:hAnsi="Arial" w:cs="Arial"/>
            <w:noProof/>
            <w:webHidden/>
            <w:sz w:val="22"/>
            <w:szCs w:val="22"/>
          </w:rPr>
          <w:fldChar w:fldCharType="end"/>
        </w:r>
      </w:hyperlink>
    </w:p>
    <w:p w14:paraId="72A554F4"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32" w:history="1">
        <w:r w:rsidR="006F25E0" w:rsidRPr="006F25E0">
          <w:rPr>
            <w:rStyle w:val="Hipercze"/>
            <w:rFonts w:ascii="Arial" w:eastAsiaTheme="majorEastAsia" w:hAnsi="Arial" w:cs="Arial"/>
            <w:b/>
            <w:noProof/>
            <w:sz w:val="22"/>
            <w:szCs w:val="22"/>
          </w:rPr>
          <w:t>Tabela 2</w:t>
        </w:r>
        <w:r w:rsidR="006F25E0" w:rsidRPr="006F25E0">
          <w:rPr>
            <w:rStyle w:val="Hipercze"/>
            <w:rFonts w:ascii="Arial" w:eastAsiaTheme="majorEastAsia" w:hAnsi="Arial" w:cs="Arial"/>
            <w:noProof/>
            <w:sz w:val="22"/>
            <w:szCs w:val="22"/>
          </w:rPr>
          <w:t xml:space="preserve"> Długość linii kolejowych normalnotorowych w Polsce i w województwie podkarpackim w 2022 r. (km)</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_Toc146785732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28</w:t>
        </w:r>
        <w:r w:rsidR="006F25E0" w:rsidRPr="006F25E0">
          <w:rPr>
            <w:rFonts w:ascii="Arial" w:hAnsi="Arial" w:cs="Arial"/>
            <w:noProof/>
            <w:webHidden/>
            <w:sz w:val="22"/>
            <w:szCs w:val="22"/>
          </w:rPr>
          <w:fldChar w:fldCharType="end"/>
        </w:r>
      </w:hyperlink>
    </w:p>
    <w:p w14:paraId="4BB90615"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33" w:history="1">
        <w:r w:rsidR="006F25E0" w:rsidRPr="006F25E0">
          <w:rPr>
            <w:rStyle w:val="Hipercze"/>
            <w:rFonts w:ascii="Arial" w:eastAsiaTheme="majorEastAsia" w:hAnsi="Arial" w:cs="Arial"/>
            <w:b/>
            <w:noProof/>
            <w:sz w:val="22"/>
            <w:szCs w:val="22"/>
          </w:rPr>
          <w:t>Tabela 3</w:t>
        </w:r>
        <w:r w:rsidR="006F25E0" w:rsidRPr="006F25E0">
          <w:rPr>
            <w:rStyle w:val="Hipercze"/>
            <w:rFonts w:ascii="Arial" w:eastAsiaTheme="majorEastAsia" w:hAnsi="Arial" w:cs="Arial"/>
            <w:noProof/>
            <w:sz w:val="22"/>
            <w:szCs w:val="22"/>
          </w:rPr>
          <w:t xml:space="preserve"> Skrócenie czasu podróży samochodem osobowym między wybranymi miastami obszarów funkcjonalnych w 2017 i 2023 r. (zaokrąglenie czasów przejazdu do pełnych minut)</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_Toc146785733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40</w:t>
        </w:r>
        <w:r w:rsidR="006F25E0" w:rsidRPr="006F25E0">
          <w:rPr>
            <w:rFonts w:ascii="Arial" w:hAnsi="Arial" w:cs="Arial"/>
            <w:noProof/>
            <w:webHidden/>
            <w:sz w:val="22"/>
            <w:szCs w:val="22"/>
          </w:rPr>
          <w:fldChar w:fldCharType="end"/>
        </w:r>
      </w:hyperlink>
    </w:p>
    <w:p w14:paraId="142B2DC5"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34" w:history="1">
        <w:r w:rsidR="006F25E0" w:rsidRPr="006F25E0">
          <w:rPr>
            <w:rStyle w:val="Hipercze"/>
            <w:rFonts w:ascii="Arial" w:eastAsiaTheme="majorEastAsia" w:hAnsi="Arial" w:cs="Arial"/>
            <w:b/>
            <w:noProof/>
            <w:sz w:val="22"/>
            <w:szCs w:val="22"/>
          </w:rPr>
          <w:t>Tabela 4</w:t>
        </w:r>
        <w:r w:rsidR="006F25E0" w:rsidRPr="006F25E0">
          <w:rPr>
            <w:rStyle w:val="Hipercze"/>
            <w:rFonts w:ascii="Arial" w:eastAsiaTheme="majorEastAsia" w:hAnsi="Arial" w:cs="Arial"/>
            <w:noProof/>
            <w:sz w:val="22"/>
            <w:szCs w:val="22"/>
          </w:rPr>
          <w:t xml:space="preserve"> Macierz najkrótszych czasów podróży pociągiem między wybranymi miastami obszarów funkcjonalnych w 2020 r. (zaokrąglenie czasów przejazdu do pełnych minut)</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_Toc146785734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41</w:t>
        </w:r>
        <w:r w:rsidR="006F25E0" w:rsidRPr="006F25E0">
          <w:rPr>
            <w:rFonts w:ascii="Arial" w:hAnsi="Arial" w:cs="Arial"/>
            <w:noProof/>
            <w:webHidden/>
            <w:sz w:val="22"/>
            <w:szCs w:val="22"/>
          </w:rPr>
          <w:fldChar w:fldCharType="end"/>
        </w:r>
      </w:hyperlink>
    </w:p>
    <w:p w14:paraId="5787A5BF"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35" w:history="1">
        <w:r w:rsidR="006F25E0" w:rsidRPr="006F25E0">
          <w:rPr>
            <w:rStyle w:val="Hipercze"/>
            <w:rFonts w:ascii="Arial" w:eastAsiaTheme="majorEastAsia" w:hAnsi="Arial" w:cs="Arial"/>
            <w:b/>
            <w:noProof/>
            <w:sz w:val="22"/>
            <w:szCs w:val="22"/>
          </w:rPr>
          <w:t>Tabela 5</w:t>
        </w:r>
        <w:r w:rsidR="006F25E0" w:rsidRPr="006F25E0">
          <w:rPr>
            <w:rStyle w:val="Hipercze"/>
            <w:rFonts w:ascii="Arial" w:eastAsiaTheme="majorEastAsia" w:hAnsi="Arial" w:cs="Arial"/>
            <w:noProof/>
            <w:sz w:val="22"/>
            <w:szCs w:val="22"/>
          </w:rPr>
          <w:t xml:space="preserve"> Liczba wydanych zezwoleń dla linii autobusowych oraz liczba przewoźników realizujących połączenia na terenie województwa podkarpackiego w 2020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_Toc146785735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63</w:t>
        </w:r>
        <w:r w:rsidR="006F25E0" w:rsidRPr="006F25E0">
          <w:rPr>
            <w:rFonts w:ascii="Arial" w:hAnsi="Arial" w:cs="Arial"/>
            <w:noProof/>
            <w:webHidden/>
            <w:sz w:val="22"/>
            <w:szCs w:val="22"/>
          </w:rPr>
          <w:fldChar w:fldCharType="end"/>
        </w:r>
      </w:hyperlink>
    </w:p>
    <w:p w14:paraId="09EE7FA9"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36" w:history="1">
        <w:r w:rsidR="006F25E0" w:rsidRPr="006F25E0">
          <w:rPr>
            <w:rStyle w:val="Hipercze"/>
            <w:rFonts w:ascii="Arial" w:eastAsiaTheme="majorEastAsia" w:hAnsi="Arial" w:cs="Arial"/>
            <w:b/>
            <w:noProof/>
            <w:sz w:val="22"/>
            <w:szCs w:val="22"/>
          </w:rPr>
          <w:t>Tabela 6</w:t>
        </w:r>
        <w:r w:rsidR="006F25E0" w:rsidRPr="006F25E0">
          <w:rPr>
            <w:rStyle w:val="Hipercze"/>
            <w:rFonts w:ascii="Arial" w:eastAsiaTheme="majorEastAsia" w:hAnsi="Arial" w:cs="Arial"/>
            <w:noProof/>
            <w:sz w:val="22"/>
            <w:szCs w:val="22"/>
          </w:rPr>
          <w:t xml:space="preserve"> Lista przewoźników o największym udziale w organizacji połączeń transportu zbiorowego na terenie województwa podkarpackiego w 2020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_Toc146785736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64</w:t>
        </w:r>
        <w:r w:rsidR="006F25E0" w:rsidRPr="006F25E0">
          <w:rPr>
            <w:rFonts w:ascii="Arial" w:hAnsi="Arial" w:cs="Arial"/>
            <w:noProof/>
            <w:webHidden/>
            <w:sz w:val="22"/>
            <w:szCs w:val="22"/>
          </w:rPr>
          <w:fldChar w:fldCharType="end"/>
        </w:r>
      </w:hyperlink>
    </w:p>
    <w:p w14:paraId="1DA41FC2"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37" w:history="1">
        <w:r w:rsidR="006F25E0" w:rsidRPr="006F25E0">
          <w:rPr>
            <w:rStyle w:val="Hipercze"/>
            <w:rFonts w:ascii="Arial" w:eastAsiaTheme="majorEastAsia" w:hAnsi="Arial" w:cs="Arial"/>
            <w:b/>
            <w:noProof/>
            <w:sz w:val="22"/>
            <w:szCs w:val="22"/>
          </w:rPr>
          <w:t>Tabela 7</w:t>
        </w:r>
        <w:r w:rsidR="006F25E0" w:rsidRPr="006F25E0">
          <w:rPr>
            <w:rStyle w:val="Hipercze"/>
            <w:rFonts w:ascii="Arial" w:eastAsiaTheme="majorEastAsia" w:hAnsi="Arial" w:cs="Arial"/>
            <w:noProof/>
            <w:sz w:val="22"/>
            <w:szCs w:val="22"/>
          </w:rPr>
          <w:t xml:space="preserve"> Koszty utrzymania dróg krajowych w latach: 2014-2019</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_Toc146785737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68</w:t>
        </w:r>
        <w:r w:rsidR="006F25E0" w:rsidRPr="006F25E0">
          <w:rPr>
            <w:rFonts w:ascii="Arial" w:hAnsi="Arial" w:cs="Arial"/>
            <w:noProof/>
            <w:webHidden/>
            <w:sz w:val="22"/>
            <w:szCs w:val="22"/>
          </w:rPr>
          <w:fldChar w:fldCharType="end"/>
        </w:r>
      </w:hyperlink>
    </w:p>
    <w:p w14:paraId="3C631325"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38" w:history="1">
        <w:r w:rsidR="006F25E0" w:rsidRPr="006F25E0">
          <w:rPr>
            <w:rStyle w:val="Hipercze"/>
            <w:rFonts w:ascii="Arial" w:eastAsiaTheme="majorEastAsia" w:hAnsi="Arial" w:cs="Arial"/>
            <w:b/>
            <w:noProof/>
            <w:sz w:val="22"/>
            <w:szCs w:val="22"/>
          </w:rPr>
          <w:t>Tabela 8</w:t>
        </w:r>
        <w:r w:rsidR="006F25E0" w:rsidRPr="006F25E0">
          <w:rPr>
            <w:rStyle w:val="Hipercze"/>
            <w:rFonts w:ascii="Arial" w:eastAsiaTheme="majorEastAsia" w:hAnsi="Arial" w:cs="Arial"/>
            <w:noProof/>
            <w:sz w:val="22"/>
            <w:szCs w:val="22"/>
          </w:rPr>
          <w:t xml:space="preserve"> Koszty utrzymania dróg wojewódzkich w latach: 2014-2019</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_Toc146785738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69</w:t>
        </w:r>
        <w:r w:rsidR="006F25E0" w:rsidRPr="006F25E0">
          <w:rPr>
            <w:rFonts w:ascii="Arial" w:hAnsi="Arial" w:cs="Arial"/>
            <w:noProof/>
            <w:webHidden/>
            <w:sz w:val="22"/>
            <w:szCs w:val="22"/>
          </w:rPr>
          <w:fldChar w:fldCharType="end"/>
        </w:r>
      </w:hyperlink>
    </w:p>
    <w:p w14:paraId="3FE238B9"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39" w:history="1">
        <w:r w:rsidR="006F25E0" w:rsidRPr="006F25E0">
          <w:rPr>
            <w:rStyle w:val="Hipercze"/>
            <w:rFonts w:ascii="Arial" w:eastAsiaTheme="majorEastAsia" w:hAnsi="Arial" w:cs="Arial"/>
            <w:b/>
            <w:noProof/>
            <w:sz w:val="22"/>
            <w:szCs w:val="22"/>
          </w:rPr>
          <w:t>Tabela 9</w:t>
        </w:r>
        <w:r w:rsidR="006F25E0" w:rsidRPr="006F25E0">
          <w:rPr>
            <w:rStyle w:val="Hipercze"/>
            <w:rFonts w:ascii="Arial" w:eastAsiaTheme="majorEastAsia" w:hAnsi="Arial" w:cs="Arial"/>
            <w:noProof/>
            <w:sz w:val="22"/>
            <w:szCs w:val="22"/>
          </w:rPr>
          <w:t xml:space="preserve"> Emisja wybranych gazów cieplarnianych z sektora transportu w województwie podkarpackim w 2018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_Toc146785739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77</w:t>
        </w:r>
        <w:r w:rsidR="006F25E0" w:rsidRPr="006F25E0">
          <w:rPr>
            <w:rFonts w:ascii="Arial" w:hAnsi="Arial" w:cs="Arial"/>
            <w:noProof/>
            <w:webHidden/>
            <w:sz w:val="22"/>
            <w:szCs w:val="22"/>
          </w:rPr>
          <w:fldChar w:fldCharType="end"/>
        </w:r>
      </w:hyperlink>
    </w:p>
    <w:p w14:paraId="64A6F995"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40" w:history="1">
        <w:r w:rsidR="006F25E0" w:rsidRPr="006F25E0">
          <w:rPr>
            <w:rStyle w:val="Hipercze"/>
            <w:rFonts w:ascii="Arial" w:eastAsiaTheme="majorEastAsia" w:hAnsi="Arial" w:cs="Arial"/>
            <w:b/>
            <w:noProof/>
            <w:sz w:val="22"/>
            <w:szCs w:val="22"/>
          </w:rPr>
          <w:t>Tabela 10</w:t>
        </w:r>
        <w:r w:rsidR="006F25E0" w:rsidRPr="006F25E0">
          <w:rPr>
            <w:rStyle w:val="Hipercze"/>
            <w:rFonts w:ascii="Arial" w:eastAsiaTheme="majorEastAsia" w:hAnsi="Arial" w:cs="Arial"/>
            <w:noProof/>
            <w:sz w:val="22"/>
            <w:szCs w:val="22"/>
          </w:rPr>
          <w:t xml:space="preserve"> Wylosowane jednostki losowania pierwszego i drugiego stopnia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_Toc146785740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117</w:t>
        </w:r>
        <w:r w:rsidR="006F25E0" w:rsidRPr="006F25E0">
          <w:rPr>
            <w:rFonts w:ascii="Arial" w:hAnsi="Arial" w:cs="Arial"/>
            <w:noProof/>
            <w:webHidden/>
            <w:sz w:val="22"/>
            <w:szCs w:val="22"/>
          </w:rPr>
          <w:fldChar w:fldCharType="end"/>
        </w:r>
      </w:hyperlink>
    </w:p>
    <w:p w14:paraId="74C1A3F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41" w:history="1">
        <w:r w:rsidR="006F25E0" w:rsidRPr="006F25E0">
          <w:rPr>
            <w:rStyle w:val="Hipercze"/>
            <w:rFonts w:ascii="Arial" w:eastAsiaTheme="majorEastAsia" w:hAnsi="Arial" w:cs="Arial"/>
            <w:b/>
            <w:noProof/>
            <w:sz w:val="22"/>
            <w:szCs w:val="22"/>
          </w:rPr>
          <w:t>Tabela 11</w:t>
        </w:r>
        <w:r w:rsidR="006F25E0" w:rsidRPr="006F25E0">
          <w:rPr>
            <w:rStyle w:val="Hipercze"/>
            <w:rFonts w:ascii="Arial" w:eastAsiaTheme="majorEastAsia" w:hAnsi="Arial" w:cs="Arial"/>
            <w:noProof/>
            <w:sz w:val="22"/>
            <w:szCs w:val="22"/>
          </w:rPr>
          <w:t xml:space="preserve"> Udział % rocznej liczby podróży według wybranych celów podróży</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_Toc146785741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118</w:t>
        </w:r>
        <w:r w:rsidR="006F25E0" w:rsidRPr="006F25E0">
          <w:rPr>
            <w:rFonts w:ascii="Arial" w:hAnsi="Arial" w:cs="Arial"/>
            <w:noProof/>
            <w:webHidden/>
            <w:sz w:val="22"/>
            <w:szCs w:val="22"/>
          </w:rPr>
          <w:fldChar w:fldCharType="end"/>
        </w:r>
      </w:hyperlink>
    </w:p>
    <w:p w14:paraId="43BB3416"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42" w:history="1">
        <w:r w:rsidR="006F25E0" w:rsidRPr="006F25E0">
          <w:rPr>
            <w:rStyle w:val="Hipercze"/>
            <w:rFonts w:ascii="Arial" w:eastAsiaTheme="majorEastAsia" w:hAnsi="Arial" w:cs="Arial"/>
            <w:b/>
            <w:noProof/>
            <w:sz w:val="22"/>
            <w:szCs w:val="22"/>
          </w:rPr>
          <w:t>Tabela 12</w:t>
        </w:r>
        <w:r w:rsidR="006F25E0" w:rsidRPr="006F25E0">
          <w:rPr>
            <w:rStyle w:val="Hipercze"/>
            <w:rFonts w:ascii="Arial" w:eastAsiaTheme="majorEastAsia" w:hAnsi="Arial" w:cs="Arial"/>
            <w:noProof/>
            <w:sz w:val="22"/>
            <w:szCs w:val="22"/>
          </w:rPr>
          <w:t xml:space="preserve"> Praca przewozowa przy przewozie osób według sposobów odbywania podróży według województw w tysiącach pasażerokilometrów</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_Toc146785742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118</w:t>
        </w:r>
        <w:r w:rsidR="006F25E0" w:rsidRPr="006F25E0">
          <w:rPr>
            <w:rFonts w:ascii="Arial" w:hAnsi="Arial" w:cs="Arial"/>
            <w:noProof/>
            <w:webHidden/>
            <w:sz w:val="22"/>
            <w:szCs w:val="22"/>
          </w:rPr>
          <w:fldChar w:fldCharType="end"/>
        </w:r>
      </w:hyperlink>
    </w:p>
    <w:p w14:paraId="7FC9FA3E"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43" w:history="1">
        <w:r w:rsidR="006F25E0" w:rsidRPr="006F25E0">
          <w:rPr>
            <w:rStyle w:val="Hipercze"/>
            <w:rFonts w:ascii="Arial" w:eastAsiaTheme="majorEastAsia" w:hAnsi="Arial" w:cs="Arial"/>
            <w:b/>
            <w:noProof/>
            <w:sz w:val="22"/>
            <w:szCs w:val="22"/>
          </w:rPr>
          <w:t>Tabela 13</w:t>
        </w:r>
        <w:r w:rsidR="006F25E0" w:rsidRPr="006F25E0">
          <w:rPr>
            <w:rStyle w:val="Hipercze"/>
            <w:rFonts w:ascii="Arial" w:eastAsiaTheme="majorEastAsia" w:hAnsi="Arial" w:cs="Arial"/>
            <w:noProof/>
            <w:sz w:val="22"/>
            <w:szCs w:val="22"/>
          </w:rPr>
          <w:t xml:space="preserve"> Przewozy osób według sposobów odbywania podróży w województwach</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_Toc146785743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119</w:t>
        </w:r>
        <w:r w:rsidR="006F25E0" w:rsidRPr="006F25E0">
          <w:rPr>
            <w:rFonts w:ascii="Arial" w:hAnsi="Arial" w:cs="Arial"/>
            <w:noProof/>
            <w:webHidden/>
            <w:sz w:val="22"/>
            <w:szCs w:val="22"/>
          </w:rPr>
          <w:fldChar w:fldCharType="end"/>
        </w:r>
      </w:hyperlink>
    </w:p>
    <w:p w14:paraId="02921CF4"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44" w:history="1">
        <w:r w:rsidR="006F25E0" w:rsidRPr="006F25E0">
          <w:rPr>
            <w:rStyle w:val="Hipercze"/>
            <w:rFonts w:ascii="Arial" w:eastAsiaTheme="majorEastAsia" w:hAnsi="Arial" w:cs="Arial"/>
            <w:b/>
            <w:noProof/>
            <w:sz w:val="22"/>
            <w:szCs w:val="22"/>
          </w:rPr>
          <w:t>Tabela 14</w:t>
        </w:r>
        <w:r w:rsidR="006F25E0" w:rsidRPr="006F25E0">
          <w:rPr>
            <w:rStyle w:val="Hipercze"/>
            <w:rFonts w:ascii="Arial" w:eastAsiaTheme="majorEastAsia" w:hAnsi="Arial" w:cs="Arial"/>
            <w:noProof/>
            <w:sz w:val="22"/>
            <w:szCs w:val="22"/>
          </w:rPr>
          <w:t xml:space="preserve"> Udział % pracy przewozowej przy przewozie osób według przedziałów czasowych</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_Toc146785744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119</w:t>
        </w:r>
        <w:r w:rsidR="006F25E0" w:rsidRPr="006F25E0">
          <w:rPr>
            <w:rFonts w:ascii="Arial" w:hAnsi="Arial" w:cs="Arial"/>
            <w:noProof/>
            <w:webHidden/>
            <w:sz w:val="22"/>
            <w:szCs w:val="22"/>
          </w:rPr>
          <w:fldChar w:fldCharType="end"/>
        </w:r>
      </w:hyperlink>
    </w:p>
    <w:p w14:paraId="3A6D7D01"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45" w:history="1">
        <w:r w:rsidR="006F25E0" w:rsidRPr="006F25E0">
          <w:rPr>
            <w:rStyle w:val="Hipercze"/>
            <w:rFonts w:ascii="Arial" w:eastAsiaTheme="majorEastAsia" w:hAnsi="Arial" w:cs="Arial"/>
            <w:b/>
            <w:noProof/>
            <w:sz w:val="22"/>
            <w:szCs w:val="22"/>
          </w:rPr>
          <w:t>Tabela 15</w:t>
        </w:r>
        <w:r w:rsidR="006F25E0" w:rsidRPr="006F25E0">
          <w:rPr>
            <w:rStyle w:val="Hipercze"/>
            <w:rFonts w:ascii="Arial" w:eastAsiaTheme="majorEastAsia" w:hAnsi="Arial" w:cs="Arial"/>
            <w:noProof/>
            <w:sz w:val="22"/>
            <w:szCs w:val="22"/>
          </w:rPr>
          <w:t xml:space="preserve"> Średnia odległość przewozu 1 osoby według sposobów odbywania podróży w województwach</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_Toc146785745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120</w:t>
        </w:r>
        <w:r w:rsidR="006F25E0" w:rsidRPr="006F25E0">
          <w:rPr>
            <w:rFonts w:ascii="Arial" w:hAnsi="Arial" w:cs="Arial"/>
            <w:noProof/>
            <w:webHidden/>
            <w:sz w:val="22"/>
            <w:szCs w:val="22"/>
          </w:rPr>
          <w:fldChar w:fldCharType="end"/>
        </w:r>
      </w:hyperlink>
    </w:p>
    <w:p w14:paraId="15616A55"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46" w:history="1">
        <w:r w:rsidR="006F25E0" w:rsidRPr="006F25E0">
          <w:rPr>
            <w:rStyle w:val="Hipercze"/>
            <w:rFonts w:ascii="Arial" w:eastAsiaTheme="majorEastAsia" w:hAnsi="Arial" w:cs="Arial"/>
            <w:b/>
            <w:noProof/>
            <w:sz w:val="22"/>
            <w:szCs w:val="22"/>
          </w:rPr>
          <w:t>Tabela 16</w:t>
        </w:r>
        <w:r w:rsidR="006F25E0" w:rsidRPr="006F25E0">
          <w:rPr>
            <w:rStyle w:val="Hipercze"/>
            <w:rFonts w:ascii="Arial" w:eastAsiaTheme="majorEastAsia" w:hAnsi="Arial" w:cs="Arial"/>
            <w:noProof/>
            <w:sz w:val="22"/>
            <w:szCs w:val="22"/>
          </w:rPr>
          <w:t xml:space="preserve"> </w:t>
        </w:r>
        <w:r w:rsidR="006F25E0" w:rsidRPr="006F25E0">
          <w:rPr>
            <w:rStyle w:val="Hipercze"/>
            <w:rFonts w:ascii="Arial" w:eastAsiaTheme="majorEastAsia" w:hAnsi="Arial" w:cs="Arial"/>
            <w:noProof/>
            <w:sz w:val="22"/>
            <w:szCs w:val="22"/>
            <w:lang w:eastAsia="en-US"/>
          </w:rPr>
          <w:t>Analiza SWOT</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_Toc146785746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123</w:t>
        </w:r>
        <w:r w:rsidR="006F25E0" w:rsidRPr="006F25E0">
          <w:rPr>
            <w:rFonts w:ascii="Arial" w:hAnsi="Arial" w:cs="Arial"/>
            <w:noProof/>
            <w:webHidden/>
            <w:sz w:val="22"/>
            <w:szCs w:val="22"/>
          </w:rPr>
          <w:fldChar w:fldCharType="end"/>
        </w:r>
      </w:hyperlink>
    </w:p>
    <w:p w14:paraId="5538F6A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47" w:history="1">
        <w:r w:rsidR="006F25E0" w:rsidRPr="006F25E0">
          <w:rPr>
            <w:rStyle w:val="Hipercze"/>
            <w:rFonts w:ascii="Arial" w:eastAsiaTheme="majorEastAsia" w:hAnsi="Arial" w:cs="Arial"/>
            <w:b/>
            <w:noProof/>
            <w:sz w:val="22"/>
            <w:szCs w:val="22"/>
          </w:rPr>
          <w:t>Tabela 17</w:t>
        </w:r>
        <w:r w:rsidR="006F25E0" w:rsidRPr="006F25E0">
          <w:rPr>
            <w:rStyle w:val="Hipercze"/>
            <w:rFonts w:ascii="Arial" w:eastAsiaTheme="majorEastAsia" w:hAnsi="Arial" w:cs="Arial"/>
            <w:noProof/>
            <w:sz w:val="22"/>
            <w:szCs w:val="22"/>
          </w:rPr>
          <w:t xml:space="preserve"> </w:t>
        </w:r>
        <w:r w:rsidR="006F25E0" w:rsidRPr="006F25E0">
          <w:rPr>
            <w:rStyle w:val="Hipercze"/>
            <w:rFonts w:ascii="Arial" w:eastAsiaTheme="majorEastAsia" w:hAnsi="Arial" w:cs="Arial"/>
            <w:noProof/>
            <w:sz w:val="22"/>
            <w:szCs w:val="22"/>
            <w:lang w:eastAsia="en-US"/>
          </w:rPr>
          <w:t>Główne zalety i wady dla wariantu 1.</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_Toc146785747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132</w:t>
        </w:r>
        <w:r w:rsidR="006F25E0" w:rsidRPr="006F25E0">
          <w:rPr>
            <w:rFonts w:ascii="Arial" w:hAnsi="Arial" w:cs="Arial"/>
            <w:noProof/>
            <w:webHidden/>
            <w:sz w:val="22"/>
            <w:szCs w:val="22"/>
          </w:rPr>
          <w:fldChar w:fldCharType="end"/>
        </w:r>
      </w:hyperlink>
    </w:p>
    <w:p w14:paraId="055A375D"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48" w:history="1">
        <w:r w:rsidR="006F25E0" w:rsidRPr="006F25E0">
          <w:rPr>
            <w:rStyle w:val="Hipercze"/>
            <w:rFonts w:ascii="Arial" w:eastAsiaTheme="majorEastAsia" w:hAnsi="Arial" w:cs="Arial"/>
            <w:b/>
            <w:noProof/>
            <w:sz w:val="22"/>
            <w:szCs w:val="22"/>
          </w:rPr>
          <w:t>Tabela 18</w:t>
        </w:r>
        <w:r w:rsidR="006F25E0" w:rsidRPr="006F25E0">
          <w:rPr>
            <w:rStyle w:val="Hipercze"/>
            <w:rFonts w:ascii="Arial" w:eastAsiaTheme="majorEastAsia" w:hAnsi="Arial" w:cs="Arial"/>
            <w:noProof/>
            <w:sz w:val="22"/>
            <w:szCs w:val="22"/>
          </w:rPr>
          <w:t xml:space="preserve"> </w:t>
        </w:r>
        <w:r w:rsidR="006F25E0" w:rsidRPr="006F25E0">
          <w:rPr>
            <w:rStyle w:val="Hipercze"/>
            <w:rFonts w:ascii="Arial" w:eastAsiaTheme="majorEastAsia" w:hAnsi="Arial" w:cs="Arial"/>
            <w:noProof/>
            <w:sz w:val="22"/>
            <w:szCs w:val="22"/>
            <w:lang w:eastAsia="en-US"/>
          </w:rPr>
          <w:t>Główne zalety i wady dla wariantu 2.</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_Toc146785748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134</w:t>
        </w:r>
        <w:r w:rsidR="006F25E0" w:rsidRPr="006F25E0">
          <w:rPr>
            <w:rFonts w:ascii="Arial" w:hAnsi="Arial" w:cs="Arial"/>
            <w:noProof/>
            <w:webHidden/>
            <w:sz w:val="22"/>
            <w:szCs w:val="22"/>
          </w:rPr>
          <w:fldChar w:fldCharType="end"/>
        </w:r>
      </w:hyperlink>
    </w:p>
    <w:p w14:paraId="710A991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49" w:history="1">
        <w:r w:rsidR="006F25E0" w:rsidRPr="006F25E0">
          <w:rPr>
            <w:rStyle w:val="Hipercze"/>
            <w:rFonts w:ascii="Arial" w:eastAsiaTheme="majorEastAsia" w:hAnsi="Arial" w:cs="Arial"/>
            <w:b/>
            <w:noProof/>
            <w:sz w:val="22"/>
            <w:szCs w:val="22"/>
          </w:rPr>
          <w:t>Tabela 19</w:t>
        </w:r>
        <w:r w:rsidR="006F25E0" w:rsidRPr="006F25E0">
          <w:rPr>
            <w:rStyle w:val="Hipercze"/>
            <w:rFonts w:ascii="Arial" w:eastAsiaTheme="majorEastAsia" w:hAnsi="Arial" w:cs="Arial"/>
            <w:noProof/>
            <w:sz w:val="22"/>
            <w:szCs w:val="22"/>
          </w:rPr>
          <w:t xml:space="preserve"> </w:t>
        </w:r>
        <w:r w:rsidR="006F25E0" w:rsidRPr="006F25E0">
          <w:rPr>
            <w:rStyle w:val="Hipercze"/>
            <w:rFonts w:ascii="Arial" w:eastAsiaTheme="majorEastAsia" w:hAnsi="Arial" w:cs="Arial"/>
            <w:noProof/>
            <w:sz w:val="22"/>
            <w:szCs w:val="22"/>
            <w:lang w:eastAsia="en-US"/>
          </w:rPr>
          <w:t>Główne zalety i wady dla wariantu 3.</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_Toc146785749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135</w:t>
        </w:r>
        <w:r w:rsidR="006F25E0" w:rsidRPr="006F25E0">
          <w:rPr>
            <w:rFonts w:ascii="Arial" w:hAnsi="Arial" w:cs="Arial"/>
            <w:noProof/>
            <w:webHidden/>
            <w:sz w:val="22"/>
            <w:szCs w:val="22"/>
          </w:rPr>
          <w:fldChar w:fldCharType="end"/>
        </w:r>
      </w:hyperlink>
    </w:p>
    <w:p w14:paraId="3E9FEAF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50" w:history="1">
        <w:r w:rsidR="006F25E0" w:rsidRPr="006F25E0">
          <w:rPr>
            <w:rStyle w:val="Hipercze"/>
            <w:rFonts w:ascii="Arial" w:eastAsiaTheme="majorEastAsia" w:hAnsi="Arial" w:cs="Arial"/>
            <w:b/>
            <w:noProof/>
            <w:sz w:val="22"/>
            <w:szCs w:val="22"/>
          </w:rPr>
          <w:t>Tabela 20</w:t>
        </w:r>
        <w:r w:rsidR="006F25E0" w:rsidRPr="006F25E0">
          <w:rPr>
            <w:rStyle w:val="Hipercze"/>
            <w:rFonts w:ascii="Arial" w:eastAsiaTheme="majorEastAsia" w:hAnsi="Arial" w:cs="Arial"/>
            <w:noProof/>
            <w:sz w:val="22"/>
            <w:szCs w:val="22"/>
          </w:rPr>
          <w:t xml:space="preserve"> </w:t>
        </w:r>
        <w:r w:rsidR="006F25E0" w:rsidRPr="006F25E0">
          <w:rPr>
            <w:rStyle w:val="Hipercze"/>
            <w:rFonts w:ascii="Arial" w:eastAsiaTheme="majorEastAsia" w:hAnsi="Arial" w:cs="Arial"/>
            <w:noProof/>
            <w:sz w:val="22"/>
            <w:szCs w:val="22"/>
            <w:lang w:eastAsia="en-US"/>
          </w:rPr>
          <w:t>Główne zalety i wady dla wariantu 4.</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_Toc146785750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137</w:t>
        </w:r>
        <w:r w:rsidR="006F25E0" w:rsidRPr="006F25E0">
          <w:rPr>
            <w:rFonts w:ascii="Arial" w:hAnsi="Arial" w:cs="Arial"/>
            <w:noProof/>
            <w:webHidden/>
            <w:sz w:val="22"/>
            <w:szCs w:val="22"/>
          </w:rPr>
          <w:fldChar w:fldCharType="end"/>
        </w:r>
      </w:hyperlink>
    </w:p>
    <w:p w14:paraId="1804BC1A"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51" w:history="1">
        <w:r w:rsidR="006F25E0" w:rsidRPr="006F25E0">
          <w:rPr>
            <w:rStyle w:val="Hipercze"/>
            <w:rFonts w:ascii="Arial" w:eastAsiaTheme="majorEastAsia" w:hAnsi="Arial" w:cs="Arial"/>
            <w:b/>
            <w:noProof/>
            <w:sz w:val="22"/>
            <w:szCs w:val="22"/>
          </w:rPr>
          <w:t>Tabela 21</w:t>
        </w:r>
        <w:r w:rsidR="006F25E0" w:rsidRPr="006F25E0">
          <w:rPr>
            <w:rStyle w:val="Hipercze"/>
            <w:rFonts w:ascii="Arial" w:eastAsiaTheme="majorEastAsia" w:hAnsi="Arial" w:cs="Arial"/>
            <w:noProof/>
            <w:sz w:val="22"/>
            <w:szCs w:val="22"/>
          </w:rPr>
          <w:t xml:space="preserve"> Wzajemna relacja pomiędzy zdiagnozowanymi problemami bazowymi oraz proponowanymi wariantami</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_Toc146785751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138</w:t>
        </w:r>
        <w:r w:rsidR="006F25E0" w:rsidRPr="006F25E0">
          <w:rPr>
            <w:rFonts w:ascii="Arial" w:hAnsi="Arial" w:cs="Arial"/>
            <w:noProof/>
            <w:webHidden/>
            <w:sz w:val="22"/>
            <w:szCs w:val="22"/>
          </w:rPr>
          <w:fldChar w:fldCharType="end"/>
        </w:r>
      </w:hyperlink>
    </w:p>
    <w:p w14:paraId="08B0ECCB"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52" w:history="1">
        <w:r w:rsidR="006F25E0" w:rsidRPr="006F25E0">
          <w:rPr>
            <w:rStyle w:val="Hipercze"/>
            <w:rFonts w:ascii="Arial" w:eastAsiaTheme="majorEastAsia" w:hAnsi="Arial" w:cs="Arial"/>
            <w:b/>
            <w:noProof/>
            <w:sz w:val="22"/>
            <w:szCs w:val="22"/>
          </w:rPr>
          <w:t>Tabela 22</w:t>
        </w:r>
        <w:r w:rsidR="006F25E0" w:rsidRPr="006F25E0">
          <w:rPr>
            <w:rStyle w:val="Hipercze"/>
            <w:rFonts w:ascii="Arial" w:eastAsiaTheme="majorEastAsia" w:hAnsi="Arial" w:cs="Arial"/>
            <w:noProof/>
            <w:sz w:val="22"/>
            <w:szCs w:val="22"/>
          </w:rPr>
          <w:t xml:space="preserve"> Matryca obrazująca wpływ celów podstawowych i horyzontalnych na rozwiązanie problemów wynikających z diagnozy (bardzo wysoki „++”, wysoki „+”, umiarkowany „+/-„, niski „-”)</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_Toc146785752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144</w:t>
        </w:r>
        <w:r w:rsidR="006F25E0" w:rsidRPr="006F25E0">
          <w:rPr>
            <w:rFonts w:ascii="Arial" w:hAnsi="Arial" w:cs="Arial"/>
            <w:noProof/>
            <w:webHidden/>
            <w:sz w:val="22"/>
            <w:szCs w:val="22"/>
          </w:rPr>
          <w:fldChar w:fldCharType="end"/>
        </w:r>
      </w:hyperlink>
    </w:p>
    <w:p w14:paraId="0678D5D5"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53" w:history="1">
        <w:r w:rsidR="006F25E0" w:rsidRPr="006F25E0">
          <w:rPr>
            <w:rStyle w:val="Hipercze"/>
            <w:rFonts w:ascii="Arial" w:eastAsiaTheme="majorEastAsia" w:hAnsi="Arial" w:cs="Arial"/>
            <w:b/>
            <w:noProof/>
            <w:sz w:val="22"/>
            <w:szCs w:val="22"/>
          </w:rPr>
          <w:t>Tabela 23</w:t>
        </w:r>
        <w:r w:rsidR="006F25E0" w:rsidRPr="006F25E0">
          <w:rPr>
            <w:rStyle w:val="Hipercze"/>
            <w:rFonts w:ascii="Arial" w:eastAsiaTheme="majorEastAsia" w:hAnsi="Arial" w:cs="Arial"/>
            <w:noProof/>
            <w:sz w:val="22"/>
            <w:szCs w:val="22"/>
          </w:rPr>
          <w:t xml:space="preserve"> Cele i kierunki rozwoju regionalnego systemu transportowego</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_Toc146785753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152</w:t>
        </w:r>
        <w:r w:rsidR="006F25E0" w:rsidRPr="006F25E0">
          <w:rPr>
            <w:rFonts w:ascii="Arial" w:hAnsi="Arial" w:cs="Arial"/>
            <w:noProof/>
            <w:webHidden/>
            <w:sz w:val="22"/>
            <w:szCs w:val="22"/>
          </w:rPr>
          <w:fldChar w:fldCharType="end"/>
        </w:r>
      </w:hyperlink>
    </w:p>
    <w:p w14:paraId="64AFF4B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54" w:history="1">
        <w:r w:rsidR="006F25E0" w:rsidRPr="006F25E0">
          <w:rPr>
            <w:rStyle w:val="Hipercze"/>
            <w:rFonts w:ascii="Arial" w:eastAsiaTheme="majorEastAsia" w:hAnsi="Arial" w:cs="Arial"/>
            <w:b/>
            <w:noProof/>
            <w:sz w:val="22"/>
            <w:szCs w:val="22"/>
          </w:rPr>
          <w:t>Tabela 24</w:t>
        </w:r>
        <w:r w:rsidR="006F25E0" w:rsidRPr="006F25E0">
          <w:rPr>
            <w:rStyle w:val="Hipercze"/>
            <w:rFonts w:ascii="Arial" w:eastAsiaTheme="majorEastAsia" w:hAnsi="Arial" w:cs="Arial"/>
            <w:noProof/>
            <w:sz w:val="22"/>
            <w:szCs w:val="22"/>
          </w:rPr>
          <w:t xml:space="preserve"> Inwestycje w ramach celów i kierunków rozwoju regionalnego systemu transportowego</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_Toc146785754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197</w:t>
        </w:r>
        <w:r w:rsidR="006F25E0" w:rsidRPr="006F25E0">
          <w:rPr>
            <w:rFonts w:ascii="Arial" w:hAnsi="Arial" w:cs="Arial"/>
            <w:noProof/>
            <w:webHidden/>
            <w:sz w:val="22"/>
            <w:szCs w:val="22"/>
          </w:rPr>
          <w:fldChar w:fldCharType="end"/>
        </w:r>
      </w:hyperlink>
    </w:p>
    <w:p w14:paraId="4D4AF98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55" w:history="1">
        <w:r w:rsidR="006F25E0" w:rsidRPr="006F25E0">
          <w:rPr>
            <w:rStyle w:val="Hipercze"/>
            <w:rFonts w:ascii="Arial" w:eastAsiaTheme="majorEastAsia" w:hAnsi="Arial" w:cs="Arial"/>
            <w:b/>
            <w:noProof/>
            <w:sz w:val="22"/>
            <w:szCs w:val="22"/>
          </w:rPr>
          <w:t>Tabela 25</w:t>
        </w:r>
        <w:r w:rsidR="006F25E0" w:rsidRPr="006F25E0">
          <w:rPr>
            <w:rStyle w:val="Hipercze"/>
            <w:rFonts w:ascii="Arial" w:eastAsiaTheme="majorEastAsia" w:hAnsi="Arial" w:cs="Arial"/>
            <w:noProof/>
            <w:sz w:val="22"/>
            <w:szCs w:val="22"/>
          </w:rPr>
          <w:t xml:space="preserve"> Główne podmioty odpowiedzialne za utrzymanie infrastruktury transportowej na terenie województwa podkarpackiego</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_Toc146785755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248</w:t>
        </w:r>
        <w:r w:rsidR="006F25E0" w:rsidRPr="006F25E0">
          <w:rPr>
            <w:rFonts w:ascii="Arial" w:hAnsi="Arial" w:cs="Arial"/>
            <w:noProof/>
            <w:webHidden/>
            <w:sz w:val="22"/>
            <w:szCs w:val="22"/>
          </w:rPr>
          <w:fldChar w:fldCharType="end"/>
        </w:r>
      </w:hyperlink>
    </w:p>
    <w:p w14:paraId="50527D1D"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56" w:history="1">
        <w:r w:rsidR="006F25E0" w:rsidRPr="006F25E0">
          <w:rPr>
            <w:rStyle w:val="Hipercze"/>
            <w:rFonts w:ascii="Arial" w:eastAsiaTheme="majorEastAsia" w:hAnsi="Arial" w:cs="Arial"/>
            <w:b/>
            <w:noProof/>
            <w:sz w:val="22"/>
            <w:szCs w:val="22"/>
          </w:rPr>
          <w:t>Tabela 26</w:t>
        </w:r>
        <w:r w:rsidR="006F25E0" w:rsidRPr="006F25E0">
          <w:rPr>
            <w:rStyle w:val="Hipercze"/>
            <w:rFonts w:ascii="Arial" w:eastAsiaTheme="majorEastAsia" w:hAnsi="Arial" w:cs="Arial"/>
            <w:noProof/>
            <w:sz w:val="22"/>
            <w:szCs w:val="22"/>
          </w:rPr>
          <w:t xml:space="preserve"> Źródła finansowania inwestycji transportowych z wykorzystaniem środków UE dostępnych w perspektywach finansowych na lata 2014-2020  i 2021-2027 (z uwzględnieniem środków w ramach KPO) wg założonych alokacji przewidzianych na zadania z dziedziny transportu.</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_Toc146785756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250</w:t>
        </w:r>
        <w:r w:rsidR="006F25E0" w:rsidRPr="006F25E0">
          <w:rPr>
            <w:rFonts w:ascii="Arial" w:hAnsi="Arial" w:cs="Arial"/>
            <w:noProof/>
            <w:webHidden/>
            <w:sz w:val="22"/>
            <w:szCs w:val="22"/>
          </w:rPr>
          <w:fldChar w:fldCharType="end"/>
        </w:r>
      </w:hyperlink>
    </w:p>
    <w:p w14:paraId="0796A4AB"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57" w:history="1">
        <w:r w:rsidR="006F25E0" w:rsidRPr="006F25E0">
          <w:rPr>
            <w:rStyle w:val="Hipercze"/>
            <w:rFonts w:ascii="Arial" w:eastAsiaTheme="majorEastAsia" w:hAnsi="Arial" w:cs="Arial"/>
            <w:b/>
            <w:noProof/>
            <w:sz w:val="22"/>
            <w:szCs w:val="22"/>
          </w:rPr>
          <w:t>Tabela 27</w:t>
        </w:r>
        <w:r w:rsidR="006F25E0" w:rsidRPr="006F25E0">
          <w:rPr>
            <w:rStyle w:val="Hipercze"/>
            <w:rFonts w:ascii="Arial" w:eastAsiaTheme="majorEastAsia" w:hAnsi="Arial" w:cs="Arial"/>
            <w:noProof/>
            <w:sz w:val="22"/>
            <w:szCs w:val="22"/>
          </w:rPr>
          <w:t xml:space="preserve"> Szacunkowa ilość krajowych środków publicznych przeznaczonych na wydatki w sferze transportu umożliwiających finansowanie przedsięwzięć drogowych założonych w ramach PSRT WP.</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_Toc146785757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251</w:t>
        </w:r>
        <w:r w:rsidR="006F25E0" w:rsidRPr="006F25E0">
          <w:rPr>
            <w:rFonts w:ascii="Arial" w:hAnsi="Arial" w:cs="Arial"/>
            <w:noProof/>
            <w:webHidden/>
            <w:sz w:val="22"/>
            <w:szCs w:val="22"/>
          </w:rPr>
          <w:fldChar w:fldCharType="end"/>
        </w:r>
      </w:hyperlink>
    </w:p>
    <w:p w14:paraId="3937F383"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58" w:history="1">
        <w:r w:rsidR="006F25E0" w:rsidRPr="006F25E0">
          <w:rPr>
            <w:rStyle w:val="Hipercze"/>
            <w:rFonts w:ascii="Arial" w:eastAsiaTheme="majorEastAsia" w:hAnsi="Arial" w:cs="Arial"/>
            <w:b/>
            <w:noProof/>
            <w:sz w:val="22"/>
            <w:szCs w:val="22"/>
          </w:rPr>
          <w:t>Tabela 28</w:t>
        </w:r>
        <w:r w:rsidR="006F25E0" w:rsidRPr="006F25E0">
          <w:rPr>
            <w:rStyle w:val="Hipercze"/>
            <w:rFonts w:ascii="Arial" w:eastAsiaTheme="majorEastAsia" w:hAnsi="Arial" w:cs="Arial"/>
            <w:noProof/>
            <w:sz w:val="22"/>
            <w:szCs w:val="22"/>
          </w:rPr>
          <w:t xml:space="preserve"> Zestawienie szacunkowych ilości krajowych środków publicznych przeznaczonych na wydatki majątkowe inwestycyjne oraz wydatki bieżące w sferze transportu (drogi wszystkich kategorii) na lata 2021 – 2030 w województwie podkarpackim (w tys. PLN).</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_Toc146785758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252</w:t>
        </w:r>
        <w:r w:rsidR="006F25E0" w:rsidRPr="006F25E0">
          <w:rPr>
            <w:rFonts w:ascii="Arial" w:hAnsi="Arial" w:cs="Arial"/>
            <w:noProof/>
            <w:webHidden/>
            <w:sz w:val="22"/>
            <w:szCs w:val="22"/>
          </w:rPr>
          <w:fldChar w:fldCharType="end"/>
        </w:r>
      </w:hyperlink>
    </w:p>
    <w:p w14:paraId="3285B5B1"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59" w:history="1">
        <w:r w:rsidR="006F25E0" w:rsidRPr="006F25E0">
          <w:rPr>
            <w:rStyle w:val="Hipercze"/>
            <w:rFonts w:ascii="Arial" w:eastAsiaTheme="majorEastAsia" w:hAnsi="Arial" w:cs="Arial"/>
            <w:b/>
            <w:noProof/>
            <w:sz w:val="22"/>
            <w:szCs w:val="22"/>
          </w:rPr>
          <w:t>Tabela 29</w:t>
        </w:r>
        <w:r w:rsidR="006F25E0" w:rsidRPr="006F25E0">
          <w:rPr>
            <w:rStyle w:val="Hipercze"/>
            <w:rFonts w:ascii="Arial" w:eastAsiaTheme="majorEastAsia" w:hAnsi="Arial" w:cs="Arial"/>
            <w:noProof/>
            <w:sz w:val="22"/>
            <w:szCs w:val="22"/>
          </w:rPr>
          <w:t xml:space="preserve"> Zestawienie potencjalnych źródeł finansowania realizacji celów podstawowych PSRT WP w odniesieniu do wskazanych działań lub grup działań zamieszczonych w części kierunkowej Programu.</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_Toc146785759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253</w:t>
        </w:r>
        <w:r w:rsidR="006F25E0" w:rsidRPr="006F25E0">
          <w:rPr>
            <w:rFonts w:ascii="Arial" w:hAnsi="Arial" w:cs="Arial"/>
            <w:noProof/>
            <w:webHidden/>
            <w:sz w:val="22"/>
            <w:szCs w:val="22"/>
          </w:rPr>
          <w:fldChar w:fldCharType="end"/>
        </w:r>
      </w:hyperlink>
    </w:p>
    <w:p w14:paraId="4E981D9E"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60" w:history="1">
        <w:r w:rsidR="006F25E0" w:rsidRPr="006F25E0">
          <w:rPr>
            <w:rStyle w:val="Hipercze"/>
            <w:rFonts w:ascii="Arial" w:eastAsiaTheme="majorEastAsia" w:hAnsi="Arial" w:cs="Arial"/>
            <w:b/>
            <w:noProof/>
            <w:sz w:val="22"/>
            <w:szCs w:val="22"/>
          </w:rPr>
          <w:t>Tabela 30</w:t>
        </w:r>
        <w:r w:rsidR="006F25E0" w:rsidRPr="006F25E0">
          <w:rPr>
            <w:rStyle w:val="Hipercze"/>
            <w:rFonts w:ascii="Arial" w:eastAsiaTheme="majorEastAsia" w:hAnsi="Arial" w:cs="Arial"/>
            <w:noProof/>
            <w:sz w:val="22"/>
            <w:szCs w:val="22"/>
          </w:rPr>
          <w:t xml:space="preserve"> Kategorie inwestycji transportowych założonych w PSRT WP, uprawnionych do dofinansowania z krajowych i regionalnych programów finansowanych z Funduszy Europejskich, dostępnych w ramach Polityki Spójności w perspektywie finansowej UE na lata 2021 – 2027 (wg Linii demarkacyjnej).</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_Toc146785760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268</w:t>
        </w:r>
        <w:r w:rsidR="006F25E0" w:rsidRPr="006F25E0">
          <w:rPr>
            <w:rFonts w:ascii="Arial" w:hAnsi="Arial" w:cs="Arial"/>
            <w:noProof/>
            <w:webHidden/>
            <w:sz w:val="22"/>
            <w:szCs w:val="22"/>
          </w:rPr>
          <w:fldChar w:fldCharType="end"/>
        </w:r>
      </w:hyperlink>
    </w:p>
    <w:p w14:paraId="3CB519D4"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61" w:history="1">
        <w:r w:rsidR="006F25E0" w:rsidRPr="006F25E0">
          <w:rPr>
            <w:rStyle w:val="Hipercze"/>
            <w:rFonts w:ascii="Arial" w:eastAsiaTheme="majorEastAsia" w:hAnsi="Arial" w:cs="Arial"/>
            <w:b/>
            <w:noProof/>
            <w:sz w:val="22"/>
            <w:szCs w:val="22"/>
          </w:rPr>
          <w:t>Tabela 31</w:t>
        </w:r>
        <w:r w:rsidR="006F25E0" w:rsidRPr="006F25E0">
          <w:rPr>
            <w:rStyle w:val="Hipercze"/>
            <w:rFonts w:ascii="Arial" w:eastAsiaTheme="majorEastAsia" w:hAnsi="Arial" w:cs="Arial"/>
            <w:noProof/>
            <w:sz w:val="22"/>
            <w:szCs w:val="22"/>
          </w:rPr>
          <w:t xml:space="preserve"> Inne wybrane publiczne źródła finansowania realizacji PSRT WP oraz kategorie finansowanych inwestycji</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_Toc146785761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278</w:t>
        </w:r>
        <w:r w:rsidR="006F25E0" w:rsidRPr="006F25E0">
          <w:rPr>
            <w:rFonts w:ascii="Arial" w:hAnsi="Arial" w:cs="Arial"/>
            <w:noProof/>
            <w:webHidden/>
            <w:sz w:val="22"/>
            <w:szCs w:val="22"/>
          </w:rPr>
          <w:fldChar w:fldCharType="end"/>
        </w:r>
      </w:hyperlink>
    </w:p>
    <w:p w14:paraId="0AACB548"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62" w:history="1">
        <w:r w:rsidR="006F25E0" w:rsidRPr="006F25E0">
          <w:rPr>
            <w:rStyle w:val="Hipercze"/>
            <w:rFonts w:ascii="Arial" w:eastAsiaTheme="majorEastAsia" w:hAnsi="Arial" w:cs="Arial"/>
            <w:b/>
            <w:noProof/>
            <w:sz w:val="22"/>
            <w:szCs w:val="22"/>
          </w:rPr>
          <w:t>Tabela 32</w:t>
        </w:r>
        <w:r w:rsidR="006F25E0" w:rsidRPr="006F25E0">
          <w:rPr>
            <w:rStyle w:val="Hipercze"/>
            <w:rFonts w:ascii="Arial" w:eastAsiaTheme="majorEastAsia" w:hAnsi="Arial" w:cs="Arial"/>
            <w:noProof/>
            <w:sz w:val="22"/>
            <w:szCs w:val="22"/>
          </w:rPr>
          <w:t xml:space="preserve"> Prognozowana dynamika wzrostu kosztu nakładów dotyczących wojewódzkiej infrastruktury drogowej w perspektywie do 2030 r. w przeliczeniu na 1 km drogi wojewódzkiej w PLN</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_Toc146785762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280</w:t>
        </w:r>
        <w:r w:rsidR="006F25E0" w:rsidRPr="006F25E0">
          <w:rPr>
            <w:rFonts w:ascii="Arial" w:hAnsi="Arial" w:cs="Arial"/>
            <w:noProof/>
            <w:webHidden/>
            <w:sz w:val="22"/>
            <w:szCs w:val="22"/>
          </w:rPr>
          <w:fldChar w:fldCharType="end"/>
        </w:r>
      </w:hyperlink>
    </w:p>
    <w:p w14:paraId="1EB347C7"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63" w:history="1">
        <w:r w:rsidR="006F25E0" w:rsidRPr="006F25E0">
          <w:rPr>
            <w:rStyle w:val="Hipercze"/>
            <w:rFonts w:ascii="Arial" w:eastAsiaTheme="majorEastAsia" w:hAnsi="Arial" w:cs="Arial"/>
            <w:b/>
            <w:noProof/>
            <w:sz w:val="22"/>
            <w:szCs w:val="22"/>
          </w:rPr>
          <w:t>Tabela 33</w:t>
        </w:r>
        <w:r w:rsidR="006F25E0" w:rsidRPr="006F25E0">
          <w:rPr>
            <w:rStyle w:val="Hipercze"/>
            <w:rFonts w:ascii="Arial" w:eastAsiaTheme="majorEastAsia" w:hAnsi="Arial" w:cs="Arial"/>
            <w:noProof/>
            <w:sz w:val="22"/>
            <w:szCs w:val="22"/>
          </w:rPr>
          <w:t xml:space="preserve"> Szacowany </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_Toc146785763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280</w:t>
        </w:r>
        <w:r w:rsidR="006F25E0" w:rsidRPr="006F25E0">
          <w:rPr>
            <w:rFonts w:ascii="Arial" w:hAnsi="Arial" w:cs="Arial"/>
            <w:noProof/>
            <w:webHidden/>
            <w:sz w:val="22"/>
            <w:szCs w:val="22"/>
          </w:rPr>
          <w:fldChar w:fldCharType="end"/>
        </w:r>
      </w:hyperlink>
    </w:p>
    <w:p w14:paraId="5ED54EBE"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64" w:history="1">
        <w:r w:rsidR="006F25E0" w:rsidRPr="006F25E0">
          <w:rPr>
            <w:rStyle w:val="Hipercze"/>
            <w:rFonts w:ascii="Arial" w:eastAsiaTheme="majorEastAsia" w:hAnsi="Arial" w:cs="Arial"/>
            <w:b/>
            <w:noProof/>
            <w:sz w:val="22"/>
            <w:szCs w:val="22"/>
          </w:rPr>
          <w:t>Tabela 34</w:t>
        </w:r>
        <w:r w:rsidR="006F25E0" w:rsidRPr="006F25E0">
          <w:rPr>
            <w:rStyle w:val="Hipercze"/>
            <w:rFonts w:ascii="Arial" w:eastAsiaTheme="majorEastAsia" w:hAnsi="Arial" w:cs="Arial"/>
            <w:noProof/>
            <w:sz w:val="22"/>
            <w:szCs w:val="22"/>
          </w:rPr>
          <w:t xml:space="preserve"> Prognozowana dynamika wzrostu kosztu nakładów dotyczących pozostałej infrastruktury drogowej (szczebla krajowego i lokalnego) na obszarze województwa podkarpackiego w perspektywie do 2030 r. (w tys. PLN)</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_Toc146785764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281</w:t>
        </w:r>
        <w:r w:rsidR="006F25E0" w:rsidRPr="006F25E0">
          <w:rPr>
            <w:rFonts w:ascii="Arial" w:hAnsi="Arial" w:cs="Arial"/>
            <w:noProof/>
            <w:webHidden/>
            <w:sz w:val="22"/>
            <w:szCs w:val="22"/>
          </w:rPr>
          <w:fldChar w:fldCharType="end"/>
        </w:r>
      </w:hyperlink>
    </w:p>
    <w:p w14:paraId="383ACABB"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65" w:history="1">
        <w:r w:rsidR="006F25E0" w:rsidRPr="006F25E0">
          <w:rPr>
            <w:rStyle w:val="Hipercze"/>
            <w:rFonts w:ascii="Arial" w:eastAsiaTheme="majorEastAsia" w:hAnsi="Arial" w:cs="Arial"/>
            <w:b/>
            <w:noProof/>
            <w:sz w:val="22"/>
            <w:szCs w:val="22"/>
          </w:rPr>
          <w:t>Tabela 35</w:t>
        </w:r>
        <w:r w:rsidR="006F25E0" w:rsidRPr="006F25E0">
          <w:rPr>
            <w:rStyle w:val="Hipercze"/>
            <w:rFonts w:ascii="Arial" w:eastAsiaTheme="majorEastAsia" w:hAnsi="Arial" w:cs="Arial"/>
            <w:noProof/>
            <w:sz w:val="22"/>
            <w:szCs w:val="22"/>
          </w:rPr>
          <w:t xml:space="preserve"> Przybliżone łączne koszty utrzymania letniego i zimowego infrastruktury rowerowej znajdującej się na obszarze Rejonów Dróg Wojewódzkich  w perspektywie na lata 2020-2030*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_Toc146785765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282</w:t>
        </w:r>
        <w:r w:rsidR="006F25E0" w:rsidRPr="006F25E0">
          <w:rPr>
            <w:rFonts w:ascii="Arial" w:hAnsi="Arial" w:cs="Arial"/>
            <w:noProof/>
            <w:webHidden/>
            <w:sz w:val="22"/>
            <w:szCs w:val="22"/>
          </w:rPr>
          <w:fldChar w:fldCharType="end"/>
        </w:r>
      </w:hyperlink>
    </w:p>
    <w:p w14:paraId="42803D8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66" w:history="1">
        <w:r w:rsidR="006F25E0" w:rsidRPr="006F25E0">
          <w:rPr>
            <w:rStyle w:val="Hipercze"/>
            <w:rFonts w:ascii="Arial" w:eastAsiaTheme="majorEastAsia" w:hAnsi="Arial" w:cs="Arial"/>
            <w:b/>
            <w:noProof/>
            <w:sz w:val="22"/>
            <w:szCs w:val="22"/>
          </w:rPr>
          <w:t>Tabela 36</w:t>
        </w:r>
        <w:r w:rsidR="006F25E0" w:rsidRPr="006F25E0">
          <w:rPr>
            <w:rStyle w:val="Hipercze"/>
            <w:rFonts w:ascii="Arial" w:eastAsiaTheme="majorEastAsia" w:hAnsi="Arial" w:cs="Arial"/>
            <w:noProof/>
            <w:sz w:val="22"/>
            <w:szCs w:val="22"/>
          </w:rPr>
          <w:t xml:space="preserve"> Prognozowana dynamika wzrostu nakładów na utrzymanie i eksploatację infrastruktury kolejowej (linii kolejowych) w perspektywie do 2030 r.</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_Toc146785766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283</w:t>
        </w:r>
        <w:r w:rsidR="006F25E0" w:rsidRPr="006F25E0">
          <w:rPr>
            <w:rFonts w:ascii="Arial" w:hAnsi="Arial" w:cs="Arial"/>
            <w:noProof/>
            <w:webHidden/>
            <w:sz w:val="22"/>
            <w:szCs w:val="22"/>
          </w:rPr>
          <w:fldChar w:fldCharType="end"/>
        </w:r>
      </w:hyperlink>
    </w:p>
    <w:p w14:paraId="4CC441F9"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67" w:history="1">
        <w:r w:rsidR="006F25E0" w:rsidRPr="006F25E0">
          <w:rPr>
            <w:rStyle w:val="Hipercze"/>
            <w:rFonts w:ascii="Arial" w:eastAsiaTheme="majorEastAsia" w:hAnsi="Arial" w:cs="Arial"/>
            <w:b/>
            <w:noProof/>
            <w:sz w:val="22"/>
            <w:szCs w:val="22"/>
          </w:rPr>
          <w:t>Tabela 37</w:t>
        </w:r>
        <w:r w:rsidR="006F25E0" w:rsidRPr="006F25E0">
          <w:rPr>
            <w:rStyle w:val="Hipercze"/>
            <w:rFonts w:ascii="Arial" w:eastAsiaTheme="majorEastAsia" w:hAnsi="Arial" w:cs="Arial"/>
            <w:noProof/>
            <w:sz w:val="22"/>
            <w:szCs w:val="22"/>
          </w:rPr>
          <w:t xml:space="preserve"> Wskaźniki monitorowania realizacji Celów podstawowych i horyzontalnych PSRT WP</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_Toc146785767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284</w:t>
        </w:r>
        <w:r w:rsidR="006F25E0" w:rsidRPr="006F25E0">
          <w:rPr>
            <w:rFonts w:ascii="Arial" w:hAnsi="Arial" w:cs="Arial"/>
            <w:noProof/>
            <w:webHidden/>
            <w:sz w:val="22"/>
            <w:szCs w:val="22"/>
          </w:rPr>
          <w:fldChar w:fldCharType="end"/>
        </w:r>
      </w:hyperlink>
    </w:p>
    <w:p w14:paraId="2023CB92"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68" w:history="1">
        <w:r w:rsidR="006F25E0" w:rsidRPr="006F25E0">
          <w:rPr>
            <w:rStyle w:val="Hipercze"/>
            <w:rFonts w:ascii="Arial" w:eastAsiaTheme="majorEastAsia" w:hAnsi="Arial" w:cs="Arial"/>
            <w:b/>
            <w:noProof/>
            <w:sz w:val="22"/>
            <w:szCs w:val="22"/>
          </w:rPr>
          <w:t>Tabela 38</w:t>
        </w:r>
        <w:r w:rsidR="006F25E0" w:rsidRPr="006F25E0">
          <w:rPr>
            <w:rStyle w:val="Hipercze"/>
            <w:rFonts w:ascii="Arial" w:eastAsiaTheme="majorEastAsia" w:hAnsi="Arial" w:cs="Arial"/>
            <w:noProof/>
            <w:sz w:val="22"/>
            <w:szCs w:val="22"/>
          </w:rPr>
          <w:t xml:space="preserve"> Tabela monitoringowa realizacji Programu Strategicznego Rozwoju Transportu Województwa Podkarpackiego do roku 2030*</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_Toc146785768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286</w:t>
        </w:r>
        <w:r w:rsidR="006F25E0" w:rsidRPr="006F25E0">
          <w:rPr>
            <w:rFonts w:ascii="Arial" w:hAnsi="Arial" w:cs="Arial"/>
            <w:noProof/>
            <w:webHidden/>
            <w:sz w:val="22"/>
            <w:szCs w:val="22"/>
          </w:rPr>
          <w:fldChar w:fldCharType="end"/>
        </w:r>
      </w:hyperlink>
    </w:p>
    <w:p w14:paraId="184558EA"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69" w:history="1">
        <w:r w:rsidR="006F25E0" w:rsidRPr="006F25E0">
          <w:rPr>
            <w:rStyle w:val="Hipercze"/>
            <w:rFonts w:ascii="Arial" w:eastAsiaTheme="majorEastAsia" w:hAnsi="Arial" w:cs="Arial"/>
            <w:b/>
            <w:noProof/>
            <w:sz w:val="22"/>
            <w:szCs w:val="22"/>
          </w:rPr>
          <w:t>Tabela 39</w:t>
        </w:r>
        <w:r w:rsidR="006F25E0" w:rsidRPr="006F25E0">
          <w:rPr>
            <w:rStyle w:val="Hipercze"/>
            <w:rFonts w:ascii="Arial" w:eastAsiaTheme="majorEastAsia" w:hAnsi="Arial" w:cs="Arial"/>
            <w:noProof/>
            <w:sz w:val="22"/>
            <w:szCs w:val="22"/>
          </w:rPr>
          <w:t xml:space="preserve"> Wskaźniki produktu i rezultatu służące monitorowaniu realizacji celów podstawowych PSRT WP.</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_Toc146785769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288</w:t>
        </w:r>
        <w:r w:rsidR="006F25E0" w:rsidRPr="006F25E0">
          <w:rPr>
            <w:rFonts w:ascii="Arial" w:hAnsi="Arial" w:cs="Arial"/>
            <w:noProof/>
            <w:webHidden/>
            <w:sz w:val="22"/>
            <w:szCs w:val="22"/>
          </w:rPr>
          <w:fldChar w:fldCharType="end"/>
        </w:r>
      </w:hyperlink>
    </w:p>
    <w:p w14:paraId="3770B750"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70" w:history="1">
        <w:r w:rsidR="006F25E0" w:rsidRPr="006F25E0">
          <w:rPr>
            <w:rStyle w:val="Hipercze"/>
            <w:rFonts w:ascii="Arial" w:eastAsiaTheme="majorEastAsia" w:hAnsi="Arial" w:cs="Arial"/>
            <w:b/>
            <w:noProof/>
            <w:sz w:val="22"/>
            <w:szCs w:val="22"/>
          </w:rPr>
          <w:t>Tabela 40</w:t>
        </w:r>
        <w:r w:rsidR="006F25E0" w:rsidRPr="006F25E0">
          <w:rPr>
            <w:rStyle w:val="Hipercze"/>
            <w:rFonts w:ascii="Arial" w:eastAsiaTheme="majorEastAsia" w:hAnsi="Arial" w:cs="Arial"/>
            <w:noProof/>
            <w:sz w:val="22"/>
            <w:szCs w:val="22"/>
          </w:rPr>
          <w:t xml:space="preserve"> Wskaźniki produktu i rezultatu służące monitorowaniu osiągania celów horyzontalnych PSRT WP.</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_Toc146785770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289</w:t>
        </w:r>
        <w:r w:rsidR="006F25E0" w:rsidRPr="006F25E0">
          <w:rPr>
            <w:rFonts w:ascii="Arial" w:hAnsi="Arial" w:cs="Arial"/>
            <w:noProof/>
            <w:webHidden/>
            <w:sz w:val="22"/>
            <w:szCs w:val="22"/>
          </w:rPr>
          <w:fldChar w:fldCharType="end"/>
        </w:r>
      </w:hyperlink>
    </w:p>
    <w:p w14:paraId="7A355BA4"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71" w:history="1">
        <w:r w:rsidR="006F25E0" w:rsidRPr="006F25E0">
          <w:rPr>
            <w:rStyle w:val="Hipercze"/>
            <w:rFonts w:ascii="Arial" w:eastAsiaTheme="majorEastAsia" w:hAnsi="Arial" w:cs="Arial"/>
            <w:b/>
            <w:noProof/>
            <w:sz w:val="22"/>
            <w:szCs w:val="22"/>
          </w:rPr>
          <w:t>Tabela 41</w:t>
        </w:r>
        <w:r w:rsidR="006F25E0" w:rsidRPr="006F25E0">
          <w:rPr>
            <w:rStyle w:val="Hipercze"/>
            <w:rFonts w:ascii="Arial" w:eastAsiaTheme="majorEastAsia" w:hAnsi="Arial" w:cs="Arial"/>
            <w:noProof/>
            <w:sz w:val="22"/>
            <w:szCs w:val="22"/>
          </w:rPr>
          <w:t xml:space="preserve"> Skala prawdopodobieństwa wystąpienia ryzyka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_Toc146785771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301</w:t>
        </w:r>
        <w:r w:rsidR="006F25E0" w:rsidRPr="006F25E0">
          <w:rPr>
            <w:rFonts w:ascii="Arial" w:hAnsi="Arial" w:cs="Arial"/>
            <w:noProof/>
            <w:webHidden/>
            <w:sz w:val="22"/>
            <w:szCs w:val="22"/>
          </w:rPr>
          <w:fldChar w:fldCharType="end"/>
        </w:r>
      </w:hyperlink>
    </w:p>
    <w:p w14:paraId="6C098BC6"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72" w:history="1">
        <w:r w:rsidR="006F25E0" w:rsidRPr="006F25E0">
          <w:rPr>
            <w:rStyle w:val="Hipercze"/>
            <w:rFonts w:ascii="Arial" w:eastAsiaTheme="majorEastAsia" w:hAnsi="Arial" w:cs="Arial"/>
            <w:b/>
            <w:noProof/>
            <w:sz w:val="22"/>
            <w:szCs w:val="22"/>
          </w:rPr>
          <w:t>Tabela 42</w:t>
        </w:r>
        <w:r w:rsidR="006F25E0" w:rsidRPr="006F25E0">
          <w:rPr>
            <w:rStyle w:val="Hipercze"/>
            <w:rFonts w:ascii="Arial" w:eastAsiaTheme="majorEastAsia" w:hAnsi="Arial" w:cs="Arial"/>
            <w:noProof/>
            <w:sz w:val="22"/>
            <w:szCs w:val="22"/>
          </w:rPr>
          <w:t xml:space="preserve"> Siła oddziaływania ryzyka (skala dotkliwości)</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_Toc146785772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301</w:t>
        </w:r>
        <w:r w:rsidR="006F25E0" w:rsidRPr="006F25E0">
          <w:rPr>
            <w:rFonts w:ascii="Arial" w:hAnsi="Arial" w:cs="Arial"/>
            <w:noProof/>
            <w:webHidden/>
            <w:sz w:val="22"/>
            <w:szCs w:val="22"/>
          </w:rPr>
          <w:fldChar w:fldCharType="end"/>
        </w:r>
      </w:hyperlink>
    </w:p>
    <w:p w14:paraId="45442C08"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73" w:history="1">
        <w:r w:rsidR="006F25E0" w:rsidRPr="006F25E0">
          <w:rPr>
            <w:rStyle w:val="Hipercze"/>
            <w:rFonts w:ascii="Arial" w:eastAsiaTheme="majorEastAsia" w:hAnsi="Arial" w:cs="Arial"/>
            <w:b/>
            <w:noProof/>
            <w:sz w:val="22"/>
            <w:szCs w:val="22"/>
          </w:rPr>
          <w:t>Tabela 43</w:t>
        </w:r>
        <w:r w:rsidR="006F25E0" w:rsidRPr="006F25E0">
          <w:rPr>
            <w:rStyle w:val="Hipercze"/>
            <w:rFonts w:ascii="Arial" w:eastAsiaTheme="majorEastAsia" w:hAnsi="Arial" w:cs="Arial"/>
            <w:noProof/>
            <w:sz w:val="22"/>
            <w:szCs w:val="22"/>
          </w:rPr>
          <w:t xml:space="preserve"> Matryca ryzyka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_Toc146785773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301</w:t>
        </w:r>
        <w:r w:rsidR="006F25E0" w:rsidRPr="006F25E0">
          <w:rPr>
            <w:rFonts w:ascii="Arial" w:hAnsi="Arial" w:cs="Arial"/>
            <w:noProof/>
            <w:webHidden/>
            <w:sz w:val="22"/>
            <w:szCs w:val="22"/>
          </w:rPr>
          <w:fldChar w:fldCharType="end"/>
        </w:r>
      </w:hyperlink>
    </w:p>
    <w:p w14:paraId="635A078B"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74" w:history="1">
        <w:r w:rsidR="006F25E0" w:rsidRPr="006F25E0">
          <w:rPr>
            <w:rStyle w:val="Hipercze"/>
            <w:rFonts w:ascii="Arial" w:eastAsiaTheme="majorEastAsia" w:hAnsi="Arial" w:cs="Arial"/>
            <w:b/>
            <w:noProof/>
            <w:sz w:val="22"/>
            <w:szCs w:val="22"/>
          </w:rPr>
          <w:t>Tabela 44</w:t>
        </w:r>
        <w:r w:rsidR="006F25E0" w:rsidRPr="006F25E0">
          <w:rPr>
            <w:rStyle w:val="Hipercze"/>
            <w:rFonts w:ascii="Arial" w:eastAsiaTheme="majorEastAsia" w:hAnsi="Arial" w:cs="Arial"/>
            <w:noProof/>
            <w:sz w:val="22"/>
            <w:szCs w:val="22"/>
          </w:rPr>
          <w:t xml:space="preserve"> Ocena ryzyka</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_Toc146785774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302</w:t>
        </w:r>
        <w:r w:rsidR="006F25E0" w:rsidRPr="006F25E0">
          <w:rPr>
            <w:rFonts w:ascii="Arial" w:hAnsi="Arial" w:cs="Arial"/>
            <w:noProof/>
            <w:webHidden/>
            <w:sz w:val="22"/>
            <w:szCs w:val="22"/>
          </w:rPr>
          <w:fldChar w:fldCharType="end"/>
        </w:r>
      </w:hyperlink>
    </w:p>
    <w:p w14:paraId="0FE05B22" w14:textId="77777777" w:rsidR="006F25E0" w:rsidRPr="006F25E0" w:rsidRDefault="000C6002" w:rsidP="006F25E0">
      <w:pPr>
        <w:pStyle w:val="Spisilustracji"/>
        <w:tabs>
          <w:tab w:val="right" w:leader="dot" w:pos="9062"/>
        </w:tabs>
        <w:spacing w:before="40" w:after="40" w:line="276" w:lineRule="auto"/>
        <w:rPr>
          <w:rFonts w:ascii="Arial" w:eastAsiaTheme="minorEastAsia" w:hAnsi="Arial" w:cs="Arial"/>
          <w:noProof/>
          <w:sz w:val="22"/>
          <w:szCs w:val="22"/>
        </w:rPr>
      </w:pPr>
      <w:hyperlink w:anchor="_Toc146785775" w:history="1">
        <w:r w:rsidR="006F25E0" w:rsidRPr="006F25E0">
          <w:rPr>
            <w:rStyle w:val="Hipercze"/>
            <w:rFonts w:ascii="Arial" w:eastAsiaTheme="majorEastAsia" w:hAnsi="Arial" w:cs="Arial"/>
            <w:b/>
            <w:noProof/>
            <w:sz w:val="22"/>
            <w:szCs w:val="22"/>
          </w:rPr>
          <w:t>Tabela 45</w:t>
        </w:r>
        <w:r w:rsidR="006F25E0" w:rsidRPr="006F25E0">
          <w:rPr>
            <w:rStyle w:val="Hipercze"/>
            <w:rFonts w:ascii="Arial" w:eastAsiaTheme="majorEastAsia" w:hAnsi="Arial" w:cs="Arial"/>
            <w:noProof/>
            <w:sz w:val="22"/>
            <w:szCs w:val="22"/>
          </w:rPr>
          <w:t xml:space="preserve"> Cele Polityki oraz Cele szczegółowe wraz z ich oznaczeniami numerycznymi, odnoszące się do sfery transportu i determinujące wydatkowanie środków dostępnych  z funduszy europejskich (krajowych oraz regionalnego) w perspektywie finansowej 2021-27 na zadania z tej dziedziny.</w:t>
        </w:r>
        <w:r w:rsidR="006F25E0" w:rsidRPr="006F25E0">
          <w:rPr>
            <w:rFonts w:ascii="Arial" w:hAnsi="Arial" w:cs="Arial"/>
            <w:noProof/>
            <w:webHidden/>
            <w:sz w:val="22"/>
            <w:szCs w:val="22"/>
          </w:rPr>
          <w:tab/>
        </w:r>
        <w:r w:rsidR="006F25E0" w:rsidRPr="006F25E0">
          <w:rPr>
            <w:rFonts w:ascii="Arial" w:hAnsi="Arial" w:cs="Arial"/>
            <w:noProof/>
            <w:webHidden/>
            <w:sz w:val="22"/>
            <w:szCs w:val="22"/>
          </w:rPr>
          <w:fldChar w:fldCharType="begin"/>
        </w:r>
        <w:r w:rsidR="006F25E0" w:rsidRPr="006F25E0">
          <w:rPr>
            <w:rFonts w:ascii="Arial" w:hAnsi="Arial" w:cs="Arial"/>
            <w:noProof/>
            <w:webHidden/>
            <w:sz w:val="22"/>
            <w:szCs w:val="22"/>
          </w:rPr>
          <w:instrText xml:space="preserve"> PAGEREF _Toc146785775 \h </w:instrText>
        </w:r>
        <w:r w:rsidR="006F25E0" w:rsidRPr="006F25E0">
          <w:rPr>
            <w:rFonts w:ascii="Arial" w:hAnsi="Arial" w:cs="Arial"/>
            <w:noProof/>
            <w:webHidden/>
            <w:sz w:val="22"/>
            <w:szCs w:val="22"/>
          </w:rPr>
        </w:r>
        <w:r w:rsidR="006F25E0" w:rsidRPr="006F25E0">
          <w:rPr>
            <w:rFonts w:ascii="Arial" w:hAnsi="Arial" w:cs="Arial"/>
            <w:noProof/>
            <w:webHidden/>
            <w:sz w:val="22"/>
            <w:szCs w:val="22"/>
          </w:rPr>
          <w:fldChar w:fldCharType="separate"/>
        </w:r>
        <w:r w:rsidR="00A339F0">
          <w:rPr>
            <w:rFonts w:ascii="Arial" w:hAnsi="Arial" w:cs="Arial"/>
            <w:noProof/>
            <w:webHidden/>
            <w:sz w:val="22"/>
            <w:szCs w:val="22"/>
          </w:rPr>
          <w:t>329</w:t>
        </w:r>
        <w:r w:rsidR="006F25E0" w:rsidRPr="006F25E0">
          <w:rPr>
            <w:rFonts w:ascii="Arial" w:hAnsi="Arial" w:cs="Arial"/>
            <w:noProof/>
            <w:webHidden/>
            <w:sz w:val="22"/>
            <w:szCs w:val="22"/>
          </w:rPr>
          <w:fldChar w:fldCharType="end"/>
        </w:r>
      </w:hyperlink>
    </w:p>
    <w:p w14:paraId="5E416B54" w14:textId="4B5D9910" w:rsidR="00160EC0" w:rsidRPr="009B78DA" w:rsidRDefault="00D12CEB" w:rsidP="00D12CEB">
      <w:pPr>
        <w:spacing w:after="120" w:line="252" w:lineRule="auto"/>
        <w:jc w:val="both"/>
        <w:rPr>
          <w:rFonts w:ascii="Arial" w:hAnsi="Arial" w:cs="Arial"/>
          <w:color w:val="000000" w:themeColor="text1"/>
          <w:sz w:val="22"/>
          <w:szCs w:val="22"/>
        </w:rPr>
        <w:sectPr w:rsidR="00160EC0" w:rsidRPr="009B78DA" w:rsidSect="00253184">
          <w:pgSz w:w="11906" w:h="16838"/>
          <w:pgMar w:top="1417" w:right="1417" w:bottom="1417" w:left="1417" w:header="708" w:footer="708" w:gutter="0"/>
          <w:cols w:space="708"/>
          <w:docGrid w:linePitch="360"/>
        </w:sectPr>
      </w:pPr>
      <w:r w:rsidRPr="009B78DA">
        <w:rPr>
          <w:rFonts w:ascii="Arial" w:hAnsi="Arial" w:cs="Arial"/>
          <w:color w:val="000000" w:themeColor="text1"/>
          <w:sz w:val="22"/>
          <w:szCs w:val="22"/>
        </w:rPr>
        <w:fldChar w:fldCharType="end"/>
      </w:r>
    </w:p>
    <w:p w14:paraId="0EBF562D" w14:textId="7347A131" w:rsidR="00160EC0" w:rsidRPr="009B78DA" w:rsidRDefault="00160EC0" w:rsidP="00A447EE">
      <w:pPr>
        <w:pStyle w:val="Nagwek1"/>
        <w:rPr>
          <w:rFonts w:cs="Arial"/>
          <w:b/>
          <w:bCs/>
          <w:color w:val="000000" w:themeColor="text1"/>
          <w:sz w:val="26"/>
        </w:rPr>
      </w:pPr>
      <w:bookmarkStart w:id="445" w:name="_Toc100335091"/>
      <w:bookmarkStart w:id="446" w:name="_Toc146785817"/>
      <w:r w:rsidRPr="009B78DA">
        <w:rPr>
          <w:rFonts w:cs="Arial"/>
          <w:b/>
          <w:bCs/>
          <w:color w:val="000000" w:themeColor="text1"/>
          <w:sz w:val="26"/>
        </w:rPr>
        <w:t>Słowniczek</w:t>
      </w:r>
      <w:bookmarkEnd w:id="445"/>
      <w:bookmarkEnd w:id="446"/>
    </w:p>
    <w:tbl>
      <w:tblPr>
        <w:tblStyle w:val="Tabela-Siatka"/>
        <w:tblW w:w="0" w:type="auto"/>
        <w:tblLook w:val="04A0" w:firstRow="1" w:lastRow="0" w:firstColumn="1" w:lastColumn="0" w:noHBand="0" w:noVBand="1"/>
        <w:tblCaption w:val="Słowniczek"/>
        <w:tblDescription w:val="Tabela zawiera Pojęciei Wyjaśnienie"/>
      </w:tblPr>
      <w:tblGrid>
        <w:gridCol w:w="3508"/>
        <w:gridCol w:w="11880"/>
      </w:tblGrid>
      <w:tr w:rsidR="006F4FD2" w:rsidRPr="005E7040" w14:paraId="6E0A62D4" w14:textId="77777777" w:rsidTr="005E7040">
        <w:trPr>
          <w:tblHeader/>
        </w:trPr>
        <w:tc>
          <w:tcPr>
            <w:tcW w:w="0" w:type="auto"/>
            <w:shd w:val="clear" w:color="auto" w:fill="DEEAF6" w:themeFill="accent1" w:themeFillTint="33"/>
            <w:vAlign w:val="center"/>
          </w:tcPr>
          <w:p w14:paraId="5D59BBF6" w14:textId="77777777" w:rsidR="00160EC0" w:rsidRPr="005E7040" w:rsidRDefault="00D47ABE" w:rsidP="005E7040">
            <w:pPr>
              <w:spacing w:before="120" w:after="120" w:line="276" w:lineRule="auto"/>
              <w:rPr>
                <w:rFonts w:ascii="Arial" w:hAnsi="Arial" w:cs="Arial"/>
                <w:b/>
                <w:color w:val="000000" w:themeColor="text1"/>
                <w:sz w:val="22"/>
                <w:szCs w:val="22"/>
              </w:rPr>
            </w:pPr>
            <w:r w:rsidRPr="005E7040">
              <w:rPr>
                <w:rFonts w:ascii="Arial" w:hAnsi="Arial" w:cs="Arial"/>
                <w:b/>
                <w:color w:val="000000" w:themeColor="text1"/>
                <w:sz w:val="22"/>
                <w:szCs w:val="22"/>
              </w:rPr>
              <w:t>Pojęcie</w:t>
            </w:r>
          </w:p>
        </w:tc>
        <w:tc>
          <w:tcPr>
            <w:tcW w:w="0" w:type="auto"/>
            <w:shd w:val="clear" w:color="auto" w:fill="DEEAF6" w:themeFill="accent1" w:themeFillTint="33"/>
            <w:vAlign w:val="center"/>
          </w:tcPr>
          <w:p w14:paraId="568CAE5F" w14:textId="77777777" w:rsidR="00160EC0" w:rsidRPr="005E7040" w:rsidRDefault="00160EC0" w:rsidP="005E7040">
            <w:pPr>
              <w:spacing w:before="120" w:after="120" w:line="276" w:lineRule="auto"/>
              <w:rPr>
                <w:rFonts w:ascii="Arial" w:hAnsi="Arial" w:cs="Arial"/>
                <w:b/>
                <w:color w:val="000000" w:themeColor="text1"/>
                <w:sz w:val="22"/>
                <w:szCs w:val="22"/>
              </w:rPr>
            </w:pPr>
            <w:r w:rsidRPr="005E7040">
              <w:rPr>
                <w:rFonts w:ascii="Arial" w:hAnsi="Arial" w:cs="Arial"/>
                <w:b/>
                <w:color w:val="000000" w:themeColor="text1"/>
                <w:sz w:val="22"/>
                <w:szCs w:val="22"/>
              </w:rPr>
              <w:t>Wyjaśnienie</w:t>
            </w:r>
          </w:p>
        </w:tc>
      </w:tr>
      <w:tr w:rsidR="006F4FD2" w:rsidRPr="005E7040" w14:paraId="474184D5" w14:textId="77777777" w:rsidTr="005E7040">
        <w:tc>
          <w:tcPr>
            <w:tcW w:w="0" w:type="auto"/>
            <w:vAlign w:val="center"/>
          </w:tcPr>
          <w:p w14:paraId="1F7E4392" w14:textId="77777777" w:rsidR="00160EC0" w:rsidRPr="005E7040" w:rsidRDefault="00160EC0"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Autostrada</w:t>
            </w:r>
          </w:p>
        </w:tc>
        <w:tc>
          <w:tcPr>
            <w:tcW w:w="0" w:type="auto"/>
            <w:vAlign w:val="center"/>
          </w:tcPr>
          <w:p w14:paraId="49F308E3" w14:textId="77777777" w:rsidR="003B1215" w:rsidRPr="005E7040" w:rsidRDefault="00160EC0"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Według definicji zawartej w Ustawie o drogach publicznych jest to droga przeznaczona wyłącznie do ruchu pojazdów samochodo</w:t>
            </w:r>
            <w:r w:rsidR="003B1215" w:rsidRPr="005E7040">
              <w:rPr>
                <w:rFonts w:ascii="Arial" w:hAnsi="Arial" w:cs="Arial"/>
                <w:color w:val="000000" w:themeColor="text1"/>
                <w:sz w:val="22"/>
                <w:szCs w:val="22"/>
              </w:rPr>
              <w:t>wych, mająca następujące cechy:</w:t>
            </w:r>
          </w:p>
          <w:p w14:paraId="0BA8C5EF" w14:textId="77777777" w:rsidR="003B1215" w:rsidRPr="005E7040" w:rsidRDefault="00160EC0" w:rsidP="005E7040">
            <w:pPr>
              <w:pStyle w:val="Akapitzlist"/>
              <w:numPr>
                <w:ilvl w:val="0"/>
                <w:numId w:val="206"/>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wyposażona przynajmniej w dwie trwale rozdz</w:t>
            </w:r>
            <w:r w:rsidR="003B1215" w:rsidRPr="005E7040">
              <w:rPr>
                <w:rFonts w:ascii="Arial" w:hAnsi="Arial" w:cs="Arial"/>
                <w:color w:val="000000" w:themeColor="text1"/>
                <w:sz w:val="22"/>
                <w:szCs w:val="22"/>
              </w:rPr>
              <w:t>ielone jednokierunkowe jezdnie,</w:t>
            </w:r>
          </w:p>
          <w:p w14:paraId="64BE10A7" w14:textId="04936024" w:rsidR="003B1215" w:rsidRPr="005E7040" w:rsidRDefault="00160EC0" w:rsidP="005E7040">
            <w:pPr>
              <w:pStyle w:val="Akapitzlist"/>
              <w:numPr>
                <w:ilvl w:val="0"/>
                <w:numId w:val="206"/>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posiadająca wielopoziomowe skrzyżowania ze wszystkimi przecinającymi ją drogami transportu l</w:t>
            </w:r>
            <w:r w:rsidR="003B1215" w:rsidRPr="005E7040">
              <w:rPr>
                <w:rFonts w:ascii="Arial" w:hAnsi="Arial" w:cs="Arial"/>
                <w:color w:val="000000" w:themeColor="text1"/>
                <w:sz w:val="22"/>
                <w:szCs w:val="22"/>
              </w:rPr>
              <w:t xml:space="preserve">ądowego </w:t>
            </w:r>
            <w:r w:rsidR="005E7040">
              <w:rPr>
                <w:rFonts w:ascii="Arial" w:hAnsi="Arial" w:cs="Arial"/>
                <w:color w:val="000000" w:themeColor="text1"/>
                <w:sz w:val="22"/>
                <w:szCs w:val="22"/>
              </w:rPr>
              <w:br/>
            </w:r>
            <w:r w:rsidR="003B1215" w:rsidRPr="005E7040">
              <w:rPr>
                <w:rFonts w:ascii="Arial" w:hAnsi="Arial" w:cs="Arial"/>
                <w:color w:val="000000" w:themeColor="text1"/>
                <w:sz w:val="22"/>
                <w:szCs w:val="22"/>
              </w:rPr>
              <w:t>i wodnego,</w:t>
            </w:r>
          </w:p>
          <w:p w14:paraId="6A91C4A9" w14:textId="77777777" w:rsidR="003B1215" w:rsidRPr="005E7040" w:rsidRDefault="00160EC0" w:rsidP="005E7040">
            <w:pPr>
              <w:pStyle w:val="Akapitzlist"/>
              <w:numPr>
                <w:ilvl w:val="0"/>
                <w:numId w:val="206"/>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wyposażona w urządzenia obsługi podróżnych, pojazdów i przesyłek, przeznaczone wyłączni</w:t>
            </w:r>
            <w:r w:rsidR="003B1215" w:rsidRPr="005E7040">
              <w:rPr>
                <w:rFonts w:ascii="Arial" w:hAnsi="Arial" w:cs="Arial"/>
                <w:color w:val="000000" w:themeColor="text1"/>
                <w:sz w:val="22"/>
                <w:szCs w:val="22"/>
              </w:rPr>
              <w:t>e dla użytkowników autostrady.</w:t>
            </w:r>
          </w:p>
          <w:p w14:paraId="75327A1B" w14:textId="43215CFA" w:rsidR="003B1215" w:rsidRPr="005E7040" w:rsidRDefault="00160EC0"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Zgodnie z Ustawą Prawo o ruchu drogowym, jest to droga dwujezdniowa, oznaczona odpowiednimi znakami drogowymi (symbol A), na której nie dopuszcza się ruchu poprzecznego, przeznaczona tylko do ruchu pojazdów samochodowych, które na równej, poziomej jezdni mogą rozwinąć prędkość co najmniej 40 km/h, w tym równie</w:t>
            </w:r>
            <w:r w:rsidR="003B1215" w:rsidRPr="005E7040">
              <w:rPr>
                <w:rFonts w:ascii="Arial" w:hAnsi="Arial" w:cs="Arial"/>
                <w:color w:val="000000" w:themeColor="text1"/>
                <w:sz w:val="22"/>
                <w:szCs w:val="22"/>
              </w:rPr>
              <w:t xml:space="preserve">ż </w:t>
            </w:r>
            <w:r w:rsidR="005E7040">
              <w:rPr>
                <w:rFonts w:ascii="Arial" w:hAnsi="Arial" w:cs="Arial"/>
                <w:color w:val="000000" w:themeColor="text1"/>
                <w:sz w:val="22"/>
                <w:szCs w:val="22"/>
              </w:rPr>
              <w:br/>
            </w:r>
            <w:r w:rsidR="003B1215" w:rsidRPr="005E7040">
              <w:rPr>
                <w:rFonts w:ascii="Arial" w:hAnsi="Arial" w:cs="Arial"/>
                <w:color w:val="000000" w:themeColor="text1"/>
                <w:sz w:val="22"/>
                <w:szCs w:val="22"/>
              </w:rPr>
              <w:t>w razie ciągnięcia przyczep.</w:t>
            </w:r>
          </w:p>
          <w:p w14:paraId="2C836189" w14:textId="1EFAF25C" w:rsidR="00160EC0" w:rsidRPr="005E7040" w:rsidRDefault="00160EC0"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Autostrada jest drogą ogrodzoną, zamkniętą dla ruchu pojazdów transportu miejskiego, pasy jezdne mają co najmniej 3,75 m szerokości, węzły są rozmieszczone w odległościach nie mniejszych niż 5 km, pochylenia nawierzchni nie przekraczają 4%. [</w:t>
            </w:r>
            <w:r w:rsidRPr="005E7040">
              <w:rPr>
                <w:rFonts w:ascii="Arial" w:hAnsi="Arial" w:cs="Arial"/>
                <w:b/>
                <w:color w:val="000000" w:themeColor="text1"/>
                <w:sz w:val="22"/>
                <w:szCs w:val="22"/>
              </w:rPr>
              <w:t>patrz też: droga ekspresowa</w:t>
            </w:r>
            <w:r w:rsidRPr="005E7040">
              <w:rPr>
                <w:rFonts w:ascii="Arial" w:hAnsi="Arial" w:cs="Arial"/>
                <w:color w:val="000000" w:themeColor="text1"/>
                <w:sz w:val="22"/>
                <w:szCs w:val="22"/>
              </w:rPr>
              <w:t>]</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 xml:space="preserve">Słownik pojęć Strategii rozwoju transportu do roku 2020 </w:t>
            </w:r>
            <w:r w:rsidR="005E7040">
              <w:rPr>
                <w:rFonts w:ascii="Arial" w:hAnsi="Arial" w:cs="Arial"/>
                <w:i/>
                <w:iCs/>
                <w:color w:val="000000" w:themeColor="text1"/>
                <w:sz w:val="22"/>
                <w:szCs w:val="22"/>
              </w:rPr>
              <w:br/>
            </w:r>
            <w:r w:rsidR="001D5852" w:rsidRPr="005E7040">
              <w:rPr>
                <w:rFonts w:ascii="Arial" w:hAnsi="Arial" w:cs="Arial"/>
                <w:i/>
                <w:iCs/>
                <w:color w:val="000000" w:themeColor="text1"/>
                <w:sz w:val="22"/>
                <w:szCs w:val="22"/>
              </w:rPr>
              <w:t>(z perspektywą do 2030 roku)</w:t>
            </w:r>
            <w:r w:rsidR="001D5852" w:rsidRPr="005E7040">
              <w:rPr>
                <w:rFonts w:ascii="Arial" w:hAnsi="Arial" w:cs="Arial"/>
                <w:color w:val="000000" w:themeColor="text1"/>
                <w:sz w:val="22"/>
                <w:szCs w:val="22"/>
              </w:rPr>
              <w:t>.</w:t>
            </w:r>
          </w:p>
        </w:tc>
      </w:tr>
      <w:tr w:rsidR="006F4FD2" w:rsidRPr="005E7040" w14:paraId="1A676EE6" w14:textId="77777777" w:rsidTr="005E7040">
        <w:tc>
          <w:tcPr>
            <w:tcW w:w="0" w:type="auto"/>
            <w:vAlign w:val="center"/>
          </w:tcPr>
          <w:p w14:paraId="3791C4D5" w14:textId="77777777" w:rsidR="00160EC0" w:rsidRPr="005E7040" w:rsidRDefault="003B1215"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Bezpieczna infrastruktura drogowa</w:t>
            </w:r>
          </w:p>
        </w:tc>
        <w:tc>
          <w:tcPr>
            <w:tcW w:w="0" w:type="auto"/>
            <w:vAlign w:val="center"/>
          </w:tcPr>
          <w:p w14:paraId="6E38F6F8" w14:textId="713D250F" w:rsidR="00160EC0" w:rsidRPr="005E7040" w:rsidRDefault="003B1215"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Jest to infrastruktura zapewniająca możliwości realnego zmniejszenia ryzyka wypadków drogowych niezależnych od zachowania prowadzących pojazdy samochodowe. Zapewnia takie możliwości jeśli ma odpowiednią geometrię łuków dróg, pozbawiona jest przeszkód na ich krawędzi i elementów zasłaniających widoczność na skrzyżowaniach, jest wyposażona w zatoki postojowe i bezpieczne pasy włączania się do ruchu, jest właściwie oznakowana i sygnalizowana</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60770A45" w14:textId="77777777" w:rsidTr="005E7040">
        <w:tc>
          <w:tcPr>
            <w:tcW w:w="0" w:type="auto"/>
            <w:vAlign w:val="center"/>
          </w:tcPr>
          <w:p w14:paraId="57DDEF3D" w14:textId="412B0164" w:rsidR="00B74C98" w:rsidRPr="005E7040" w:rsidRDefault="00927329" w:rsidP="005E7040">
            <w:pPr>
              <w:spacing w:line="276" w:lineRule="auto"/>
              <w:rPr>
                <w:rFonts w:ascii="Arial" w:hAnsi="Arial" w:cs="Arial"/>
                <w:b/>
                <w:bCs/>
                <w:color w:val="000000" w:themeColor="text1"/>
                <w:sz w:val="22"/>
                <w:szCs w:val="22"/>
              </w:rPr>
            </w:pPr>
            <w:r w:rsidRPr="005E7040">
              <w:rPr>
                <w:rFonts w:ascii="Arial" w:hAnsi="Arial" w:cs="Arial"/>
                <w:b/>
                <w:bCs/>
                <w:color w:val="000000" w:themeColor="text1"/>
                <w:sz w:val="22"/>
                <w:szCs w:val="22"/>
              </w:rPr>
              <w:t>Car-pooling</w:t>
            </w:r>
          </w:p>
        </w:tc>
        <w:tc>
          <w:tcPr>
            <w:tcW w:w="0" w:type="auto"/>
            <w:vAlign w:val="center"/>
          </w:tcPr>
          <w:p w14:paraId="782FE527" w14:textId="51C39633" w:rsidR="00B74C98" w:rsidRPr="005E7040" w:rsidRDefault="00927329"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System upodobniający i dostosowujący samochód osobowy do transportu zbiorowego. Polega</w:t>
            </w:r>
            <w:r w:rsidRPr="005E7040">
              <w:rPr>
                <w:rFonts w:ascii="Arial" w:hAnsi="Arial" w:cs="Arial"/>
                <w:color w:val="000000" w:themeColor="text1"/>
                <w:sz w:val="22"/>
                <w:szCs w:val="22"/>
              </w:rPr>
              <w:br/>
              <w:t xml:space="preserve">na zwiększaniu liczby pasażerów w czasie przejazdu samochodem, głównie poprzez kojarzenie osób dojeżdżających do pracy lub nauki na tych samych trasach. Jest rozwijany w sytuacjach, gdy ze względu na małe natężenie ruchu nieopłacalne jest uruchamianie linii zorganizowanego transportu zbiorowego. Funkcjonuje w oparciu o społecznościowe portale internetowe lub tablice informacyjne w miejscu pracy (cytat za: </w:t>
            </w:r>
            <w:r w:rsidRPr="005E7040">
              <w:rPr>
                <w:rFonts w:ascii="Arial" w:hAnsi="Arial" w:cs="Arial"/>
                <w:i/>
                <w:iCs/>
                <w:color w:val="000000" w:themeColor="text1"/>
                <w:sz w:val="22"/>
                <w:szCs w:val="22"/>
              </w:rPr>
              <w:t>Słownik pojęć Strategii rozwoju transportu do roku 2020 (z perspektywą do 2030 roku)</w:t>
            </w:r>
            <w:r w:rsidRPr="005E7040">
              <w:rPr>
                <w:rFonts w:ascii="Arial" w:hAnsi="Arial" w:cs="Arial"/>
                <w:color w:val="000000" w:themeColor="text1"/>
                <w:sz w:val="22"/>
                <w:szCs w:val="22"/>
              </w:rPr>
              <w:t>.</w:t>
            </w:r>
          </w:p>
        </w:tc>
      </w:tr>
      <w:tr w:rsidR="006F4FD2" w:rsidRPr="005E7040" w14:paraId="57E90D7B" w14:textId="77777777" w:rsidTr="005E7040">
        <w:tc>
          <w:tcPr>
            <w:tcW w:w="0" w:type="auto"/>
            <w:vAlign w:val="center"/>
          </w:tcPr>
          <w:p w14:paraId="696F40AA" w14:textId="7A94810C" w:rsidR="00927329" w:rsidRPr="005E7040" w:rsidRDefault="00927329" w:rsidP="005E7040">
            <w:pPr>
              <w:spacing w:line="276" w:lineRule="auto"/>
              <w:rPr>
                <w:rFonts w:ascii="Arial" w:hAnsi="Arial" w:cs="Arial"/>
                <w:b/>
                <w:bCs/>
                <w:color w:val="000000" w:themeColor="text1"/>
                <w:sz w:val="22"/>
                <w:szCs w:val="22"/>
              </w:rPr>
            </w:pPr>
            <w:r w:rsidRPr="005E7040">
              <w:rPr>
                <w:rFonts w:ascii="Arial" w:hAnsi="Arial" w:cs="Arial"/>
                <w:b/>
                <w:bCs/>
                <w:color w:val="000000" w:themeColor="text1"/>
                <w:sz w:val="22"/>
                <w:szCs w:val="22"/>
              </w:rPr>
              <w:t>Car-sharing</w:t>
            </w:r>
          </w:p>
        </w:tc>
        <w:tc>
          <w:tcPr>
            <w:tcW w:w="0" w:type="auto"/>
            <w:vAlign w:val="center"/>
          </w:tcPr>
          <w:p w14:paraId="6C10B47D" w14:textId="57661624" w:rsidR="00927329" w:rsidRPr="005E7040" w:rsidRDefault="00927329"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System wspólnego użytkowania samochodów osobowych funkcjonujący w ponad 600 miastach na świecie. Samochody są udostępniane za opłatą użytkownikom przez operatorów floty pojazdów, którymi są różne spółki, agencje publiczne, spółdzielnie, stowarzyszenia lub grupy osób fizycznych. Stosowanie tego systemu zwiększa intensywność wykorzystania pojazdów w ciągu doby, co prowadzi do zahamowania wzrostu liczby samochodów rejestrowanych prywatnie (cytat za: </w:t>
            </w:r>
            <w:r w:rsidRPr="005E7040">
              <w:rPr>
                <w:rFonts w:ascii="Arial" w:hAnsi="Arial" w:cs="Arial"/>
                <w:i/>
                <w:iCs/>
                <w:color w:val="000000" w:themeColor="text1"/>
                <w:sz w:val="22"/>
                <w:szCs w:val="22"/>
              </w:rPr>
              <w:t>Słownik pojęć Strategii rozwoju transportu do roku 2020 (z perspektywą do 2030 roku)</w:t>
            </w:r>
            <w:r w:rsidRPr="005E7040">
              <w:rPr>
                <w:rFonts w:ascii="Arial" w:hAnsi="Arial" w:cs="Arial"/>
                <w:color w:val="000000" w:themeColor="text1"/>
                <w:sz w:val="22"/>
                <w:szCs w:val="22"/>
              </w:rPr>
              <w:t>.</w:t>
            </w:r>
          </w:p>
        </w:tc>
      </w:tr>
      <w:tr w:rsidR="006F4FD2" w:rsidRPr="005E7040" w14:paraId="45441059" w14:textId="77777777" w:rsidTr="005E7040">
        <w:tc>
          <w:tcPr>
            <w:tcW w:w="0" w:type="auto"/>
            <w:vAlign w:val="center"/>
          </w:tcPr>
          <w:p w14:paraId="0D162920" w14:textId="77777777" w:rsidR="00160EC0" w:rsidRPr="005E7040" w:rsidRDefault="00216C7B"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Centrum logistyczne</w:t>
            </w:r>
          </w:p>
        </w:tc>
        <w:tc>
          <w:tcPr>
            <w:tcW w:w="0" w:type="auto"/>
            <w:vAlign w:val="center"/>
          </w:tcPr>
          <w:p w14:paraId="2634739D" w14:textId="6FCFB545" w:rsidR="00160EC0" w:rsidRPr="005E7040" w:rsidRDefault="00216C7B"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Jest wyspecjalizowaną strukturą gospodarczą grupującą na zwartym obszarze duży zbiór podmiotów specjalizujących się w organizacji i fizycznym przepływie mas towarowych. Ma charakter publiczny. Stanowi punkt styku popytu i podaży usług logistycznych i transportowych. Jest zlokalizowane na skrzyżowaniu ważnych (międzynarodowych) arterii transportowych i stanowi punktowy element infrastruktury logistycznej o wysokim stopniu złożoności technicznej </w:t>
            </w:r>
            <w:r w:rsidR="00F25D0E">
              <w:rPr>
                <w:rFonts w:ascii="Arial" w:hAnsi="Arial" w:cs="Arial"/>
                <w:color w:val="000000" w:themeColor="text1"/>
                <w:sz w:val="22"/>
                <w:szCs w:val="22"/>
              </w:rPr>
              <w:br/>
            </w:r>
            <w:r w:rsidRPr="005E7040">
              <w:rPr>
                <w:rFonts w:ascii="Arial" w:hAnsi="Arial" w:cs="Arial"/>
                <w:color w:val="000000" w:themeColor="text1"/>
                <w:sz w:val="22"/>
                <w:szCs w:val="22"/>
              </w:rPr>
              <w:t>i organizacyjnej. Wyposażone jest w takie elementy jak: intermodalny węzeł transportowy, nowoczesne powierzchnie magazynowe, platformy przeładunkowe, nowoczesne obiekty biurowe, posterunek celny, system zaopatrzenia środków transportu w paliwo i energię, punkt technicznej obsługi i napraw środków transportu, infrastrukturę informatyczną, bank, pocztę, biura ubezpieczycieli, obiekty hotelowo-gastronomiczne i inne</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1A7AFBC9" w14:textId="77777777" w:rsidTr="005E7040">
        <w:tc>
          <w:tcPr>
            <w:tcW w:w="0" w:type="auto"/>
            <w:vAlign w:val="center"/>
          </w:tcPr>
          <w:p w14:paraId="5F33F6A7" w14:textId="77777777" w:rsidR="00160EC0" w:rsidRPr="005E7040" w:rsidRDefault="00216C7B"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Długookresowa Strategia Rozwoju Kraju</w:t>
            </w:r>
          </w:p>
        </w:tc>
        <w:tc>
          <w:tcPr>
            <w:tcW w:w="0" w:type="auto"/>
            <w:vAlign w:val="center"/>
          </w:tcPr>
          <w:p w14:paraId="678A5A14" w14:textId="52877AFA" w:rsidR="00216C7B" w:rsidRPr="005E7040" w:rsidRDefault="00216C7B"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Zgodnie z </w:t>
            </w:r>
            <w:r w:rsidR="00725FD6" w:rsidRPr="005E7040">
              <w:rPr>
                <w:rFonts w:ascii="Arial" w:hAnsi="Arial" w:cs="Arial"/>
                <w:color w:val="000000" w:themeColor="text1"/>
                <w:sz w:val="22"/>
                <w:szCs w:val="22"/>
              </w:rPr>
              <w:t>art</w:t>
            </w:r>
            <w:r w:rsidRPr="005E7040">
              <w:rPr>
                <w:rFonts w:ascii="Arial" w:hAnsi="Arial" w:cs="Arial"/>
                <w:color w:val="000000" w:themeColor="text1"/>
                <w:sz w:val="22"/>
                <w:szCs w:val="22"/>
              </w:rPr>
              <w:t xml:space="preserve">. 9-10 Ustawy o zasadach prowadzenia polityki rozwoju, jest to dokument określający główne trendy, wyzwania i scenariusze rozwoju społeczno-gospodarczego kraju oraz kierunki przestrzennego zagospodarowania kraju, z uwzględnieniem zasady zrównoważonego rozwoju, obejmujący okres co najmniej 15 lat. Zawiera </w:t>
            </w:r>
            <w:r w:rsidR="00F25D0E">
              <w:rPr>
                <w:rFonts w:ascii="Arial" w:hAnsi="Arial" w:cs="Arial"/>
                <w:color w:val="000000" w:themeColor="text1"/>
                <w:sz w:val="22"/>
                <w:szCs w:val="22"/>
              </w:rPr>
              <w:br/>
            </w:r>
            <w:r w:rsidRPr="005E7040">
              <w:rPr>
                <w:rFonts w:ascii="Arial" w:hAnsi="Arial" w:cs="Arial"/>
                <w:color w:val="000000" w:themeColor="text1"/>
                <w:sz w:val="22"/>
                <w:szCs w:val="22"/>
              </w:rPr>
              <w:t>w szczególności:</w:t>
            </w:r>
          </w:p>
          <w:p w14:paraId="41AEA34F" w14:textId="77777777" w:rsidR="00216C7B" w:rsidRPr="005E7040" w:rsidRDefault="00216C7B" w:rsidP="005E7040">
            <w:pPr>
              <w:pStyle w:val="Akapitzlist"/>
              <w:numPr>
                <w:ilvl w:val="0"/>
                <w:numId w:val="207"/>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główne trendy i wyzwania, wynikające zarówno z rozwoju wewnętrznego kraju, jak i zmian w jego otoczeniu zewnętrznym,</w:t>
            </w:r>
          </w:p>
          <w:p w14:paraId="63BBD2B5" w14:textId="25D6833E" w:rsidR="00216C7B" w:rsidRPr="005E7040" w:rsidRDefault="00216C7B" w:rsidP="005E7040">
            <w:pPr>
              <w:pStyle w:val="Akapitzlist"/>
              <w:numPr>
                <w:ilvl w:val="0"/>
                <w:numId w:val="207"/>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kompleksową społeczno-gospodarczą koncepcję rozwoju kraju w perspektywie długookresowej </w:t>
            </w:r>
            <w:r w:rsidR="00F25D0E">
              <w:rPr>
                <w:rFonts w:ascii="Arial" w:hAnsi="Arial" w:cs="Arial"/>
                <w:color w:val="000000" w:themeColor="text1"/>
                <w:sz w:val="22"/>
                <w:szCs w:val="22"/>
              </w:rPr>
              <w:br/>
            </w:r>
            <w:r w:rsidRPr="005E7040">
              <w:rPr>
                <w:rFonts w:ascii="Arial" w:hAnsi="Arial" w:cs="Arial"/>
                <w:color w:val="000000" w:themeColor="text1"/>
                <w:sz w:val="22"/>
                <w:szCs w:val="22"/>
              </w:rPr>
              <w:t>z uwzględnieniem wymiaru społecznego, gospodarczego, środowiskowego, terytorialnego i instytucjonalnego,</w:t>
            </w:r>
          </w:p>
          <w:p w14:paraId="378F4EC2" w14:textId="77777777" w:rsidR="00216C7B" w:rsidRPr="005E7040" w:rsidRDefault="00216C7B" w:rsidP="005E7040">
            <w:pPr>
              <w:pStyle w:val="Akapitzlist"/>
              <w:numPr>
                <w:ilvl w:val="0"/>
                <w:numId w:val="207"/>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scenariusze rozwoju społeczno-gospodarczego, uwzględniające cele i zasady zrównoważonego rozwoju,</w:t>
            </w:r>
          </w:p>
          <w:p w14:paraId="0FCD3CA0" w14:textId="77777777" w:rsidR="00216C7B" w:rsidRPr="005E7040" w:rsidRDefault="00216C7B" w:rsidP="005E7040">
            <w:pPr>
              <w:pStyle w:val="Akapitzlist"/>
              <w:numPr>
                <w:ilvl w:val="0"/>
                <w:numId w:val="207"/>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uwarunkowania wewnętrzne i zewnętrzne przestrzennego rozwoju kraju,</w:t>
            </w:r>
          </w:p>
          <w:p w14:paraId="4F9B78ED" w14:textId="0EF96312" w:rsidR="00160EC0" w:rsidRPr="005E7040" w:rsidRDefault="00216C7B" w:rsidP="005E7040">
            <w:pPr>
              <w:pStyle w:val="Akapitzlist"/>
              <w:numPr>
                <w:ilvl w:val="0"/>
                <w:numId w:val="207"/>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cele, kierunki i priorytety przestrzennego rozwoju i zagospodarowania kraju oraz sposoby ich realizacji</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60C7F92D" w14:textId="77777777" w:rsidTr="005E7040">
        <w:tc>
          <w:tcPr>
            <w:tcW w:w="0" w:type="auto"/>
            <w:vAlign w:val="center"/>
          </w:tcPr>
          <w:p w14:paraId="7B19FFC5" w14:textId="77777777" w:rsidR="00160EC0" w:rsidRPr="005E7040" w:rsidRDefault="00216C7B"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Dostępność transportowa</w:t>
            </w:r>
          </w:p>
        </w:tc>
        <w:tc>
          <w:tcPr>
            <w:tcW w:w="0" w:type="auto"/>
            <w:vAlign w:val="center"/>
          </w:tcPr>
          <w:p w14:paraId="2F7619C9" w14:textId="6B6483D7" w:rsidR="00160EC0" w:rsidRPr="005E7040" w:rsidRDefault="00D910F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Jest to łatwość osiągania danego miejsca ze zbioru innych miejsc dzięki istnieniu sieci infrastruktury i usług transportowych. Dany punkt obszaru jest tym dostępniejszy transportowo, im więcej jest innych punktów, do których można dotrzeć zadowalająco szybko, tanio i sprawnie. Zostało stworzonych i zdefiniowanych szereg specyficznych pojęć tej dostępności, takich jak: dostępność czasowa, dostępność gałęziowa, dostępność wielogałęziowa (multimodalna), dostępność transportu publicznego, dostępność do węzłów (bram) transportu, dostępność potencjałowa </w:t>
            </w:r>
            <w:r w:rsidRPr="005E7040">
              <w:rPr>
                <w:rFonts w:ascii="Arial" w:hAnsi="Arial" w:cs="Arial"/>
                <w:i/>
                <w:color w:val="000000" w:themeColor="text1"/>
                <w:sz w:val="22"/>
                <w:szCs w:val="22"/>
              </w:rPr>
              <w:t xml:space="preserve">(ang. </w:t>
            </w:r>
            <w:r w:rsidR="00725FD6" w:rsidRPr="005E7040">
              <w:rPr>
                <w:rFonts w:ascii="Arial" w:hAnsi="Arial" w:cs="Arial"/>
                <w:i/>
                <w:color w:val="000000" w:themeColor="text1"/>
                <w:sz w:val="22"/>
                <w:szCs w:val="22"/>
              </w:rPr>
              <w:t>P</w:t>
            </w:r>
            <w:r w:rsidRPr="005E7040">
              <w:rPr>
                <w:rFonts w:ascii="Arial" w:hAnsi="Arial" w:cs="Arial"/>
                <w:i/>
                <w:color w:val="000000" w:themeColor="text1"/>
                <w:sz w:val="22"/>
                <w:szCs w:val="22"/>
              </w:rPr>
              <w:t>otential accessibilit</w:t>
            </w:r>
            <w:r w:rsidRPr="005E7040">
              <w:rPr>
                <w:rFonts w:ascii="Arial" w:hAnsi="Arial" w:cs="Arial"/>
                <w:color w:val="000000" w:themeColor="text1"/>
                <w:sz w:val="22"/>
                <w:szCs w:val="22"/>
              </w:rPr>
              <w:t>y) i inne</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 xml:space="preserve">Słownik pojęć Strategii rozwoju transportu do roku 2020 </w:t>
            </w:r>
            <w:r w:rsidR="00B20A52">
              <w:rPr>
                <w:rFonts w:ascii="Arial" w:hAnsi="Arial" w:cs="Arial"/>
                <w:i/>
                <w:iCs/>
                <w:color w:val="000000" w:themeColor="text1"/>
                <w:sz w:val="22"/>
                <w:szCs w:val="22"/>
              </w:rPr>
              <w:br/>
            </w:r>
            <w:r w:rsidR="001D5852" w:rsidRPr="005E7040">
              <w:rPr>
                <w:rFonts w:ascii="Arial" w:hAnsi="Arial" w:cs="Arial"/>
                <w:i/>
                <w:iCs/>
                <w:color w:val="000000" w:themeColor="text1"/>
                <w:sz w:val="22"/>
                <w:szCs w:val="22"/>
              </w:rPr>
              <w:t>(z perspektywą do 2030 roku)</w:t>
            </w:r>
            <w:r w:rsidR="001D5852" w:rsidRPr="005E7040">
              <w:rPr>
                <w:rFonts w:ascii="Arial" w:hAnsi="Arial" w:cs="Arial"/>
                <w:color w:val="000000" w:themeColor="text1"/>
                <w:sz w:val="22"/>
                <w:szCs w:val="22"/>
              </w:rPr>
              <w:t>.</w:t>
            </w:r>
          </w:p>
        </w:tc>
      </w:tr>
      <w:tr w:rsidR="006F4FD2" w:rsidRPr="005E7040" w14:paraId="7ED8484D" w14:textId="77777777" w:rsidTr="005E7040">
        <w:tc>
          <w:tcPr>
            <w:tcW w:w="0" w:type="auto"/>
            <w:vAlign w:val="center"/>
          </w:tcPr>
          <w:p w14:paraId="72AF2649" w14:textId="77777777" w:rsidR="00160EC0" w:rsidRPr="005E7040" w:rsidRDefault="00D910FF"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Droga ekspresowa</w:t>
            </w:r>
          </w:p>
        </w:tc>
        <w:tc>
          <w:tcPr>
            <w:tcW w:w="0" w:type="auto"/>
            <w:vAlign w:val="center"/>
          </w:tcPr>
          <w:p w14:paraId="445CB0C9" w14:textId="77777777" w:rsidR="00D910FF" w:rsidRPr="005E7040" w:rsidRDefault="00D910F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Zgodnie z Ustawą o drogach publicznych i Ustawą Prawo o ruchu drogowym jest to droga oznaczona odpowiednimi znakami drogowymi (symbol S), przeznaczona wyłącznie do ruchu pojazdów samochodowych cechująca się:</w:t>
            </w:r>
          </w:p>
          <w:p w14:paraId="32F6E902" w14:textId="77777777" w:rsidR="00D910FF" w:rsidRPr="005E7040" w:rsidRDefault="00D910FF" w:rsidP="005E7040">
            <w:pPr>
              <w:pStyle w:val="Akapitzlist"/>
              <w:numPr>
                <w:ilvl w:val="0"/>
                <w:numId w:val="208"/>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wyposażeniem w jedną lub dwie jezdnie,</w:t>
            </w:r>
          </w:p>
          <w:p w14:paraId="4555D156" w14:textId="24F280D6" w:rsidR="00D910FF" w:rsidRPr="005E7040" w:rsidRDefault="00D910FF" w:rsidP="005E7040">
            <w:pPr>
              <w:pStyle w:val="Akapitzlist"/>
              <w:numPr>
                <w:ilvl w:val="0"/>
                <w:numId w:val="208"/>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wyposażeniem w wielopoziomowe skrzyżowania z przecinającymi ją innymi drogami transportu lądowego </w:t>
            </w:r>
            <w:r w:rsidR="00B20A52">
              <w:rPr>
                <w:rFonts w:ascii="Arial" w:hAnsi="Arial" w:cs="Arial"/>
                <w:color w:val="000000" w:themeColor="text1"/>
                <w:sz w:val="22"/>
                <w:szCs w:val="22"/>
              </w:rPr>
              <w:br/>
            </w:r>
            <w:r w:rsidRPr="005E7040">
              <w:rPr>
                <w:rFonts w:ascii="Arial" w:hAnsi="Arial" w:cs="Arial"/>
                <w:color w:val="000000" w:themeColor="text1"/>
                <w:sz w:val="22"/>
                <w:szCs w:val="22"/>
              </w:rPr>
              <w:t>i wodnego, z dopuszczeniem wyjątkowo jednopoziomowych skrzyżowań z drogami publicznymi,</w:t>
            </w:r>
          </w:p>
          <w:p w14:paraId="084CA165" w14:textId="0AA49C69" w:rsidR="00160EC0" w:rsidRPr="005E7040" w:rsidRDefault="00D910FF" w:rsidP="005E7040">
            <w:pPr>
              <w:pStyle w:val="Akapitzlist"/>
              <w:numPr>
                <w:ilvl w:val="0"/>
                <w:numId w:val="208"/>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wyposażeniem w urządzenia obsługi podróżnych, pojazdów i przesyłek, przeznaczonym wyłącznie dla użytkowników drogi. [</w:t>
            </w:r>
            <w:r w:rsidRPr="005E7040">
              <w:rPr>
                <w:rFonts w:ascii="Arial" w:hAnsi="Arial" w:cs="Arial"/>
                <w:b/>
                <w:color w:val="000000" w:themeColor="text1"/>
                <w:sz w:val="22"/>
                <w:szCs w:val="22"/>
              </w:rPr>
              <w:t>patrz też: autostrada</w:t>
            </w:r>
            <w:r w:rsidRPr="005E7040">
              <w:rPr>
                <w:rFonts w:ascii="Arial" w:hAnsi="Arial" w:cs="Arial"/>
                <w:color w:val="000000" w:themeColor="text1"/>
                <w:sz w:val="22"/>
                <w:szCs w:val="22"/>
              </w:rPr>
              <w:t>]</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 xml:space="preserve">Słownik pojęć Strategii rozwoju transportu do roku 2020 </w:t>
            </w:r>
            <w:r w:rsidR="00B20A52">
              <w:rPr>
                <w:rFonts w:ascii="Arial" w:hAnsi="Arial" w:cs="Arial"/>
                <w:i/>
                <w:iCs/>
                <w:color w:val="000000" w:themeColor="text1"/>
                <w:sz w:val="22"/>
                <w:szCs w:val="22"/>
              </w:rPr>
              <w:br/>
            </w:r>
            <w:r w:rsidR="001D5852" w:rsidRPr="005E7040">
              <w:rPr>
                <w:rFonts w:ascii="Arial" w:hAnsi="Arial" w:cs="Arial"/>
                <w:i/>
                <w:iCs/>
                <w:color w:val="000000" w:themeColor="text1"/>
                <w:sz w:val="22"/>
                <w:szCs w:val="22"/>
              </w:rPr>
              <w:t>(z perspektywą do 2030 roku)</w:t>
            </w:r>
            <w:r w:rsidR="001D5852" w:rsidRPr="005E7040">
              <w:rPr>
                <w:rFonts w:ascii="Arial" w:hAnsi="Arial" w:cs="Arial"/>
                <w:color w:val="000000" w:themeColor="text1"/>
                <w:sz w:val="22"/>
                <w:szCs w:val="22"/>
              </w:rPr>
              <w:t>.</w:t>
            </w:r>
          </w:p>
        </w:tc>
      </w:tr>
      <w:tr w:rsidR="006F4FD2" w:rsidRPr="005E7040" w14:paraId="039AE5EA" w14:textId="77777777" w:rsidTr="005E7040">
        <w:tc>
          <w:tcPr>
            <w:tcW w:w="0" w:type="auto"/>
            <w:vAlign w:val="center"/>
          </w:tcPr>
          <w:p w14:paraId="4A5A9D0B" w14:textId="77777777" w:rsidR="00160EC0" w:rsidRPr="005E7040" w:rsidRDefault="006B4F7A"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Droga szybkiego ruchu</w:t>
            </w:r>
          </w:p>
        </w:tc>
        <w:tc>
          <w:tcPr>
            <w:tcW w:w="0" w:type="auto"/>
            <w:vAlign w:val="center"/>
          </w:tcPr>
          <w:p w14:paraId="11479E91" w14:textId="5EE9E603" w:rsidR="00160EC0" w:rsidRPr="005E7040" w:rsidRDefault="006B4F7A"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Jest to potoczne określenie drogi głównej ruchu przyspieszonego, która zgodnie z Rozporządzeniem Ministra Transportu i Gospodarki Morskiej z 2 marca 1999 r. w sprawie warunków technicznych, jakim powinny odpowiadać drogi publiczne i ich usytuowanie jest oznaczona symbolem DP. Powinna mieć powiązania z drogami klasy </w:t>
            </w:r>
            <w:r w:rsidR="00B20A52">
              <w:rPr>
                <w:rFonts w:ascii="Arial" w:hAnsi="Arial" w:cs="Arial"/>
                <w:color w:val="000000" w:themeColor="text1"/>
                <w:sz w:val="22"/>
                <w:szCs w:val="22"/>
              </w:rPr>
              <w:br/>
            </w:r>
            <w:r w:rsidRPr="005E7040">
              <w:rPr>
                <w:rFonts w:ascii="Arial" w:hAnsi="Arial" w:cs="Arial"/>
                <w:color w:val="000000" w:themeColor="text1"/>
                <w:sz w:val="22"/>
                <w:szCs w:val="22"/>
              </w:rPr>
              <w:t>Z (wyjątkowo klasy L) i drogami wyższych klas, a odstępy między skrzyżowaniami (węzłami) poza terenem zabudowy nie powinny być mniejsze niż 2000 m oraz nie mniejsze niż 1000 m na terenie zabudowy</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1BBD186C" w14:textId="77777777" w:rsidTr="005E7040">
        <w:tc>
          <w:tcPr>
            <w:tcW w:w="0" w:type="auto"/>
            <w:vAlign w:val="center"/>
          </w:tcPr>
          <w:p w14:paraId="6872EF30" w14:textId="77777777" w:rsidR="00160EC0" w:rsidRPr="005E7040" w:rsidRDefault="006B4F7A"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Droga utwardzona</w:t>
            </w:r>
          </w:p>
        </w:tc>
        <w:tc>
          <w:tcPr>
            <w:tcW w:w="0" w:type="auto"/>
            <w:vAlign w:val="center"/>
          </w:tcPr>
          <w:p w14:paraId="1C4EF296" w14:textId="37503A0D" w:rsidR="00160EC0" w:rsidRPr="005E7040" w:rsidRDefault="006B4F7A"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Zgodnie z klasyfikacją GUS, do dróg o nawierzchni twardej zalicza się drogi mające twardą nawierzchnię ulepszoną </w:t>
            </w:r>
            <w:r w:rsidR="00B20A52">
              <w:rPr>
                <w:rFonts w:ascii="Arial" w:hAnsi="Arial" w:cs="Arial"/>
                <w:color w:val="000000" w:themeColor="text1"/>
                <w:sz w:val="22"/>
                <w:szCs w:val="22"/>
              </w:rPr>
              <w:br/>
            </w:r>
            <w:r w:rsidRPr="005E7040">
              <w:rPr>
                <w:rFonts w:ascii="Arial" w:hAnsi="Arial" w:cs="Arial"/>
                <w:color w:val="000000" w:themeColor="text1"/>
                <w:sz w:val="22"/>
                <w:szCs w:val="22"/>
              </w:rPr>
              <w:t>(z kostki kamiennej, klinkieru, betonu, płyt kamienno-betonowych, bitumu) oraz drogi mające twardą nawierzchnię nieulepszoną (tłuczniową lub brukową)</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 xml:space="preserve">Słownik pojęć Strategii rozwoju transportu do roku 2020 </w:t>
            </w:r>
            <w:r w:rsidR="00B20A52">
              <w:rPr>
                <w:rFonts w:ascii="Arial" w:hAnsi="Arial" w:cs="Arial"/>
                <w:i/>
                <w:iCs/>
                <w:color w:val="000000" w:themeColor="text1"/>
                <w:sz w:val="22"/>
                <w:szCs w:val="22"/>
              </w:rPr>
              <w:br/>
            </w:r>
            <w:r w:rsidR="001D5852" w:rsidRPr="005E7040">
              <w:rPr>
                <w:rFonts w:ascii="Arial" w:hAnsi="Arial" w:cs="Arial"/>
                <w:i/>
                <w:iCs/>
                <w:color w:val="000000" w:themeColor="text1"/>
                <w:sz w:val="22"/>
                <w:szCs w:val="22"/>
              </w:rPr>
              <w:t>(z perspektywą do 2030 roku)</w:t>
            </w:r>
            <w:r w:rsidR="001D5852" w:rsidRPr="005E7040">
              <w:rPr>
                <w:rFonts w:ascii="Arial" w:hAnsi="Arial" w:cs="Arial"/>
                <w:color w:val="000000" w:themeColor="text1"/>
                <w:sz w:val="22"/>
                <w:szCs w:val="22"/>
              </w:rPr>
              <w:t>.</w:t>
            </w:r>
          </w:p>
        </w:tc>
      </w:tr>
      <w:tr w:rsidR="006F4FD2" w:rsidRPr="005E7040" w14:paraId="10CA54AA" w14:textId="77777777" w:rsidTr="005E7040">
        <w:tc>
          <w:tcPr>
            <w:tcW w:w="0" w:type="auto"/>
            <w:vAlign w:val="center"/>
          </w:tcPr>
          <w:p w14:paraId="405E95FD" w14:textId="77777777" w:rsidR="00160EC0" w:rsidRPr="005E7040" w:rsidRDefault="006B4F7A"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ESPON</w:t>
            </w:r>
          </w:p>
        </w:tc>
        <w:tc>
          <w:tcPr>
            <w:tcW w:w="0" w:type="auto"/>
            <w:vAlign w:val="center"/>
          </w:tcPr>
          <w:p w14:paraId="07ACF1F1" w14:textId="67A05BAB" w:rsidR="00160EC0" w:rsidRPr="005E7040" w:rsidRDefault="006B4F7A"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Jest Europejską Siecią Obserwacyjną Rozwoju Terytorialnego i Spójności Terytorialnej. Jest to program badawczy dotyczący rozwoju przestrzennego, związany z Funduszami Strukturalnymi UE. Program rozpoczął się w 2002 roku </w:t>
            </w:r>
            <w:r w:rsidR="00B20A52">
              <w:rPr>
                <w:rFonts w:ascii="Arial" w:hAnsi="Arial" w:cs="Arial"/>
                <w:color w:val="000000" w:themeColor="text1"/>
                <w:sz w:val="22"/>
                <w:szCs w:val="22"/>
              </w:rPr>
              <w:br/>
            </w:r>
            <w:r w:rsidRPr="005E7040">
              <w:rPr>
                <w:rFonts w:ascii="Arial" w:hAnsi="Arial" w:cs="Arial"/>
                <w:color w:val="000000" w:themeColor="text1"/>
                <w:sz w:val="22"/>
                <w:szCs w:val="22"/>
              </w:rPr>
              <w:t>i jest finansowany częściowo ze środków Programu Inicjatywy Wspólnotowej INTERREG III oraz częściowo przez kraje członkowskie oraz Islandię, Norwegię i Szwajcarię. Celem programu jest zapewnienie politykom i praktykom na poziomie wspólnotowym, krajowym oraz regionalnym systematycznej, nowej i porównywalnej wiedzy na temat trendów w rozwoju terytorialnym Europy oraz wpływu wdrażanych polityk na regiony i obszary europejskie. Efektem badań są opracowania ilustrujące stan dostępności transportowej regionów europejskich</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7B186063" w14:textId="77777777" w:rsidTr="005E7040">
        <w:tc>
          <w:tcPr>
            <w:tcW w:w="0" w:type="auto"/>
            <w:vAlign w:val="center"/>
          </w:tcPr>
          <w:p w14:paraId="3D1EB462" w14:textId="77777777" w:rsidR="00160EC0" w:rsidRPr="005E7040" w:rsidRDefault="006B4F7A"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Europejski system transportowy</w:t>
            </w:r>
          </w:p>
        </w:tc>
        <w:tc>
          <w:tcPr>
            <w:tcW w:w="0" w:type="auto"/>
            <w:vAlign w:val="center"/>
          </w:tcPr>
          <w:p w14:paraId="5DFAD709" w14:textId="66A7B93C" w:rsidR="00160EC0" w:rsidRPr="005E7040" w:rsidRDefault="006B4F7A"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Jest zasadniczym elementem przyczyniającym się do dobrobytu gospodarczego i społecznego w Europie. Odgrywa kluczową rolę w transportowaniu ludzi i towarów na poziomie lokalnym, regionalnym, krajowym, europejskim </w:t>
            </w:r>
            <w:r w:rsidR="00B20A52">
              <w:rPr>
                <w:rFonts w:ascii="Arial" w:hAnsi="Arial" w:cs="Arial"/>
                <w:color w:val="000000" w:themeColor="text1"/>
                <w:sz w:val="22"/>
                <w:szCs w:val="22"/>
              </w:rPr>
              <w:br/>
            </w:r>
            <w:r w:rsidRPr="005E7040">
              <w:rPr>
                <w:rFonts w:ascii="Arial" w:hAnsi="Arial" w:cs="Arial"/>
                <w:color w:val="000000" w:themeColor="text1"/>
                <w:sz w:val="22"/>
                <w:szCs w:val="22"/>
              </w:rPr>
              <w:t xml:space="preserve">i międzynarodowym. Jest przedmiotem wspólnej polityki transportowej, której główne cele to integracja narodowych </w:t>
            </w:r>
            <w:r w:rsidR="00B20A52">
              <w:rPr>
                <w:rFonts w:ascii="Arial" w:hAnsi="Arial" w:cs="Arial"/>
                <w:color w:val="000000" w:themeColor="text1"/>
                <w:sz w:val="22"/>
                <w:szCs w:val="22"/>
              </w:rPr>
              <w:br/>
            </w:r>
            <w:r w:rsidRPr="005E7040">
              <w:rPr>
                <w:rFonts w:ascii="Arial" w:hAnsi="Arial" w:cs="Arial"/>
                <w:color w:val="000000" w:themeColor="text1"/>
                <w:sz w:val="22"/>
                <w:szCs w:val="22"/>
              </w:rPr>
              <w:t xml:space="preserve">i gałęziowych systemów, skoordynowany rozwój sieci infrastruktury, liberalizacja rynków, zmniejszanie uciążliwości ekologicznej, poprawa bezpieczeństwa, podnoszenie jakości usług poprzez wdrażanie innowacyjnych rozwiązań. </w:t>
            </w:r>
            <w:r w:rsidR="00A339F0">
              <w:rPr>
                <w:rFonts w:ascii="Arial" w:hAnsi="Arial" w:cs="Arial"/>
                <w:color w:val="000000" w:themeColor="text1"/>
                <w:sz w:val="22"/>
                <w:szCs w:val="22"/>
              </w:rPr>
              <w:br/>
            </w:r>
            <w:r w:rsidRPr="005E7040">
              <w:rPr>
                <w:rFonts w:ascii="Arial" w:hAnsi="Arial" w:cs="Arial"/>
                <w:color w:val="000000" w:themeColor="text1"/>
                <w:sz w:val="22"/>
                <w:szCs w:val="22"/>
              </w:rPr>
              <w:t>[patrz też:</w:t>
            </w:r>
            <w:r w:rsidRPr="005E7040">
              <w:rPr>
                <w:rFonts w:ascii="Arial" w:hAnsi="Arial" w:cs="Arial"/>
                <w:b/>
                <w:color w:val="000000" w:themeColor="text1"/>
                <w:sz w:val="22"/>
                <w:szCs w:val="22"/>
              </w:rPr>
              <w:t xml:space="preserve"> </w:t>
            </w:r>
            <w:r w:rsidRPr="005E7040">
              <w:rPr>
                <w:rFonts w:ascii="Arial" w:hAnsi="Arial" w:cs="Arial"/>
                <w:b/>
                <w:i/>
                <w:color w:val="000000" w:themeColor="text1"/>
                <w:sz w:val="22"/>
                <w:szCs w:val="22"/>
              </w:rPr>
              <w:t>system transportowy</w:t>
            </w:r>
            <w:r w:rsidRPr="005E7040">
              <w:rPr>
                <w:rFonts w:ascii="Arial" w:hAnsi="Arial" w:cs="Arial"/>
                <w:color w:val="000000" w:themeColor="text1"/>
                <w:sz w:val="22"/>
                <w:szCs w:val="22"/>
              </w:rPr>
              <w:t>]</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1082D371" w14:textId="77777777" w:rsidTr="005E7040">
        <w:tc>
          <w:tcPr>
            <w:tcW w:w="0" w:type="auto"/>
            <w:vAlign w:val="center"/>
          </w:tcPr>
          <w:p w14:paraId="7136BA49" w14:textId="77777777" w:rsidR="00160EC0" w:rsidRPr="005E7040" w:rsidRDefault="006B4F7A" w:rsidP="005E7040">
            <w:pPr>
              <w:spacing w:line="276" w:lineRule="auto"/>
              <w:rPr>
                <w:rFonts w:ascii="Arial" w:hAnsi="Arial" w:cs="Arial"/>
                <w:b/>
                <w:i/>
                <w:color w:val="000000" w:themeColor="text1"/>
                <w:sz w:val="22"/>
                <w:szCs w:val="22"/>
              </w:rPr>
            </w:pPr>
            <w:r w:rsidRPr="005E7040">
              <w:rPr>
                <w:rFonts w:ascii="Arial" w:hAnsi="Arial" w:cs="Arial"/>
                <w:b/>
                <w:i/>
                <w:color w:val="000000" w:themeColor="text1"/>
                <w:sz w:val="22"/>
                <w:szCs w:val="22"/>
              </w:rPr>
              <w:t>General Aviation (GA)</w:t>
            </w:r>
          </w:p>
        </w:tc>
        <w:tc>
          <w:tcPr>
            <w:tcW w:w="0" w:type="auto"/>
            <w:vAlign w:val="center"/>
          </w:tcPr>
          <w:p w14:paraId="5B957A54" w14:textId="54D79A15" w:rsidR="00160EC0" w:rsidRPr="005E7040" w:rsidRDefault="006B4F7A"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Polski odpowiednik tego pojęcia to lotnictwo ogólne i korporacyjne obejmujące bardzo różne rodzaje działalności, od lotnictwa rekreacyjnego z użyciem szybowców aż po skomplikowaną eksploatację samolotów dyspozycyjnych </w:t>
            </w:r>
            <w:r w:rsidR="00B20A52">
              <w:rPr>
                <w:rFonts w:ascii="Arial" w:hAnsi="Arial" w:cs="Arial"/>
                <w:color w:val="000000" w:themeColor="text1"/>
                <w:sz w:val="22"/>
                <w:szCs w:val="22"/>
              </w:rPr>
              <w:br/>
            </w:r>
            <w:r w:rsidRPr="005E7040">
              <w:rPr>
                <w:rFonts w:ascii="Arial" w:hAnsi="Arial" w:cs="Arial"/>
                <w:color w:val="000000" w:themeColor="text1"/>
                <w:sz w:val="22"/>
                <w:szCs w:val="22"/>
              </w:rPr>
              <w:t>i wyspecjalizowane prace lotnicze. Znaczna część lotnictwa ogólnego i korporacyjnego obejmuje małe i średnie przedsiębiorstwa oraz organizacje niemające celu zarobkowego, które działają przy pomocy ochotników. W zakresie prac lotniczych europejskie przedsiębiorstwa świadczą wyspecjalizowane usługi wysokiej wartości zarówno we Wspólnocie, jak i w krajach trzecich. Obejmują one prace kartograficzne, usługi świadczone na morzu, prace budowlane, patrolowanie i konserwację rurociągów, prace agrolotnicze i nadzór nad zasobami przyrodniczymi, badania meteorologiczne, gaszenie pożarów, telewizyjne relacje na żywo, nadzorowanie sytuacji na drogach i inne</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291A3657" w14:textId="77777777" w:rsidTr="005E7040">
        <w:tc>
          <w:tcPr>
            <w:tcW w:w="0" w:type="auto"/>
            <w:vAlign w:val="center"/>
          </w:tcPr>
          <w:p w14:paraId="05F6513F" w14:textId="77777777" w:rsidR="00160EC0" w:rsidRPr="005E7040" w:rsidRDefault="006B4F7A"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Infrastruktura transportu lądowego</w:t>
            </w:r>
          </w:p>
        </w:tc>
        <w:tc>
          <w:tcPr>
            <w:tcW w:w="0" w:type="auto"/>
            <w:vAlign w:val="center"/>
          </w:tcPr>
          <w:p w14:paraId="5597A465" w14:textId="5ED1D0A2" w:rsidR="006B4F7A" w:rsidRPr="005E7040" w:rsidRDefault="006B4F7A"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Infrastruktura transportu lądowego jest najważniejszym rodzajem infrastruktury technicznej każdego państwa. Stanowi podstawę funkcjonowania przedsiębiorstw transportowych, a także transportu wykonywanego na użytek własny (w tym motoryzacji indywidualnej). Ze swej istoty powinna mieć charakter publiczny (dostępna dla różnych użytkowników). Składa się na nią zbiór budowli, budynków i innych trwale zlokalizowanych obiektów technicznych wraz ze strukturami zarządzającymi nimi, stanowiący platformę warunkującą lub ułatwiającą poruszanie się środków przewozowych </w:t>
            </w:r>
            <w:r w:rsidR="00B20A52">
              <w:rPr>
                <w:rFonts w:ascii="Arial" w:hAnsi="Arial" w:cs="Arial"/>
                <w:color w:val="000000" w:themeColor="text1"/>
                <w:sz w:val="22"/>
                <w:szCs w:val="22"/>
              </w:rPr>
              <w:br/>
            </w:r>
            <w:r w:rsidRPr="005E7040">
              <w:rPr>
                <w:rFonts w:ascii="Arial" w:hAnsi="Arial" w:cs="Arial"/>
                <w:color w:val="000000" w:themeColor="text1"/>
                <w:sz w:val="22"/>
                <w:szCs w:val="22"/>
              </w:rPr>
              <w:t>w systemie transportowym.</w:t>
            </w:r>
          </w:p>
          <w:p w14:paraId="358A8D9C" w14:textId="77777777" w:rsidR="006B4F7A" w:rsidRPr="005E7040" w:rsidRDefault="006B4F7A"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Szczegółowy zestaw składników infrastruktury transportu lądowego został określony w Rozporządzeniu Komisji (EWG) nr 2598/70 stanowiącym załącznik do rozporządzenia Rady (EWG) nr 1108/70 i obejmuje dla przykładu takie elementy, jak:</w:t>
            </w:r>
          </w:p>
          <w:p w14:paraId="1F676820" w14:textId="3E2C3A89" w:rsidR="006B4F7A" w:rsidRPr="005E7040" w:rsidRDefault="006B4F7A" w:rsidP="005E7040">
            <w:pPr>
              <w:pStyle w:val="Akapitzlist"/>
              <w:numPr>
                <w:ilvl w:val="0"/>
                <w:numId w:val="209"/>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transport kolejowy: powierzchnia gruntów zajętych pod torowiska, tory i podłoże kolejowe, konstrukcje budowlane (mosty, przepusty, wiadukty, tunele i inne), przejazdy kolejowe, nadbudowy, drogi dojazdowe dla pasażerów </w:t>
            </w:r>
            <w:r w:rsidR="00B20A52">
              <w:rPr>
                <w:rFonts w:ascii="Arial" w:hAnsi="Arial" w:cs="Arial"/>
                <w:color w:val="000000" w:themeColor="text1"/>
                <w:sz w:val="22"/>
                <w:szCs w:val="22"/>
              </w:rPr>
              <w:br/>
            </w:r>
            <w:r w:rsidRPr="005E7040">
              <w:rPr>
                <w:rFonts w:ascii="Arial" w:hAnsi="Arial" w:cs="Arial"/>
                <w:color w:val="000000" w:themeColor="text1"/>
                <w:sz w:val="22"/>
                <w:szCs w:val="22"/>
              </w:rPr>
              <w:t xml:space="preserve">i towarów, urządzenia zabezpieczające, sygnalizacyjne i łącznościowe na otwartych torach, w stacjach i stacjach rozrządowych, urządzenia świetlne do celów ruchu kolejowego i bezpieczeństwa, urządzenia do przetwarzania </w:t>
            </w:r>
            <w:r w:rsidR="00B20A52">
              <w:rPr>
                <w:rFonts w:ascii="Arial" w:hAnsi="Arial" w:cs="Arial"/>
                <w:color w:val="000000" w:themeColor="text1"/>
                <w:sz w:val="22"/>
                <w:szCs w:val="22"/>
              </w:rPr>
              <w:br/>
            </w:r>
            <w:r w:rsidRPr="005E7040">
              <w:rPr>
                <w:rFonts w:ascii="Arial" w:hAnsi="Arial" w:cs="Arial"/>
                <w:color w:val="000000" w:themeColor="text1"/>
                <w:sz w:val="22"/>
                <w:szCs w:val="22"/>
              </w:rPr>
              <w:t>i doprowadzenia energii elektrycznej do holowania pociągów, budynki wykorzystywane przez dział infrastruktury;</w:t>
            </w:r>
          </w:p>
          <w:p w14:paraId="5D124DEB" w14:textId="5160F483" w:rsidR="006B4F7A" w:rsidRPr="005E7040" w:rsidRDefault="006B4F7A" w:rsidP="005E7040">
            <w:pPr>
              <w:pStyle w:val="Akapitzlist"/>
              <w:numPr>
                <w:ilvl w:val="0"/>
                <w:numId w:val="209"/>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transport drogowy: grunt zajęty pod drogi, elementy budowlane stworzone pod drogi przed ułożeniem nawierzchni (wykopy, nasypy, odpływy</w:t>
            </w:r>
            <w:r w:rsidR="00AF4F3B" w:rsidRPr="005E7040">
              <w:rPr>
                <w:rFonts w:ascii="Arial" w:hAnsi="Arial" w:cs="Arial"/>
                <w:color w:val="000000" w:themeColor="text1"/>
                <w:sz w:val="22"/>
                <w:szCs w:val="22"/>
              </w:rPr>
              <w:t>)</w:t>
            </w:r>
            <w:r w:rsidRPr="005E7040">
              <w:rPr>
                <w:rFonts w:ascii="Arial" w:hAnsi="Arial" w:cs="Arial"/>
                <w:color w:val="000000" w:themeColor="text1"/>
                <w:sz w:val="22"/>
                <w:szCs w:val="22"/>
              </w:rPr>
              <w:t xml:space="preserve">, nawierzchnia główna drogi i pomocnicza, pas zieleni, kanały ściekowe </w:t>
            </w:r>
            <w:r w:rsidR="00B20A52">
              <w:rPr>
                <w:rFonts w:ascii="Arial" w:hAnsi="Arial" w:cs="Arial"/>
                <w:color w:val="000000" w:themeColor="text1"/>
                <w:sz w:val="22"/>
                <w:szCs w:val="22"/>
              </w:rPr>
              <w:br/>
            </w:r>
            <w:r w:rsidRPr="005E7040">
              <w:rPr>
                <w:rFonts w:ascii="Arial" w:hAnsi="Arial" w:cs="Arial"/>
                <w:color w:val="000000" w:themeColor="text1"/>
                <w:sz w:val="22"/>
                <w:szCs w:val="22"/>
              </w:rPr>
              <w:t xml:space="preserve">i inne urządzenia odwadniające, twarde pobocza i inne miejsca do nagłych postojów, zatoczki i parkingi na otwartej drodze, miejsca do parkowania na obszarach zabudowanych na gruncie publicznym, roślinność </w:t>
            </w:r>
            <w:r w:rsidR="00B20A52">
              <w:rPr>
                <w:rFonts w:ascii="Arial" w:hAnsi="Arial" w:cs="Arial"/>
                <w:color w:val="000000" w:themeColor="text1"/>
                <w:sz w:val="22"/>
                <w:szCs w:val="22"/>
              </w:rPr>
              <w:br/>
            </w:r>
            <w:r w:rsidRPr="005E7040">
              <w:rPr>
                <w:rFonts w:ascii="Arial" w:hAnsi="Arial" w:cs="Arial"/>
                <w:color w:val="000000" w:themeColor="text1"/>
                <w:sz w:val="22"/>
                <w:szCs w:val="22"/>
              </w:rPr>
              <w:t xml:space="preserve">i architektura zieleni, urządzenia zabezpieczające, konstrukcje budowlane (mosty, przepusty, wiadukty, tunele </w:t>
            </w:r>
            <w:r w:rsidR="00B20A52">
              <w:rPr>
                <w:rFonts w:ascii="Arial" w:hAnsi="Arial" w:cs="Arial"/>
                <w:color w:val="000000" w:themeColor="text1"/>
                <w:sz w:val="22"/>
                <w:szCs w:val="22"/>
              </w:rPr>
              <w:br/>
            </w:r>
            <w:r w:rsidRPr="005E7040">
              <w:rPr>
                <w:rFonts w:ascii="Arial" w:hAnsi="Arial" w:cs="Arial"/>
                <w:color w:val="000000" w:themeColor="text1"/>
                <w:sz w:val="22"/>
                <w:szCs w:val="22"/>
              </w:rPr>
              <w:t>i inne), przejazdy kolejowe, znaki drogowe i urządzenia sygnalizacyjne i łącznościowe, urządzenia świetlne, urządzenia do poboru opłat, parkometry, budynki wykorzystywane przez dział infrastruktury;</w:t>
            </w:r>
          </w:p>
          <w:p w14:paraId="2244165A" w14:textId="12B5AF80" w:rsidR="00160EC0" w:rsidRPr="005E7040" w:rsidRDefault="006B4F7A" w:rsidP="005E7040">
            <w:pPr>
              <w:pStyle w:val="Akapitzlist"/>
              <w:numPr>
                <w:ilvl w:val="0"/>
                <w:numId w:val="209"/>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transport wodny śródlądowy: grunt zajęty pod drogi i zbiorniki wodne, kanały, baseny i osłony kanałów, podwaliny, falochrony, wały brzegowe, drogi holowania i drogi dojazdowe, urządzenia regulowania poziomu wód, budowle do kontroli wód, zapory wodne i budowle piętrzące, śluzy nawigacyjne, przystanie ze sprzętem cumowniczym, przenośne mosty, urządzenia do oznakowania kanałów, sygnalizacji, bezpieczeństwa, łączności </w:t>
            </w:r>
            <w:r w:rsidR="00B20A52">
              <w:rPr>
                <w:rFonts w:ascii="Arial" w:hAnsi="Arial" w:cs="Arial"/>
                <w:color w:val="000000" w:themeColor="text1"/>
                <w:sz w:val="22"/>
                <w:szCs w:val="22"/>
              </w:rPr>
              <w:br/>
            </w:r>
            <w:r w:rsidRPr="005E7040">
              <w:rPr>
                <w:rFonts w:ascii="Arial" w:hAnsi="Arial" w:cs="Arial"/>
                <w:color w:val="000000" w:themeColor="text1"/>
                <w:sz w:val="22"/>
                <w:szCs w:val="22"/>
              </w:rPr>
              <w:t>i oświetlenia, urządzenia do kontroli ruchu, urządzenia do poboru opłat, budynki wykorzystywane przez dział infrastruktury</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2599882A" w14:textId="77777777" w:rsidTr="005E7040">
        <w:tc>
          <w:tcPr>
            <w:tcW w:w="0" w:type="auto"/>
            <w:vAlign w:val="center"/>
          </w:tcPr>
          <w:p w14:paraId="6DA3718F" w14:textId="77777777" w:rsidR="00160EC0" w:rsidRPr="005E7040" w:rsidRDefault="00494812"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Infrastruktura transportu lotniczego</w:t>
            </w:r>
          </w:p>
        </w:tc>
        <w:tc>
          <w:tcPr>
            <w:tcW w:w="0" w:type="auto"/>
            <w:vAlign w:val="center"/>
          </w:tcPr>
          <w:p w14:paraId="1D84A8B7" w14:textId="6F5A818C" w:rsidR="00494812" w:rsidRPr="005E7040" w:rsidRDefault="00494812"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Infrastruktura transportu lotniczego w istotny sposób różni się od infrastruktury transportu lądowego, gdyż brak jest materialnej (nawierzchniowej) postaci drogi powietrznej. Infrastruktura ta, w świetle międzynarodowej klasyfikacji (w tym zawartej w Dyrektywie Rady 96/67), składa się z elementów punktowych i liniowych dostosowanych do specyfiki ruchu samolotów</w:t>
            </w:r>
            <w:r w:rsidR="00B20A52">
              <w:rPr>
                <w:rFonts w:ascii="Arial" w:hAnsi="Arial" w:cs="Arial"/>
                <w:color w:val="000000" w:themeColor="text1"/>
                <w:sz w:val="22"/>
                <w:szCs w:val="22"/>
              </w:rPr>
              <w:t xml:space="preserve"> oraz specyfiki przemieszczania</w:t>
            </w:r>
            <w:r w:rsidR="00A339F0">
              <w:rPr>
                <w:rFonts w:ascii="Arial" w:hAnsi="Arial" w:cs="Arial"/>
                <w:color w:val="000000" w:themeColor="text1"/>
                <w:sz w:val="22"/>
                <w:szCs w:val="22"/>
              </w:rPr>
              <w:t xml:space="preserve"> </w:t>
            </w:r>
            <w:r w:rsidRPr="005E7040">
              <w:rPr>
                <w:rFonts w:ascii="Arial" w:hAnsi="Arial" w:cs="Arial"/>
                <w:color w:val="000000" w:themeColor="text1"/>
                <w:sz w:val="22"/>
                <w:szCs w:val="22"/>
              </w:rPr>
              <w:t>i obsługi pasażerów. Wyróżnia się także infrastrukturę ogólną lotnictwa związaną z rejestracją statków powietrznych, szkoleniem personelu latającego</w:t>
            </w:r>
            <w:r w:rsidR="00B20A52">
              <w:rPr>
                <w:rFonts w:ascii="Arial" w:hAnsi="Arial" w:cs="Arial"/>
                <w:color w:val="000000" w:themeColor="text1"/>
                <w:sz w:val="22"/>
                <w:szCs w:val="22"/>
              </w:rPr>
              <w:t>, certyfikacją i standaryzacją.</w:t>
            </w:r>
          </w:p>
          <w:p w14:paraId="05492796" w14:textId="77777777" w:rsidR="00494812" w:rsidRPr="005E7040" w:rsidRDefault="00494812"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Na infrastrukturę punktową (lotniskową) składa się:</w:t>
            </w:r>
          </w:p>
          <w:p w14:paraId="62805452" w14:textId="77777777" w:rsidR="00494812" w:rsidRPr="005E7040" w:rsidRDefault="00494812" w:rsidP="005E7040">
            <w:pPr>
              <w:pStyle w:val="Akapitzlist"/>
              <w:numPr>
                <w:ilvl w:val="0"/>
                <w:numId w:val="210"/>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wyposażenie części lotniska zamkniętej dla publiczności (ang. „</w:t>
            </w:r>
            <w:r w:rsidRPr="005E7040">
              <w:rPr>
                <w:rFonts w:ascii="Arial" w:hAnsi="Arial" w:cs="Arial"/>
                <w:i/>
                <w:color w:val="000000" w:themeColor="text1"/>
                <w:sz w:val="22"/>
                <w:szCs w:val="22"/>
              </w:rPr>
              <w:t>air side</w:t>
            </w:r>
            <w:r w:rsidRPr="005E7040">
              <w:rPr>
                <w:rFonts w:ascii="Arial" w:hAnsi="Arial" w:cs="Arial"/>
                <w:color w:val="000000" w:themeColor="text1"/>
                <w:sz w:val="22"/>
                <w:szCs w:val="22"/>
              </w:rPr>
              <w:t>”): grunt lotniska, pasy startowe i miejsca postojowe samolotów, urządzenia do rozładunku i załadunku bagażu, ładunków towarowych i poczty, urządzenia do czyszczenia samolotów, dostarczania paliwa, dostarczania zaopatrzenia pokładowego (catering);</w:t>
            </w:r>
          </w:p>
          <w:p w14:paraId="702FBBC8" w14:textId="77777777" w:rsidR="00494812" w:rsidRPr="005E7040" w:rsidRDefault="00494812" w:rsidP="005E7040">
            <w:pPr>
              <w:pStyle w:val="Akapitzlist"/>
              <w:numPr>
                <w:ilvl w:val="0"/>
                <w:numId w:val="210"/>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wyposażenie części portu lotniczego otwartej dla publiczności (ang. „</w:t>
            </w:r>
            <w:r w:rsidRPr="005E7040">
              <w:rPr>
                <w:rFonts w:ascii="Arial" w:hAnsi="Arial" w:cs="Arial"/>
                <w:i/>
                <w:color w:val="000000" w:themeColor="text1"/>
                <w:sz w:val="22"/>
                <w:szCs w:val="22"/>
              </w:rPr>
              <w:t>land side</w:t>
            </w:r>
            <w:r w:rsidRPr="005E7040">
              <w:rPr>
                <w:rFonts w:ascii="Arial" w:hAnsi="Arial" w:cs="Arial"/>
                <w:color w:val="000000" w:themeColor="text1"/>
                <w:sz w:val="22"/>
                <w:szCs w:val="22"/>
              </w:rPr>
              <w:t>”), obejmującej recepcję oraz odprawę pasażerską i bagażu (ang. „</w:t>
            </w:r>
            <w:r w:rsidRPr="005E7040">
              <w:rPr>
                <w:rFonts w:ascii="Arial" w:hAnsi="Arial" w:cs="Arial"/>
                <w:i/>
                <w:color w:val="000000" w:themeColor="text1"/>
                <w:sz w:val="22"/>
                <w:szCs w:val="22"/>
              </w:rPr>
              <w:t>check-in</w:t>
            </w:r>
            <w:r w:rsidRPr="005E7040">
              <w:rPr>
                <w:rFonts w:ascii="Arial" w:hAnsi="Arial" w:cs="Arial"/>
                <w:color w:val="000000" w:themeColor="text1"/>
                <w:sz w:val="22"/>
                <w:szCs w:val="22"/>
              </w:rPr>
              <w:t>”), pomieszczenia gastronomiczne, handlowe i sanitarne, punkty widokowe;</w:t>
            </w:r>
          </w:p>
          <w:p w14:paraId="7243DA5E" w14:textId="77777777" w:rsidR="00494812" w:rsidRPr="005E7040" w:rsidRDefault="00494812" w:rsidP="005E7040">
            <w:pPr>
              <w:pStyle w:val="Akapitzlist"/>
              <w:numPr>
                <w:ilvl w:val="0"/>
                <w:numId w:val="210"/>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wyposażenie służące bezpieczeństwu i niezawodności portu (ang. </w:t>
            </w:r>
            <w:r w:rsidR="00725FD6" w:rsidRPr="005E7040">
              <w:rPr>
                <w:rFonts w:ascii="Arial" w:hAnsi="Arial" w:cs="Arial"/>
                <w:i/>
                <w:color w:val="000000" w:themeColor="text1"/>
                <w:sz w:val="22"/>
                <w:szCs w:val="22"/>
              </w:rPr>
              <w:t>S</w:t>
            </w:r>
            <w:r w:rsidRPr="005E7040">
              <w:rPr>
                <w:rFonts w:ascii="Arial" w:hAnsi="Arial" w:cs="Arial"/>
                <w:i/>
                <w:color w:val="000000" w:themeColor="text1"/>
                <w:sz w:val="22"/>
                <w:szCs w:val="22"/>
              </w:rPr>
              <w:t>ecurity and safety services</w:t>
            </w:r>
            <w:r w:rsidRPr="005E7040">
              <w:rPr>
                <w:rFonts w:ascii="Arial" w:hAnsi="Arial" w:cs="Arial"/>
                <w:color w:val="000000" w:themeColor="text1"/>
                <w:sz w:val="22"/>
                <w:szCs w:val="22"/>
              </w:rPr>
              <w:t>): wyposażenie niezbędne dla policji, służb bezpieczeństwa, celnych, imigracyjnych, przeciwpożarowych i ratowniczych;</w:t>
            </w:r>
          </w:p>
          <w:p w14:paraId="301D4BF3" w14:textId="77777777" w:rsidR="00494812" w:rsidRPr="005E7040" w:rsidRDefault="00494812" w:rsidP="005E7040">
            <w:pPr>
              <w:pStyle w:val="Akapitzlist"/>
              <w:numPr>
                <w:ilvl w:val="0"/>
                <w:numId w:val="210"/>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infrastruktura komunikacyjna lotniska (połączenia drogowe, kolejowe, PRT i inne).</w:t>
            </w:r>
          </w:p>
          <w:p w14:paraId="6EF7703B" w14:textId="56774E73" w:rsidR="00160EC0" w:rsidRPr="005E7040" w:rsidRDefault="00494812"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Na infrastrukturę liniową składa się wyposażenie niezbędne do zarządzania ruchem lotniczym (ang. </w:t>
            </w:r>
            <w:r w:rsidRPr="005E7040">
              <w:rPr>
                <w:rFonts w:ascii="Arial" w:hAnsi="Arial" w:cs="Arial"/>
                <w:i/>
                <w:color w:val="000000" w:themeColor="text1"/>
                <w:sz w:val="22"/>
                <w:szCs w:val="22"/>
              </w:rPr>
              <w:t xml:space="preserve">Air Navigation Services </w:t>
            </w:r>
            <w:r w:rsidR="00725FD6" w:rsidRPr="005E7040">
              <w:rPr>
                <w:rFonts w:ascii="Arial" w:hAnsi="Arial" w:cs="Arial"/>
                <w:i/>
                <w:color w:val="000000" w:themeColor="text1"/>
                <w:sz w:val="22"/>
                <w:szCs w:val="22"/>
              </w:rPr>
              <w:t>–</w:t>
            </w:r>
            <w:r w:rsidRPr="005E7040">
              <w:rPr>
                <w:rFonts w:ascii="Arial" w:hAnsi="Arial" w:cs="Arial"/>
                <w:i/>
                <w:color w:val="000000" w:themeColor="text1"/>
                <w:sz w:val="22"/>
                <w:szCs w:val="22"/>
              </w:rPr>
              <w:t xml:space="preserve"> ANS</w:t>
            </w:r>
            <w:r w:rsidRPr="005E7040">
              <w:rPr>
                <w:rFonts w:ascii="Arial" w:hAnsi="Arial" w:cs="Arial"/>
                <w:color w:val="000000" w:themeColor="text1"/>
                <w:sz w:val="22"/>
                <w:szCs w:val="22"/>
              </w:rPr>
              <w:t>). ANS obejmuje następujące elementy: infrastrukturę obiektową (ośrodki kontroli ruchu lotniczego, ośrodki radiokomunikacyjne, radionawigacyjne), infrastrukturę dozorowania, w tym infrastrukturę radiolokacyjną, infrastrukturę ATM, infrastrukturę łączności i pozostałą</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67203EFB" w14:textId="77777777" w:rsidTr="005E7040">
        <w:tc>
          <w:tcPr>
            <w:tcW w:w="0" w:type="auto"/>
            <w:vAlign w:val="center"/>
          </w:tcPr>
          <w:p w14:paraId="0E096922" w14:textId="77777777" w:rsidR="00160EC0" w:rsidRPr="005E7040" w:rsidRDefault="00494812"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Inteligentne systemy transportowe (ITS)</w:t>
            </w:r>
          </w:p>
        </w:tc>
        <w:tc>
          <w:tcPr>
            <w:tcW w:w="0" w:type="auto"/>
            <w:vAlign w:val="center"/>
          </w:tcPr>
          <w:p w14:paraId="1A1307D5" w14:textId="31C59DDE" w:rsidR="00160EC0" w:rsidRPr="005E7040" w:rsidRDefault="00494812"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Szeroki zbiór różnorodnych narzędzi bazujących na technologii informatycznej, komunikacji bezprzewodowej </w:t>
            </w:r>
            <w:r w:rsidR="00B20A52">
              <w:rPr>
                <w:rFonts w:ascii="Arial" w:hAnsi="Arial" w:cs="Arial"/>
                <w:color w:val="000000" w:themeColor="text1"/>
                <w:sz w:val="22"/>
                <w:szCs w:val="22"/>
              </w:rPr>
              <w:br/>
            </w:r>
            <w:r w:rsidRPr="005E7040">
              <w:rPr>
                <w:rFonts w:ascii="Arial" w:hAnsi="Arial" w:cs="Arial"/>
                <w:color w:val="000000" w:themeColor="text1"/>
                <w:sz w:val="22"/>
                <w:szCs w:val="22"/>
              </w:rPr>
              <w:t xml:space="preserve">i elektronice pojazdowej, umożliwiających sprawne i efektywne zarządzanie infrastrukturą transportową oraz sprawną obsługę podróżnych. W takich systemach funkcjonowanie transportu jest w wysokim stopniu wspierane zintegrowanymi rozwiązaniami pomiarowymi (czujniki, sensory), telekomunikacyjnymi, informatycznymi i informacyjnymi, a także automatycznego sterowania. </w:t>
            </w:r>
            <w:r w:rsidR="00DE4C92" w:rsidRPr="005E7040">
              <w:rPr>
                <w:rFonts w:ascii="Arial" w:hAnsi="Arial" w:cs="Arial"/>
                <w:color w:val="000000" w:themeColor="text1"/>
                <w:sz w:val="22"/>
                <w:szCs w:val="22"/>
              </w:rPr>
              <w:t>D</w:t>
            </w:r>
            <w:r w:rsidRPr="005E7040">
              <w:rPr>
                <w:rFonts w:ascii="Arial" w:hAnsi="Arial" w:cs="Arial"/>
                <w:color w:val="000000" w:themeColor="text1"/>
                <w:sz w:val="22"/>
                <w:szCs w:val="22"/>
              </w:rPr>
              <w:t>zięki systemom ITS jest możliwe zmniejszenie o 40-80% ryzyka wypadków związanych z ruchem pojazdów samochodowych, obniżenie o 5-10% wielkości szkodliwych emisji silnikowych do atmosfery, obniżenie o 15-20% jednostkowego zużycia bezpośredniego energii w transporcie z czym wiąże się adekwatna obniżka jednostkowych kosztów eksploatacji środków transportu, zwiększenie o 20-30% przepustowości istniejących elementów transportowej infrastruktury liniowej i punktowej (bez inwestowania w dodatkowe pasy ruchu), zmniejszenie o 40-70% strat czasu w przejazdach na obszarach wysoko zurbanizowanych</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60127E0E" w14:textId="77777777" w:rsidTr="005E7040">
        <w:tc>
          <w:tcPr>
            <w:tcW w:w="0" w:type="auto"/>
            <w:vAlign w:val="center"/>
          </w:tcPr>
          <w:p w14:paraId="5B1D23C2" w14:textId="77777777" w:rsidR="00160EC0" w:rsidRPr="005E7040" w:rsidRDefault="00787A98"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JST</w:t>
            </w:r>
          </w:p>
        </w:tc>
        <w:tc>
          <w:tcPr>
            <w:tcW w:w="0" w:type="auto"/>
            <w:vAlign w:val="center"/>
          </w:tcPr>
          <w:p w14:paraId="07F1BDFE" w14:textId="191B9F6C" w:rsidR="00160EC0" w:rsidRPr="005E7040" w:rsidRDefault="00787A98"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Skrót od jednostki samorządu terytorialnego. Podstawową jednostką samorządu terytorialnego w Polsce jest gmina. Gmina wykonuje wszystkie zadania samorządu terytorialnego nie zastrzeżone dla innych jednostek samorządu terytorialnego: powiatu i województwa. Jednostki samorządu terytorialnego mają osobowość prawną. Przysługują im prawo własności i inne prawa majątkowe. Jednostkom samorządu terytorialnego zapewnia się udział w dochodach publicznych odpowiednio do przypadających im zadań. Dochodami jednostek samorządu terytorialnego są ich dochody własne oraz subwencje ogólne i dotacje celowe z budżetu państwa. Jednostki samorządu terytorialnego wykonują swoje zadania za pośrednictwem organów stanowiących i wykonawczych</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379BBA31" w14:textId="77777777" w:rsidTr="005E7040">
        <w:tc>
          <w:tcPr>
            <w:tcW w:w="0" w:type="auto"/>
            <w:vAlign w:val="center"/>
          </w:tcPr>
          <w:p w14:paraId="407AD58C" w14:textId="77777777" w:rsidR="00160EC0" w:rsidRPr="005E7040" w:rsidRDefault="00787A98"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Kabotaż</w:t>
            </w:r>
          </w:p>
        </w:tc>
        <w:tc>
          <w:tcPr>
            <w:tcW w:w="0" w:type="auto"/>
            <w:vAlign w:val="center"/>
          </w:tcPr>
          <w:p w14:paraId="435F3C5E" w14:textId="3BEBED40" w:rsidR="00160EC0" w:rsidRPr="005E7040" w:rsidRDefault="00787A98"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Jedna z form eksportu usług transportowych polegająca na wykonywaniu przewozów ładunków lub osób między punktami położonymi wyłącznie poza terytorium kraju, w którym przewoźnik ma swą siedzibę. Dawniej pojęcie to odnosiło się tylko do morskiej żeglugi przybrzeżnej między portami położonymi w obrębie tego samego państwa. Liberalizacja dostępu do rynków transportowych w Unii Europejskiej doprowadziła do rozciągnięcia tego pojęcia na wszystkie gałęzie transportu (poza rurociągowym). Największe emocje budził problem liberalizacji kabotażu samochodowego, którego nadmierny rozwój wynikał z istnienia w niektórych krajach dużych nadwyżek potencjału przewozowego i dużych różnic cen usług między przedsiębiorstwami swobodnie konkurującymi na zliberalizowanym rynku (z tego powodu nowym państwom członkowskim UE były narzucone okresy przejściowego ograniczenia prawa do kabotażu samochodowego). Obecnie w UE istnieją możliwości wykonywania przewozów kabotażowych także </w:t>
            </w:r>
            <w:r w:rsidR="00B20A52">
              <w:rPr>
                <w:rFonts w:ascii="Arial" w:hAnsi="Arial" w:cs="Arial"/>
                <w:color w:val="000000" w:themeColor="text1"/>
                <w:sz w:val="22"/>
                <w:szCs w:val="22"/>
              </w:rPr>
              <w:br/>
            </w:r>
            <w:r w:rsidRPr="005E7040">
              <w:rPr>
                <w:rFonts w:ascii="Arial" w:hAnsi="Arial" w:cs="Arial"/>
                <w:color w:val="000000" w:themeColor="text1"/>
                <w:sz w:val="22"/>
                <w:szCs w:val="22"/>
              </w:rPr>
              <w:t>w transporcie kolejowym, lotniczym i wodnym śródlądowym. Rozróżnia się jego dwie formy: duży kabotaż wykonywany między punktami początkowymi i docelowymi przewozu położonymi w dwóch różnych krajach (tożsamy z pojęciem cross-trade) i mały kabotaż wykonywany w obrębie jednego państwa</w:t>
            </w:r>
            <w:r w:rsidR="001D5852" w:rsidRPr="005E7040">
              <w:rPr>
                <w:rFonts w:ascii="Arial" w:hAnsi="Arial" w:cs="Arial"/>
                <w:color w:val="000000" w:themeColor="text1"/>
                <w:sz w:val="22"/>
                <w:szCs w:val="22"/>
              </w:rPr>
              <w:t xml:space="preserve"> (cytat za: </w:t>
            </w:r>
            <w:r w:rsidR="001D5852" w:rsidRPr="005E7040">
              <w:rPr>
                <w:rFonts w:ascii="Arial" w:hAnsi="Arial" w:cs="Arial"/>
                <w:i/>
                <w:iCs/>
                <w:color w:val="000000" w:themeColor="text1"/>
                <w:sz w:val="22"/>
                <w:szCs w:val="22"/>
              </w:rPr>
              <w:t>Słownik pojęć Strategii rozwoju transportu do roku 2020 (z perspektywą do 2030 roku)</w:t>
            </w:r>
            <w:r w:rsidR="001D5852" w:rsidRPr="005E7040">
              <w:rPr>
                <w:rFonts w:ascii="Arial" w:hAnsi="Arial" w:cs="Arial"/>
                <w:color w:val="000000" w:themeColor="text1"/>
                <w:sz w:val="22"/>
                <w:szCs w:val="22"/>
              </w:rPr>
              <w:t>.</w:t>
            </w:r>
          </w:p>
        </w:tc>
      </w:tr>
      <w:tr w:rsidR="006F4FD2" w:rsidRPr="005E7040" w14:paraId="62914072" w14:textId="77777777" w:rsidTr="005E7040">
        <w:tc>
          <w:tcPr>
            <w:tcW w:w="0" w:type="auto"/>
            <w:vAlign w:val="center"/>
          </w:tcPr>
          <w:p w14:paraId="6C42ADAF" w14:textId="77777777" w:rsidR="00160EC0" w:rsidRPr="005E7040" w:rsidRDefault="00787A98"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Koleje Dużych Prędkości</w:t>
            </w:r>
          </w:p>
        </w:tc>
        <w:tc>
          <w:tcPr>
            <w:tcW w:w="0" w:type="auto"/>
            <w:vAlign w:val="center"/>
          </w:tcPr>
          <w:p w14:paraId="550E0224" w14:textId="77777777" w:rsidR="00787A98" w:rsidRPr="005E7040" w:rsidRDefault="00787A98"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Podsystem kolejowych przewozów pasażerskich charakteryzujący się znacznie większą prędkością handlową pociągów niż pozostałe rodzaje przewozów. W Unii Europejskiej kryteria zaliczenia do kolei dużych prędkości zostały określone w Załączniku I do Dyrektywy 96/48 w sprawie interoperacyjności transeuropejskiego systemu kolei dużych prędkości:</w:t>
            </w:r>
          </w:p>
          <w:p w14:paraId="15750AC1" w14:textId="77777777" w:rsidR="00787A98" w:rsidRPr="005E7040" w:rsidRDefault="00787A98" w:rsidP="005E7040">
            <w:pPr>
              <w:pStyle w:val="Akapitzlist"/>
              <w:numPr>
                <w:ilvl w:val="0"/>
                <w:numId w:val="211"/>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jako linie zbudowane specjalnie dla dużych prędkości, pozwalające na osiąganie prędkości równej lub większej niż 250 km/h (i odpowiadający temu wymogowi tabor),</w:t>
            </w:r>
          </w:p>
          <w:p w14:paraId="462A4243" w14:textId="77777777" w:rsidR="00787A98" w:rsidRPr="005E7040" w:rsidRDefault="00787A98" w:rsidP="005E7040">
            <w:pPr>
              <w:pStyle w:val="Akapitzlist"/>
              <w:numPr>
                <w:ilvl w:val="0"/>
                <w:numId w:val="211"/>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jako linie o standardzie dostosowanym do dużych prędkości, pozwalające na osiąganie prędkości rzędu 200 km/h (i odpowiadający temu wymogowi tabor),</w:t>
            </w:r>
          </w:p>
          <w:p w14:paraId="5E3CEE5D" w14:textId="71348CF3" w:rsidR="00160EC0" w:rsidRPr="005E7040" w:rsidRDefault="00787A98" w:rsidP="005E7040">
            <w:pPr>
              <w:pStyle w:val="Akapitzlist"/>
              <w:numPr>
                <w:ilvl w:val="0"/>
                <w:numId w:val="211"/>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jako linie o standardzie dostosowanym do dużych prędkości, które mają szczególne cechy będące rezultatem ograniczeń topograficznych lub planowania przestrzennego miast, na których prędkość musi być dostosowana do warunków (a tabor </w:t>
            </w:r>
            <w:r w:rsidR="00725FD6" w:rsidRPr="005E7040">
              <w:rPr>
                <w:rFonts w:ascii="Arial" w:hAnsi="Arial" w:cs="Arial"/>
                <w:color w:val="000000" w:themeColor="text1"/>
                <w:sz w:val="22"/>
                <w:szCs w:val="22"/>
              </w:rPr>
              <w:t>–</w:t>
            </w:r>
            <w:r w:rsidRPr="005E7040">
              <w:rPr>
                <w:rFonts w:ascii="Arial" w:hAnsi="Arial" w:cs="Arial"/>
                <w:color w:val="000000" w:themeColor="text1"/>
                <w:sz w:val="22"/>
                <w:szCs w:val="22"/>
              </w:rPr>
              <w:t xml:space="preserve"> przy największej możliwej prędkości na pozostałych liniach). W innych krajach </w:t>
            </w:r>
            <w:bookmarkStart w:id="447" w:name="_Hlk101364977"/>
            <w:r w:rsidRPr="005E7040">
              <w:rPr>
                <w:rFonts w:ascii="Arial" w:hAnsi="Arial" w:cs="Arial"/>
                <w:color w:val="000000" w:themeColor="text1"/>
                <w:sz w:val="22"/>
                <w:szCs w:val="22"/>
              </w:rPr>
              <w:t>(</w:t>
            </w:r>
            <w:r w:rsidR="00FF3C03" w:rsidRPr="005E7040">
              <w:rPr>
                <w:rFonts w:ascii="Arial" w:hAnsi="Arial" w:cs="Arial"/>
                <w:color w:val="000000" w:themeColor="text1"/>
                <w:sz w:val="22"/>
                <w:szCs w:val="22"/>
              </w:rPr>
              <w:t>np.</w:t>
            </w:r>
            <w:r w:rsidRPr="005E7040">
              <w:rPr>
                <w:rFonts w:ascii="Arial" w:hAnsi="Arial" w:cs="Arial"/>
                <w:color w:val="000000" w:themeColor="text1"/>
                <w:sz w:val="22"/>
                <w:szCs w:val="22"/>
              </w:rPr>
              <w:t xml:space="preserve"> w USA)</w:t>
            </w:r>
            <w:bookmarkEnd w:id="447"/>
            <w:r w:rsidRPr="005E7040">
              <w:rPr>
                <w:rFonts w:ascii="Arial" w:hAnsi="Arial" w:cs="Arial"/>
                <w:color w:val="000000" w:themeColor="text1"/>
                <w:sz w:val="22"/>
                <w:szCs w:val="22"/>
              </w:rPr>
              <w:t xml:space="preserve"> stosuje się niższe progi prędkości kwalifikującej linię do kategorii KDP. Budowa KDP ma uzasadnienie </w:t>
            </w:r>
            <w:r w:rsidR="00B20A52">
              <w:rPr>
                <w:rFonts w:ascii="Arial" w:hAnsi="Arial" w:cs="Arial"/>
                <w:color w:val="000000" w:themeColor="text1"/>
                <w:sz w:val="22"/>
                <w:szCs w:val="22"/>
              </w:rPr>
              <w:br/>
            </w:r>
            <w:r w:rsidRPr="005E7040">
              <w:rPr>
                <w:rFonts w:ascii="Arial" w:hAnsi="Arial" w:cs="Arial"/>
                <w:color w:val="000000" w:themeColor="text1"/>
                <w:sz w:val="22"/>
                <w:szCs w:val="22"/>
              </w:rPr>
              <w:t xml:space="preserve">w relacjach, w których istnieje bardzo duży popyt na przejazdy pasażerskie (powyżej 5 mln osób rocznie), </w:t>
            </w:r>
            <w:r w:rsidR="00B20A52">
              <w:rPr>
                <w:rFonts w:ascii="Arial" w:hAnsi="Arial" w:cs="Arial"/>
                <w:color w:val="000000" w:themeColor="text1"/>
                <w:sz w:val="22"/>
                <w:szCs w:val="22"/>
              </w:rPr>
              <w:br/>
            </w:r>
            <w:r w:rsidRPr="005E7040">
              <w:rPr>
                <w:rFonts w:ascii="Arial" w:hAnsi="Arial" w:cs="Arial"/>
                <w:color w:val="000000" w:themeColor="text1"/>
                <w:sz w:val="22"/>
                <w:szCs w:val="22"/>
              </w:rPr>
              <w:t>a odległości największej liczby przejazdów zamykają się w przedziale 200-800 km</w:t>
            </w:r>
            <w:r w:rsidR="00755E67" w:rsidRPr="005E7040">
              <w:rPr>
                <w:rFonts w:ascii="Arial" w:hAnsi="Arial" w:cs="Arial"/>
                <w:color w:val="000000" w:themeColor="text1"/>
                <w:sz w:val="22"/>
                <w:szCs w:val="22"/>
              </w:rPr>
              <w:t xml:space="preserve"> (cytat za: </w:t>
            </w:r>
            <w:r w:rsidR="00755E67" w:rsidRPr="005E7040">
              <w:rPr>
                <w:rFonts w:ascii="Arial" w:hAnsi="Arial" w:cs="Arial"/>
                <w:i/>
                <w:iCs/>
                <w:color w:val="000000" w:themeColor="text1"/>
                <w:sz w:val="22"/>
                <w:szCs w:val="22"/>
              </w:rPr>
              <w:t>Słownik pojęć Strategii rozwoju transportu do roku 2020 (z perspektywą do 2030 roku)</w:t>
            </w:r>
            <w:r w:rsidR="00755E67" w:rsidRPr="005E7040">
              <w:rPr>
                <w:rFonts w:ascii="Arial" w:hAnsi="Arial" w:cs="Arial"/>
                <w:color w:val="000000" w:themeColor="text1"/>
                <w:sz w:val="22"/>
                <w:szCs w:val="22"/>
              </w:rPr>
              <w:t>.</w:t>
            </w:r>
          </w:p>
        </w:tc>
      </w:tr>
      <w:tr w:rsidR="006F4FD2" w:rsidRPr="005E7040" w14:paraId="27B88092" w14:textId="77777777" w:rsidTr="005E7040">
        <w:tc>
          <w:tcPr>
            <w:tcW w:w="0" w:type="auto"/>
            <w:vAlign w:val="center"/>
          </w:tcPr>
          <w:p w14:paraId="79624D5F" w14:textId="77777777" w:rsidR="00160EC0" w:rsidRPr="005E7040" w:rsidRDefault="003772B9"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Komunikacja miejska</w:t>
            </w:r>
          </w:p>
        </w:tc>
        <w:tc>
          <w:tcPr>
            <w:tcW w:w="0" w:type="auto"/>
            <w:vAlign w:val="center"/>
          </w:tcPr>
          <w:p w14:paraId="4B3F2E4C" w14:textId="77777777" w:rsidR="003772B9" w:rsidRPr="005E7040" w:rsidRDefault="003772B9"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Zgodnie z definicją zawartą w Ustawie z 16 grudnia 2010 r. o publicznym transporcie zbiorowym komunikacją miejską są gminne przewozy pasażerskie wykonywane w granicach administracyjnych miasta, albo:</w:t>
            </w:r>
          </w:p>
          <w:p w14:paraId="51DFEBF4" w14:textId="77777777" w:rsidR="003772B9" w:rsidRPr="005E7040" w:rsidRDefault="003772B9" w:rsidP="005E7040">
            <w:pPr>
              <w:pStyle w:val="Akapitzlist"/>
              <w:numPr>
                <w:ilvl w:val="0"/>
                <w:numId w:val="212"/>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miasta i gminy,</w:t>
            </w:r>
          </w:p>
          <w:p w14:paraId="166BE162" w14:textId="77777777" w:rsidR="003772B9" w:rsidRPr="005E7040" w:rsidRDefault="003772B9" w:rsidP="005E7040">
            <w:pPr>
              <w:pStyle w:val="Akapitzlist"/>
              <w:numPr>
                <w:ilvl w:val="0"/>
                <w:numId w:val="212"/>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miast,</w:t>
            </w:r>
          </w:p>
          <w:p w14:paraId="43B23C1A" w14:textId="15C7C782" w:rsidR="00160EC0" w:rsidRPr="005E7040" w:rsidRDefault="003772B9" w:rsidP="005E7040">
            <w:pPr>
              <w:pStyle w:val="Akapitzlist"/>
              <w:numPr>
                <w:ilvl w:val="0"/>
                <w:numId w:val="212"/>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miast i gmin sąsiadujących </w:t>
            </w:r>
            <w:r w:rsidR="00725FD6" w:rsidRPr="005E7040">
              <w:rPr>
                <w:rFonts w:ascii="Arial" w:hAnsi="Arial" w:cs="Arial"/>
                <w:color w:val="000000" w:themeColor="text1"/>
                <w:sz w:val="22"/>
                <w:szCs w:val="22"/>
              </w:rPr>
              <w:t>–</w:t>
            </w:r>
            <w:r w:rsidRPr="005E7040">
              <w:rPr>
                <w:rFonts w:ascii="Arial" w:hAnsi="Arial" w:cs="Arial"/>
                <w:color w:val="000000" w:themeColor="text1"/>
                <w:sz w:val="22"/>
                <w:szCs w:val="22"/>
              </w:rPr>
              <w:t xml:space="preserve"> jeżeli zostało zawarte porozumienie lub został utworzony związek międzygminny </w:t>
            </w:r>
            <w:r w:rsidR="00B20A52">
              <w:rPr>
                <w:rFonts w:ascii="Arial" w:hAnsi="Arial" w:cs="Arial"/>
                <w:color w:val="000000" w:themeColor="text1"/>
                <w:sz w:val="22"/>
                <w:szCs w:val="22"/>
              </w:rPr>
              <w:br/>
            </w:r>
            <w:r w:rsidRPr="005E7040">
              <w:rPr>
                <w:rFonts w:ascii="Arial" w:hAnsi="Arial" w:cs="Arial"/>
                <w:color w:val="000000" w:themeColor="text1"/>
                <w:sz w:val="22"/>
                <w:szCs w:val="22"/>
              </w:rPr>
              <w:t>w celu wspólnej realizacji publicznego transportu zbiorowego. Angielskimi odpowiednikami tego pojęcia są ang.</w:t>
            </w:r>
            <w:r w:rsidRPr="005E7040">
              <w:rPr>
                <w:rFonts w:ascii="Arial" w:hAnsi="Arial" w:cs="Arial"/>
                <w:i/>
                <w:color w:val="000000" w:themeColor="text1"/>
                <w:sz w:val="22"/>
                <w:szCs w:val="22"/>
              </w:rPr>
              <w:t xml:space="preserve"> Public Transport lub Public Transit</w:t>
            </w:r>
            <w:r w:rsidRPr="005E7040">
              <w:rPr>
                <w:rFonts w:ascii="Arial" w:hAnsi="Arial" w:cs="Arial"/>
                <w:color w:val="000000" w:themeColor="text1"/>
                <w:sz w:val="22"/>
                <w:szCs w:val="22"/>
              </w:rPr>
              <w:t xml:space="preserve">, a także ang. </w:t>
            </w:r>
            <w:r w:rsidRPr="005E7040">
              <w:rPr>
                <w:rFonts w:ascii="Arial" w:hAnsi="Arial" w:cs="Arial"/>
                <w:i/>
                <w:color w:val="000000" w:themeColor="text1"/>
                <w:sz w:val="22"/>
                <w:szCs w:val="22"/>
              </w:rPr>
              <w:t>Urban Transport</w:t>
            </w:r>
            <w:r w:rsidR="00755E67" w:rsidRPr="005E7040">
              <w:rPr>
                <w:rFonts w:ascii="Arial" w:hAnsi="Arial" w:cs="Arial"/>
                <w:i/>
                <w:color w:val="000000" w:themeColor="text1"/>
                <w:sz w:val="22"/>
                <w:szCs w:val="22"/>
              </w:rPr>
              <w:t xml:space="preserve"> </w:t>
            </w:r>
            <w:r w:rsidR="00755E67" w:rsidRPr="005E7040">
              <w:rPr>
                <w:rFonts w:ascii="Arial" w:hAnsi="Arial" w:cs="Arial"/>
                <w:color w:val="000000" w:themeColor="text1"/>
                <w:sz w:val="22"/>
                <w:szCs w:val="22"/>
              </w:rPr>
              <w:t xml:space="preserve">(cytat za: </w:t>
            </w:r>
            <w:r w:rsidR="00755E67" w:rsidRPr="005E7040">
              <w:rPr>
                <w:rFonts w:ascii="Arial" w:hAnsi="Arial" w:cs="Arial"/>
                <w:i/>
                <w:iCs/>
                <w:color w:val="000000" w:themeColor="text1"/>
                <w:sz w:val="22"/>
                <w:szCs w:val="22"/>
              </w:rPr>
              <w:t>Słownik pojęć Strategii rozwoju transportu do roku 2020 (z perspektywą do 2030 roku)</w:t>
            </w:r>
            <w:r w:rsidR="00755E67" w:rsidRPr="005E7040">
              <w:rPr>
                <w:rFonts w:ascii="Arial" w:hAnsi="Arial" w:cs="Arial"/>
                <w:color w:val="000000" w:themeColor="text1"/>
                <w:sz w:val="22"/>
                <w:szCs w:val="22"/>
              </w:rPr>
              <w:t>.</w:t>
            </w:r>
          </w:p>
        </w:tc>
      </w:tr>
      <w:tr w:rsidR="006F4FD2" w:rsidRPr="005E7040" w14:paraId="2B232F2F" w14:textId="77777777" w:rsidTr="005E7040">
        <w:tc>
          <w:tcPr>
            <w:tcW w:w="0" w:type="auto"/>
            <w:vAlign w:val="center"/>
          </w:tcPr>
          <w:p w14:paraId="6C2933AF" w14:textId="77777777" w:rsidR="00160EC0" w:rsidRPr="005E7040" w:rsidRDefault="003772B9"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Kongestia transportowa (Zatłoczenie)</w:t>
            </w:r>
          </w:p>
        </w:tc>
        <w:tc>
          <w:tcPr>
            <w:tcW w:w="0" w:type="auto"/>
            <w:vAlign w:val="center"/>
          </w:tcPr>
          <w:p w14:paraId="03B0A7D4" w14:textId="4D2C8F1B" w:rsidR="00160EC0" w:rsidRPr="005E7040" w:rsidRDefault="003772B9"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Chroniczne zjawisko większego natężenia ruchu środków transportu od przepustowości wykorzystywanej przez nie infrastruktury. Występuje na niektórych odcinkach sieci i węzłach transportowych, szczególnie na obszarach wysoko zurbanizowanych lub na trasach łączących ze sobą ośrodki o dużej sile wzajemnego ciążenia. Objawia się dużym zmniejszeniem średniej prędkości ruchu, długotrwałymi zatorami, rozlewaniem się na sieci dojazdowe. Jest trudna do przezwyciężenia ze względu na ograniczenia przestrzenne rozbudowy przeciążonej infrastruktury i lawinowe narastanie ruchu po modernizacji odcinków dotkniętych kongestią</w:t>
            </w:r>
            <w:r w:rsidR="00755E67" w:rsidRPr="005E7040">
              <w:rPr>
                <w:rFonts w:ascii="Arial" w:hAnsi="Arial" w:cs="Arial"/>
                <w:color w:val="000000" w:themeColor="text1"/>
                <w:sz w:val="22"/>
                <w:szCs w:val="22"/>
              </w:rPr>
              <w:t xml:space="preserve"> (cytat za: </w:t>
            </w:r>
            <w:r w:rsidR="00755E67" w:rsidRPr="005E7040">
              <w:rPr>
                <w:rFonts w:ascii="Arial" w:hAnsi="Arial" w:cs="Arial"/>
                <w:i/>
                <w:iCs/>
                <w:color w:val="000000" w:themeColor="text1"/>
                <w:sz w:val="22"/>
                <w:szCs w:val="22"/>
              </w:rPr>
              <w:t>Słownik pojęć Strategii rozwoju transportu do roku 2020 (z perspektywą do 2030 roku)</w:t>
            </w:r>
            <w:r w:rsidR="00755E67" w:rsidRPr="005E7040">
              <w:rPr>
                <w:rFonts w:ascii="Arial" w:hAnsi="Arial" w:cs="Arial"/>
                <w:color w:val="000000" w:themeColor="text1"/>
                <w:sz w:val="22"/>
                <w:szCs w:val="22"/>
              </w:rPr>
              <w:t>.</w:t>
            </w:r>
          </w:p>
        </w:tc>
      </w:tr>
      <w:tr w:rsidR="006F4FD2" w:rsidRPr="005E7040" w14:paraId="4CF23CC4" w14:textId="77777777" w:rsidTr="005E7040">
        <w:tc>
          <w:tcPr>
            <w:tcW w:w="0" w:type="auto"/>
            <w:vAlign w:val="center"/>
          </w:tcPr>
          <w:p w14:paraId="7FD5D644" w14:textId="77777777" w:rsidR="00160EC0" w:rsidRPr="005E7040" w:rsidRDefault="003772B9"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Kontenerowe terminale intermodalne</w:t>
            </w:r>
          </w:p>
        </w:tc>
        <w:tc>
          <w:tcPr>
            <w:tcW w:w="0" w:type="auto"/>
            <w:vAlign w:val="center"/>
          </w:tcPr>
          <w:p w14:paraId="4989F7BF" w14:textId="417ACF49" w:rsidR="00160EC0" w:rsidRPr="005E7040" w:rsidRDefault="003772B9"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Stanowią podstawową infrastrukturę punktową w sieciach transportu intermodalnego Są wyposażone w odpowiednie urządzenia przeładunkowe umożliwiające przeładunek jednostek intermodalnych pomiędzy różnymi rodzajami transportu. Są zlokalizowane w dużych portach morskich i ważnych lądowych centrach dystrybucyjnych. Największą wydajnością, szybkością operacji i niskimi kosztami jednostkowymi charakteryzują się w pełni zautomatyzowane kontenerowe terminale morskie</w:t>
            </w:r>
            <w:r w:rsidR="00755E67" w:rsidRPr="005E7040">
              <w:rPr>
                <w:rFonts w:ascii="Arial" w:hAnsi="Arial" w:cs="Arial"/>
                <w:color w:val="000000" w:themeColor="text1"/>
                <w:sz w:val="22"/>
                <w:szCs w:val="22"/>
              </w:rPr>
              <w:t xml:space="preserve"> (cytat za: </w:t>
            </w:r>
            <w:r w:rsidR="00755E67" w:rsidRPr="005E7040">
              <w:rPr>
                <w:rFonts w:ascii="Arial" w:hAnsi="Arial" w:cs="Arial"/>
                <w:i/>
                <w:iCs/>
                <w:color w:val="000000" w:themeColor="text1"/>
                <w:sz w:val="22"/>
                <w:szCs w:val="22"/>
              </w:rPr>
              <w:t>Słownik pojęć Strategii rozwoju transportu do roku 2020 (z perspektywą do 2030 roku)</w:t>
            </w:r>
            <w:r w:rsidR="00755E67" w:rsidRPr="005E7040">
              <w:rPr>
                <w:rFonts w:ascii="Arial" w:hAnsi="Arial" w:cs="Arial"/>
                <w:color w:val="000000" w:themeColor="text1"/>
                <w:sz w:val="22"/>
                <w:szCs w:val="22"/>
              </w:rPr>
              <w:t>.</w:t>
            </w:r>
          </w:p>
        </w:tc>
      </w:tr>
      <w:tr w:rsidR="006F4FD2" w:rsidRPr="005E7040" w14:paraId="4B7F47D9" w14:textId="77777777" w:rsidTr="005E7040">
        <w:tc>
          <w:tcPr>
            <w:tcW w:w="0" w:type="auto"/>
            <w:vAlign w:val="center"/>
          </w:tcPr>
          <w:p w14:paraId="04121801" w14:textId="77777777" w:rsidR="00160EC0" w:rsidRPr="005E7040" w:rsidRDefault="003772B9"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Koszty zewnętrzne transportu</w:t>
            </w:r>
          </w:p>
        </w:tc>
        <w:tc>
          <w:tcPr>
            <w:tcW w:w="0" w:type="auto"/>
            <w:vAlign w:val="center"/>
          </w:tcPr>
          <w:p w14:paraId="452F87F3" w14:textId="0D3899F8" w:rsidR="00160EC0" w:rsidRPr="005E7040" w:rsidRDefault="00C274A2"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Koszty zewnętrzne transportu są ustalane poza systemem księgowości przedsiębiorstwa transportowego i zgodnie </w:t>
            </w:r>
            <w:r w:rsidR="00B20A52">
              <w:rPr>
                <w:rFonts w:ascii="Arial" w:hAnsi="Arial" w:cs="Arial"/>
                <w:color w:val="000000" w:themeColor="text1"/>
                <w:sz w:val="22"/>
                <w:szCs w:val="22"/>
              </w:rPr>
              <w:br/>
            </w:r>
            <w:r w:rsidRPr="005E7040">
              <w:rPr>
                <w:rFonts w:ascii="Arial" w:hAnsi="Arial" w:cs="Arial"/>
                <w:color w:val="000000" w:themeColor="text1"/>
                <w:sz w:val="22"/>
                <w:szCs w:val="22"/>
              </w:rPr>
              <w:t>z przepisami podatkowymi nie stanowią kosztów uzyskania przychodu tego przedsiębiorstwa. W większości przypadków nie obejmują one konkretnych wydatków związanych z daną usługą transportową, a są jedynie skalkulowaną wielkością zysków i strat osób trzecich z tytułu degradacji środowiska, strat czasu i innych utraconych zasobów oraz wartości, pośrednio związanych ze świadczeniem tej usługi. Pewne wydatki pieniężne osób trzecich zaliczane do kosztów zewnętrznych danej usługi transportowej jednak powstają – są nimi przykładowo niektóre wydatki na naprawy uszkodzonych przypadkowo pojazdów (zwłaszcza nie objęte ubezpieczeniem), wydatki wywołane strajkami transportowców</w:t>
            </w:r>
            <w:r w:rsidR="00AF4F3B" w:rsidRPr="005E7040">
              <w:rPr>
                <w:rFonts w:ascii="Arial" w:hAnsi="Arial" w:cs="Arial"/>
                <w:color w:val="000000" w:themeColor="text1"/>
                <w:sz w:val="22"/>
                <w:szCs w:val="22"/>
              </w:rPr>
              <w:t xml:space="preserve">. </w:t>
            </w:r>
            <w:r w:rsidRPr="005E7040">
              <w:rPr>
                <w:rFonts w:ascii="Arial" w:hAnsi="Arial" w:cs="Arial"/>
                <w:color w:val="000000" w:themeColor="text1"/>
                <w:sz w:val="22"/>
                <w:szCs w:val="22"/>
              </w:rPr>
              <w:t>Jeśli w Unii Europejskiej powstanie proponowany powszechny system internalizacji tych kosztów, ustalone na ich bazie opłaty będą pomniejszały zyski brutto przedsiębiorstw, co może spowodować ogólny wzrost cen usług transportowych na rynku.</w:t>
            </w:r>
          </w:p>
        </w:tc>
      </w:tr>
      <w:tr w:rsidR="006F4FD2" w:rsidRPr="005E7040" w14:paraId="3BE75D79" w14:textId="77777777" w:rsidTr="005E7040">
        <w:tc>
          <w:tcPr>
            <w:tcW w:w="0" w:type="auto"/>
            <w:vAlign w:val="center"/>
          </w:tcPr>
          <w:p w14:paraId="6CF4301D" w14:textId="77777777" w:rsidR="00160EC0" w:rsidRPr="005E7040" w:rsidRDefault="00EB00B2"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Logistyka miejska</w:t>
            </w:r>
          </w:p>
        </w:tc>
        <w:tc>
          <w:tcPr>
            <w:tcW w:w="0" w:type="auto"/>
            <w:vAlign w:val="center"/>
          </w:tcPr>
          <w:p w14:paraId="6EE6B208" w14:textId="4747CADB" w:rsidR="00EB00B2" w:rsidRPr="005E7040" w:rsidRDefault="00EB00B2"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Logistyka miejska skupia się przede wszystkim na planowaniu, koordynowaniu i kontrolowaniu procesów, odbywających się w obrębie danego miasta, obejmujących przemieszczanie osób, przepływy fizyczne dóbr (surowców, półproduktów, towarów, odpadów</w:t>
            </w:r>
            <w:r w:rsidR="00AF4F3B" w:rsidRPr="005E7040">
              <w:rPr>
                <w:rFonts w:ascii="Arial" w:hAnsi="Arial" w:cs="Arial"/>
                <w:color w:val="000000" w:themeColor="text1"/>
                <w:sz w:val="22"/>
                <w:szCs w:val="22"/>
              </w:rPr>
              <w:t xml:space="preserve"> </w:t>
            </w:r>
            <w:r w:rsidRPr="005E7040">
              <w:rPr>
                <w:rFonts w:ascii="Arial" w:hAnsi="Arial" w:cs="Arial"/>
                <w:color w:val="000000" w:themeColor="text1"/>
                <w:sz w:val="22"/>
                <w:szCs w:val="22"/>
              </w:rPr>
              <w:t>oraz informacji z nimi związanych w sposób optymalizujący koszty, minimalizujący kongestię i podnoszący jakość życia mieszkańców.</w:t>
            </w:r>
          </w:p>
          <w:p w14:paraId="2348D385" w14:textId="049CEEF8" w:rsidR="00160EC0" w:rsidRPr="005E7040" w:rsidRDefault="00EB00B2"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Logistyka miejska jest newralgicznym obszarem poszukiwania rozwiązań innowacyjnych z uwagi na dużą koncentrację jej procesów na obszarach zurbanizowanych i zakłócenia, jakie ona powoduje w życiu miast. Innowacje polegają na tworzeniu ładu przestrzennego w zakresie operacji logistycznych tworzenie ośrodków konsolidacji towarów), stosowaniu zaawansowanych technik śledzenia ładunków i zarządzania na odległość ich dostawami, optymalizacji </w:t>
            </w:r>
            <w:r w:rsidR="00B20A52">
              <w:rPr>
                <w:rFonts w:ascii="Arial" w:hAnsi="Arial" w:cs="Arial"/>
                <w:color w:val="000000" w:themeColor="text1"/>
                <w:sz w:val="22"/>
                <w:szCs w:val="22"/>
              </w:rPr>
              <w:br/>
            </w:r>
            <w:r w:rsidRPr="005E7040">
              <w:rPr>
                <w:rFonts w:ascii="Arial" w:hAnsi="Arial" w:cs="Arial"/>
                <w:color w:val="000000" w:themeColor="text1"/>
                <w:sz w:val="22"/>
                <w:szCs w:val="22"/>
              </w:rPr>
              <w:t>w czasie wykonywania operacji logistycznych nieuciążliwe dostawy nocne specjalnym cichym taborem)</w:t>
            </w:r>
            <w:r w:rsidR="00755E67" w:rsidRPr="005E7040">
              <w:rPr>
                <w:rFonts w:ascii="Arial" w:hAnsi="Arial" w:cs="Arial"/>
                <w:color w:val="000000" w:themeColor="text1"/>
                <w:sz w:val="22"/>
                <w:szCs w:val="22"/>
              </w:rPr>
              <w:t xml:space="preserve"> (cytat za: </w:t>
            </w:r>
            <w:r w:rsidR="00755E67" w:rsidRPr="005E7040">
              <w:rPr>
                <w:rFonts w:ascii="Arial" w:hAnsi="Arial" w:cs="Arial"/>
                <w:i/>
                <w:iCs/>
                <w:color w:val="000000" w:themeColor="text1"/>
                <w:sz w:val="22"/>
                <w:szCs w:val="22"/>
              </w:rPr>
              <w:t>Słownik pojęć Strategii rozwoju transportu do roku 2020 (z perspektywą do 2030 roku)</w:t>
            </w:r>
            <w:r w:rsidR="00755E67" w:rsidRPr="005E7040">
              <w:rPr>
                <w:rFonts w:ascii="Arial" w:hAnsi="Arial" w:cs="Arial"/>
                <w:color w:val="000000" w:themeColor="text1"/>
                <w:sz w:val="22"/>
                <w:szCs w:val="22"/>
              </w:rPr>
              <w:t>.</w:t>
            </w:r>
          </w:p>
        </w:tc>
      </w:tr>
      <w:tr w:rsidR="006F4FD2" w:rsidRPr="005E7040" w14:paraId="4427B787" w14:textId="77777777" w:rsidTr="005E7040">
        <w:tc>
          <w:tcPr>
            <w:tcW w:w="0" w:type="auto"/>
            <w:vAlign w:val="center"/>
          </w:tcPr>
          <w:p w14:paraId="35F9C1BA" w14:textId="77777777" w:rsidR="00160EC0" w:rsidRPr="005E7040" w:rsidRDefault="00EB00B2"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Miasta o funkcji subregionalnej</w:t>
            </w:r>
          </w:p>
        </w:tc>
        <w:tc>
          <w:tcPr>
            <w:tcW w:w="0" w:type="auto"/>
            <w:vAlign w:val="center"/>
          </w:tcPr>
          <w:p w14:paraId="4989BD15" w14:textId="7E25F92C" w:rsidR="00160EC0" w:rsidRPr="005E7040" w:rsidRDefault="00EB00B2"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 strategii rozwoju regionalnego kraju w 4-szczeblowym układzie miejskich obszarów funkcjonalnych, miasta o funkcji subregionalnej należą do szczebla trzeciego, po ośrodkach metropolitalnych i ośrodkach regionalnych, przed ośrodkami lokalnymi. Przy braku powszechnie przyjętej definicji miasta o funkcji subregionalnej można przyjąć, że jest nim stolica obecnego powiatu lub miasta liczącego ponad 20 tys. mieszkańców</w:t>
            </w:r>
            <w:r w:rsidR="00755E67" w:rsidRPr="005E7040">
              <w:rPr>
                <w:rFonts w:ascii="Arial" w:hAnsi="Arial" w:cs="Arial"/>
                <w:color w:val="000000" w:themeColor="text1"/>
                <w:sz w:val="22"/>
                <w:szCs w:val="22"/>
              </w:rPr>
              <w:t xml:space="preserve"> (cytat za: </w:t>
            </w:r>
            <w:r w:rsidR="00755E67" w:rsidRPr="005E7040">
              <w:rPr>
                <w:rFonts w:ascii="Arial" w:hAnsi="Arial" w:cs="Arial"/>
                <w:i/>
                <w:iCs/>
                <w:color w:val="000000" w:themeColor="text1"/>
                <w:sz w:val="22"/>
                <w:szCs w:val="22"/>
              </w:rPr>
              <w:t>Słownik pojęć Strategii rozwoju transportu do roku 2020 (z perspektywą do 2030 roku)</w:t>
            </w:r>
            <w:r w:rsidR="00755E67" w:rsidRPr="005E7040">
              <w:rPr>
                <w:rFonts w:ascii="Arial" w:hAnsi="Arial" w:cs="Arial"/>
                <w:color w:val="000000" w:themeColor="text1"/>
                <w:sz w:val="22"/>
                <w:szCs w:val="22"/>
              </w:rPr>
              <w:t>.</w:t>
            </w:r>
          </w:p>
        </w:tc>
      </w:tr>
      <w:tr w:rsidR="006F4FD2" w:rsidRPr="005E7040" w14:paraId="38643EB3" w14:textId="77777777" w:rsidTr="005E7040">
        <w:tc>
          <w:tcPr>
            <w:tcW w:w="0" w:type="auto"/>
            <w:vAlign w:val="center"/>
          </w:tcPr>
          <w:p w14:paraId="42B89B45" w14:textId="77777777" w:rsidR="00160EC0" w:rsidRPr="005E7040" w:rsidRDefault="00EB00B2"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Operator publicznego transportu zbiorowego</w:t>
            </w:r>
          </w:p>
        </w:tc>
        <w:tc>
          <w:tcPr>
            <w:tcW w:w="0" w:type="auto"/>
            <w:vAlign w:val="center"/>
          </w:tcPr>
          <w:p w14:paraId="3F298F1E" w14:textId="23F1D042" w:rsidR="00160EC0" w:rsidRPr="005E7040" w:rsidRDefault="00EB00B2"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Zgodnie z Ustawą z 16 grudnia 2010 r. o publicznym transporcie zbiorowym, jest to samorządowy zakład budżetowy lub przedsiębiorca uprawniony do prowadzenia działalności gospodarczej w zakresie przewozu osób, który zawarł </w:t>
            </w:r>
            <w:r w:rsidR="00B20A52">
              <w:rPr>
                <w:rFonts w:ascii="Arial" w:hAnsi="Arial" w:cs="Arial"/>
                <w:color w:val="000000" w:themeColor="text1"/>
                <w:sz w:val="22"/>
                <w:szCs w:val="22"/>
              </w:rPr>
              <w:br/>
            </w:r>
            <w:r w:rsidRPr="005E7040">
              <w:rPr>
                <w:rFonts w:ascii="Arial" w:hAnsi="Arial" w:cs="Arial"/>
                <w:color w:val="000000" w:themeColor="text1"/>
                <w:sz w:val="22"/>
                <w:szCs w:val="22"/>
              </w:rPr>
              <w:t>z organizatorem publicznego transportu zbiorowego umowę o świadczenie usług w zakresie publicznego transportu zbiorowego, na linii komunikacyjnej określonej w umowie</w:t>
            </w:r>
            <w:r w:rsidR="00232BDF" w:rsidRPr="005E7040">
              <w:rPr>
                <w:rFonts w:ascii="Arial" w:hAnsi="Arial" w:cs="Arial"/>
                <w:color w:val="000000" w:themeColor="text1"/>
                <w:sz w:val="22"/>
                <w:szCs w:val="22"/>
              </w:rPr>
              <w:t xml:space="preserve"> (cytat za: </w:t>
            </w:r>
            <w:r w:rsidR="00232BDF" w:rsidRPr="005E7040">
              <w:rPr>
                <w:rFonts w:ascii="Arial" w:hAnsi="Arial" w:cs="Arial"/>
                <w:i/>
                <w:iCs/>
                <w:color w:val="000000" w:themeColor="text1"/>
                <w:sz w:val="22"/>
                <w:szCs w:val="22"/>
              </w:rPr>
              <w:t>Słownik pojęć Strategii rozwoju transportu do roku 2020 (z perspektywą do 2030 roku)</w:t>
            </w:r>
            <w:r w:rsidR="00232BDF" w:rsidRPr="005E7040">
              <w:rPr>
                <w:rFonts w:ascii="Arial" w:hAnsi="Arial" w:cs="Arial"/>
                <w:color w:val="000000" w:themeColor="text1"/>
                <w:sz w:val="22"/>
                <w:szCs w:val="22"/>
              </w:rPr>
              <w:t>.</w:t>
            </w:r>
          </w:p>
        </w:tc>
      </w:tr>
      <w:tr w:rsidR="006F4FD2" w:rsidRPr="005E7040" w14:paraId="5636DB16" w14:textId="77777777" w:rsidTr="005E7040">
        <w:tc>
          <w:tcPr>
            <w:tcW w:w="0" w:type="auto"/>
            <w:vAlign w:val="center"/>
          </w:tcPr>
          <w:p w14:paraId="78C639D5" w14:textId="77777777" w:rsidR="00160EC0" w:rsidRPr="005E7040" w:rsidRDefault="00EB00B2"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Organizator publicznego transportu zbiorowego</w:t>
            </w:r>
          </w:p>
        </w:tc>
        <w:tc>
          <w:tcPr>
            <w:tcW w:w="0" w:type="auto"/>
            <w:vAlign w:val="center"/>
          </w:tcPr>
          <w:p w14:paraId="67A5944A" w14:textId="3284FD7F" w:rsidR="00160EC0" w:rsidRPr="005E7040" w:rsidRDefault="00226802"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Zgodnie z Ustawą z 16 grudnia 2010 r. o publicznym transporcie zbiorowym jest to organizator publicznego transportu zbiorowego – właściwa jednostka samorządu terytorialnego albo minister właściwy do spraw transportu, zapewniający funkcjonowanie publicznego transportu zbiorowego na danym obszarze; organizator publicznego transportu zbiorowego jest „właściwym organem”, o którym mowa w przepisach rozporządzenia (WE) nr 1370/2007</w:t>
            </w:r>
            <w:r w:rsidR="00232BDF" w:rsidRPr="005E7040">
              <w:rPr>
                <w:rFonts w:ascii="Arial" w:hAnsi="Arial" w:cs="Arial"/>
                <w:color w:val="000000" w:themeColor="text1"/>
                <w:sz w:val="22"/>
                <w:szCs w:val="22"/>
              </w:rPr>
              <w:t xml:space="preserve"> (cytat za: </w:t>
            </w:r>
            <w:r w:rsidR="00232BDF" w:rsidRPr="005E7040">
              <w:rPr>
                <w:rFonts w:ascii="Arial" w:hAnsi="Arial" w:cs="Arial"/>
                <w:i/>
                <w:iCs/>
                <w:color w:val="000000" w:themeColor="text1"/>
                <w:sz w:val="22"/>
                <w:szCs w:val="22"/>
              </w:rPr>
              <w:t>Słownik pojęć Strategii rozwoju transportu do roku 2020 (z perspektywą do 2030 roku)</w:t>
            </w:r>
            <w:r w:rsidR="00232BDF" w:rsidRPr="005E7040">
              <w:rPr>
                <w:rFonts w:ascii="Arial" w:hAnsi="Arial" w:cs="Arial"/>
                <w:color w:val="000000" w:themeColor="text1"/>
                <w:sz w:val="22"/>
                <w:szCs w:val="22"/>
              </w:rPr>
              <w:t>.</w:t>
            </w:r>
          </w:p>
        </w:tc>
      </w:tr>
      <w:tr w:rsidR="006F4FD2" w:rsidRPr="005E7040" w14:paraId="7B8AB307" w14:textId="77777777" w:rsidTr="005E7040">
        <w:tc>
          <w:tcPr>
            <w:tcW w:w="0" w:type="auto"/>
            <w:vAlign w:val="center"/>
          </w:tcPr>
          <w:p w14:paraId="117FACAB" w14:textId="77777777" w:rsidR="00160EC0" w:rsidRPr="005E7040" w:rsidRDefault="00376FF9"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Partnerstwo publiczno-prywatne</w:t>
            </w:r>
          </w:p>
        </w:tc>
        <w:tc>
          <w:tcPr>
            <w:tcW w:w="0" w:type="auto"/>
            <w:vAlign w:val="center"/>
          </w:tcPr>
          <w:p w14:paraId="6A0FCF25" w14:textId="4EC3D43C" w:rsidR="00160EC0" w:rsidRPr="005E7040" w:rsidRDefault="00376FF9"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Zgodnie z Ustawą z dnia 18 grudnia 2008 r. o partnerstwie publiczno-prywatnym, przez umowę o partnerstwie publiczno-prywatnym partner prywatny zobowiązuje się do realizacji przedsięwzięcia za wynagrodzeniem oraz poniesienia w całości albo w części wydatków na jego realizację lub poniesienia ich przez osobę trzecią, a podmiot publiczny zobowiązuje się do współdziałania w osiągnięciu celu przedsięwzięcia, w szczególności poprzez wniesienie wkładu własnego. Wniesienie wkładu własnego w postaci składnika majątkowego może nastąpić w szczególności </w:t>
            </w:r>
            <w:r w:rsidR="00B20A52">
              <w:rPr>
                <w:rFonts w:ascii="Arial" w:hAnsi="Arial" w:cs="Arial"/>
                <w:color w:val="000000" w:themeColor="text1"/>
                <w:sz w:val="22"/>
                <w:szCs w:val="22"/>
              </w:rPr>
              <w:br/>
            </w:r>
            <w:r w:rsidRPr="005E7040">
              <w:rPr>
                <w:rFonts w:ascii="Arial" w:hAnsi="Arial" w:cs="Arial"/>
                <w:color w:val="000000" w:themeColor="text1"/>
                <w:sz w:val="22"/>
                <w:szCs w:val="22"/>
              </w:rPr>
              <w:t>w drodze sprzedaży, użyczenia, użytkowania, najmu albo dzierżawy</w:t>
            </w:r>
            <w:r w:rsidR="00232BDF" w:rsidRPr="005E7040">
              <w:rPr>
                <w:rFonts w:ascii="Arial" w:hAnsi="Arial" w:cs="Arial"/>
                <w:color w:val="000000" w:themeColor="text1"/>
                <w:sz w:val="22"/>
                <w:szCs w:val="22"/>
              </w:rPr>
              <w:t xml:space="preserve"> (cytat za: </w:t>
            </w:r>
            <w:r w:rsidR="00232BDF" w:rsidRPr="005E7040">
              <w:rPr>
                <w:rFonts w:ascii="Arial" w:hAnsi="Arial" w:cs="Arial"/>
                <w:i/>
                <w:iCs/>
                <w:color w:val="000000" w:themeColor="text1"/>
                <w:sz w:val="22"/>
                <w:szCs w:val="22"/>
              </w:rPr>
              <w:t>Słownik pojęć Strategii rozwoju transportu do roku 2020 (z perspektywą do 2030 roku)</w:t>
            </w:r>
            <w:r w:rsidR="00232BDF" w:rsidRPr="005E7040">
              <w:rPr>
                <w:rFonts w:ascii="Arial" w:hAnsi="Arial" w:cs="Arial"/>
                <w:color w:val="000000" w:themeColor="text1"/>
                <w:sz w:val="22"/>
                <w:szCs w:val="22"/>
              </w:rPr>
              <w:t>.</w:t>
            </w:r>
          </w:p>
        </w:tc>
      </w:tr>
      <w:tr w:rsidR="00FD3969" w:rsidRPr="005E7040" w14:paraId="48BCC24E" w14:textId="77777777" w:rsidTr="005E7040">
        <w:tc>
          <w:tcPr>
            <w:tcW w:w="0" w:type="auto"/>
            <w:vAlign w:val="center"/>
          </w:tcPr>
          <w:p w14:paraId="6D1307F6" w14:textId="3D60CBC2" w:rsidR="00FD3969" w:rsidRPr="005E7040" w:rsidRDefault="00FD3969"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PKS</w:t>
            </w:r>
          </w:p>
        </w:tc>
        <w:tc>
          <w:tcPr>
            <w:tcW w:w="0" w:type="auto"/>
            <w:vAlign w:val="center"/>
          </w:tcPr>
          <w:p w14:paraId="0E2551B8" w14:textId="0FBCA044" w:rsidR="00FD3969" w:rsidRPr="005E7040" w:rsidRDefault="00FD3969"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Kiedyś „Państwowa Komunikacja Samochodowa” lub „Przedsiębiorstwo Komunikacji Samochodowej”; akronim PKS funkcjonuje obecnie jako część nazw własnych (oraz zwyczajowych) przewoźników autobusowych, lub elementów infrastruktury związanych z autobusową komunikacją zbiorową</w:t>
            </w:r>
            <w:r w:rsidR="007F309B" w:rsidRPr="005E7040">
              <w:rPr>
                <w:rFonts w:ascii="Arial" w:hAnsi="Arial" w:cs="Arial"/>
                <w:color w:val="000000" w:themeColor="text1"/>
                <w:sz w:val="22"/>
                <w:szCs w:val="22"/>
              </w:rPr>
              <w:t xml:space="preserve">. </w:t>
            </w:r>
            <w:r w:rsidR="00375352" w:rsidRPr="005E7040">
              <w:rPr>
                <w:rFonts w:ascii="Arial" w:hAnsi="Arial" w:cs="Arial"/>
                <w:color w:val="000000" w:themeColor="text1"/>
                <w:sz w:val="22"/>
                <w:szCs w:val="22"/>
              </w:rPr>
              <w:t>t</w:t>
            </w:r>
            <w:r w:rsidR="007F309B" w:rsidRPr="005E7040">
              <w:rPr>
                <w:rFonts w:ascii="Arial" w:hAnsi="Arial" w:cs="Arial"/>
                <w:color w:val="000000" w:themeColor="text1"/>
                <w:sz w:val="22"/>
                <w:szCs w:val="22"/>
              </w:rPr>
              <w:t>akże skrót wykorzystywany</w:t>
            </w:r>
            <w:r w:rsidR="00375352" w:rsidRPr="005E7040">
              <w:rPr>
                <w:rFonts w:ascii="Arial" w:hAnsi="Arial" w:cs="Arial"/>
                <w:color w:val="000000" w:themeColor="text1"/>
                <w:sz w:val="22"/>
                <w:szCs w:val="22"/>
              </w:rPr>
              <w:t xml:space="preserve"> przez Związek Gmin „Podkarpacka Komunikacja Samochodowa”.</w:t>
            </w:r>
          </w:p>
        </w:tc>
      </w:tr>
      <w:tr w:rsidR="006F4FD2" w:rsidRPr="005E7040" w14:paraId="32E99DAB" w14:textId="77777777" w:rsidTr="005E7040">
        <w:tc>
          <w:tcPr>
            <w:tcW w:w="0" w:type="auto"/>
            <w:vAlign w:val="center"/>
          </w:tcPr>
          <w:p w14:paraId="130305A9" w14:textId="77777777" w:rsidR="00160EC0" w:rsidRPr="005E7040" w:rsidRDefault="000806EB"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Plan Zrównoważonego Transportu Miejskiego</w:t>
            </w:r>
          </w:p>
        </w:tc>
        <w:tc>
          <w:tcPr>
            <w:tcW w:w="0" w:type="auto"/>
            <w:vAlign w:val="center"/>
          </w:tcPr>
          <w:p w14:paraId="75FCF072" w14:textId="77777777" w:rsidR="000806EB" w:rsidRPr="005E7040" w:rsidRDefault="000806EB"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Zgodnie z Ustawą z 16 grudnia 2010 r. o publicznym transporcie zbiorowym plan taki opracowuje organizator przewozów mających charakter użyteczności publicznej (gmina, związek gminny, powiat, związek powiatów, województwo, minister właściwy do spraw transportu). Plan transportowy określa w szczególności:</w:t>
            </w:r>
          </w:p>
          <w:p w14:paraId="03A12D45" w14:textId="77777777" w:rsidR="000806EB" w:rsidRPr="005E7040" w:rsidRDefault="000806EB" w:rsidP="005E7040">
            <w:pPr>
              <w:pStyle w:val="Akapitzlist"/>
              <w:numPr>
                <w:ilvl w:val="0"/>
                <w:numId w:val="213"/>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sieć komunikacyjną, na której jest planowane wykonywanie przewozów o charakterze użyteczności publicznej;</w:t>
            </w:r>
          </w:p>
          <w:p w14:paraId="59525A40" w14:textId="77777777" w:rsidR="000806EB" w:rsidRPr="005E7040" w:rsidRDefault="000806EB" w:rsidP="005E7040">
            <w:pPr>
              <w:pStyle w:val="Akapitzlist"/>
              <w:numPr>
                <w:ilvl w:val="0"/>
                <w:numId w:val="213"/>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ocenę i prognozy potrzeb przewozowych;</w:t>
            </w:r>
          </w:p>
          <w:p w14:paraId="475D2D34" w14:textId="77777777" w:rsidR="000806EB" w:rsidRPr="005E7040" w:rsidRDefault="000806EB" w:rsidP="005E7040">
            <w:pPr>
              <w:pStyle w:val="Akapitzlist"/>
              <w:numPr>
                <w:ilvl w:val="0"/>
                <w:numId w:val="213"/>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przewidywane finansowanie usług przewozowych;</w:t>
            </w:r>
          </w:p>
          <w:p w14:paraId="5C9C0991" w14:textId="77777777" w:rsidR="000806EB" w:rsidRPr="005E7040" w:rsidRDefault="000806EB" w:rsidP="005E7040">
            <w:pPr>
              <w:pStyle w:val="Akapitzlist"/>
              <w:numPr>
                <w:ilvl w:val="0"/>
                <w:numId w:val="213"/>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preferencje dotyczące wyboru rodzaju środków transportu;</w:t>
            </w:r>
          </w:p>
          <w:p w14:paraId="6927EC2B" w14:textId="77777777" w:rsidR="000806EB" w:rsidRPr="005E7040" w:rsidRDefault="000806EB" w:rsidP="005E7040">
            <w:pPr>
              <w:pStyle w:val="Akapitzlist"/>
              <w:numPr>
                <w:ilvl w:val="0"/>
                <w:numId w:val="213"/>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zasady organizacji rynku przewozów;</w:t>
            </w:r>
          </w:p>
          <w:p w14:paraId="3B9C2E6C" w14:textId="77777777" w:rsidR="000806EB" w:rsidRPr="005E7040" w:rsidRDefault="000806EB" w:rsidP="005E7040">
            <w:pPr>
              <w:pStyle w:val="Akapitzlist"/>
              <w:numPr>
                <w:ilvl w:val="0"/>
                <w:numId w:val="213"/>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pożądany standard usług przewozowych w przewozach o charakterze użyteczności publicznej;</w:t>
            </w:r>
          </w:p>
          <w:p w14:paraId="71ADC849" w14:textId="4D244D35" w:rsidR="00160EC0" w:rsidRPr="005E7040" w:rsidRDefault="000806EB" w:rsidP="005E7040">
            <w:pPr>
              <w:pStyle w:val="Akapitzlist"/>
              <w:numPr>
                <w:ilvl w:val="0"/>
                <w:numId w:val="213"/>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przewidywany sposób organizowania systemu informacji dla pasażera</w:t>
            </w:r>
            <w:r w:rsidR="00232BDF" w:rsidRPr="005E7040">
              <w:rPr>
                <w:rFonts w:ascii="Arial" w:hAnsi="Arial" w:cs="Arial"/>
                <w:color w:val="000000" w:themeColor="text1"/>
                <w:sz w:val="22"/>
                <w:szCs w:val="22"/>
              </w:rPr>
              <w:t xml:space="preserve"> (cytat za: </w:t>
            </w:r>
            <w:r w:rsidR="00232BDF" w:rsidRPr="005E7040">
              <w:rPr>
                <w:rFonts w:ascii="Arial" w:hAnsi="Arial" w:cs="Arial"/>
                <w:i/>
                <w:iCs/>
                <w:color w:val="000000" w:themeColor="text1"/>
                <w:sz w:val="22"/>
                <w:szCs w:val="22"/>
              </w:rPr>
              <w:t>Słownik pojęć Strategii rozwoju transportu do roku 2020 (z perspektywą do 2030 roku)</w:t>
            </w:r>
            <w:r w:rsidR="00232BDF" w:rsidRPr="005E7040">
              <w:rPr>
                <w:rFonts w:ascii="Arial" w:hAnsi="Arial" w:cs="Arial"/>
                <w:color w:val="000000" w:themeColor="text1"/>
                <w:sz w:val="22"/>
                <w:szCs w:val="22"/>
              </w:rPr>
              <w:t>.</w:t>
            </w:r>
          </w:p>
        </w:tc>
      </w:tr>
      <w:tr w:rsidR="006F4FD2" w:rsidRPr="005E7040" w14:paraId="287BD67D" w14:textId="77777777" w:rsidTr="005E7040">
        <w:tc>
          <w:tcPr>
            <w:tcW w:w="0" w:type="auto"/>
            <w:vAlign w:val="center"/>
          </w:tcPr>
          <w:p w14:paraId="47527A6B" w14:textId="77777777" w:rsidR="00160EC0" w:rsidRPr="005E7040" w:rsidRDefault="000806EB"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Platforma multimodalna</w:t>
            </w:r>
          </w:p>
        </w:tc>
        <w:tc>
          <w:tcPr>
            <w:tcW w:w="0" w:type="auto"/>
            <w:vAlign w:val="center"/>
          </w:tcPr>
          <w:p w14:paraId="422F37C8" w14:textId="04B2CD77" w:rsidR="00160EC0" w:rsidRPr="005E7040" w:rsidRDefault="000806EB"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Najważniejsze węzły transportowe, wyposażone w co najmniej jeden wyspecjalizowany, wielofunkcyjny, dostępny dla wszystkich operatorów terminal świadczący usługi przeładunku i magazynowania towarów transportowanych różnymi środkami transportu, realizujący jednocześnie przesunięcie międzygałęziowe i tym samym stanowiący integralny element łańcucha logistycznego. Infrastruktura multimodalnych platform logistycznych najczęściej integruje ze sobą porty morskie z transportem lądowym, spełniając funkcję logistyczno</w:t>
            </w:r>
            <w:r w:rsidR="001F2D8F" w:rsidRPr="005E7040">
              <w:rPr>
                <w:rFonts w:ascii="Arial" w:hAnsi="Arial" w:cs="Arial"/>
                <w:color w:val="000000" w:themeColor="text1"/>
                <w:sz w:val="22"/>
                <w:szCs w:val="22"/>
              </w:rPr>
              <w:t>-</w:t>
            </w:r>
            <w:r w:rsidRPr="005E7040">
              <w:rPr>
                <w:rFonts w:ascii="Arial" w:hAnsi="Arial" w:cs="Arial"/>
                <w:color w:val="000000" w:themeColor="text1"/>
                <w:sz w:val="22"/>
                <w:szCs w:val="22"/>
              </w:rPr>
              <w:t>dystrybucyjną. Nowe wytyczne UE w sprawie Transeuropejskiej Sieci Transportowej (TEN-T) z 2011 roku definiują multimodalne platformy logistyczne jako komponenty tej sieci</w:t>
            </w:r>
            <w:r w:rsidR="007C6682" w:rsidRPr="005E7040">
              <w:rPr>
                <w:rFonts w:ascii="Arial" w:hAnsi="Arial" w:cs="Arial"/>
                <w:color w:val="000000" w:themeColor="text1"/>
                <w:sz w:val="22"/>
                <w:szCs w:val="22"/>
              </w:rPr>
              <w:t xml:space="preserve"> </w:t>
            </w:r>
            <w:r w:rsidRPr="005E7040">
              <w:rPr>
                <w:rFonts w:ascii="Arial" w:hAnsi="Arial" w:cs="Arial"/>
                <w:color w:val="000000" w:themeColor="text1"/>
                <w:sz w:val="22"/>
                <w:szCs w:val="22"/>
              </w:rPr>
              <w:t>odnośnie</w:t>
            </w:r>
            <w:r w:rsidR="007C6682" w:rsidRPr="005E7040">
              <w:rPr>
                <w:rFonts w:ascii="Arial" w:hAnsi="Arial" w:cs="Arial"/>
                <w:color w:val="000000" w:themeColor="text1"/>
                <w:sz w:val="22"/>
                <w:szCs w:val="22"/>
              </w:rPr>
              <w:t xml:space="preserve"> do </w:t>
            </w:r>
            <w:r w:rsidRPr="005E7040">
              <w:rPr>
                <w:rFonts w:ascii="Arial" w:hAnsi="Arial" w:cs="Arial"/>
                <w:color w:val="000000" w:themeColor="text1"/>
                <w:sz w:val="22"/>
                <w:szCs w:val="22"/>
              </w:rPr>
              <w:t>węzłów i/lub terminali o wolumenie przeładunku przekraczającym 1% masy ogólnokrajowego przeładunku towarów, zlokalizowane, w miarę możliwości, na obszarze wszystkich regionów NUTS 2</w:t>
            </w:r>
            <w:r w:rsidR="00232BDF" w:rsidRPr="005E7040">
              <w:rPr>
                <w:rFonts w:ascii="Arial" w:hAnsi="Arial" w:cs="Arial"/>
                <w:color w:val="000000" w:themeColor="text1"/>
                <w:sz w:val="22"/>
                <w:szCs w:val="22"/>
              </w:rPr>
              <w:t xml:space="preserve"> (cytat za: </w:t>
            </w:r>
            <w:r w:rsidR="00232BDF" w:rsidRPr="005E7040">
              <w:rPr>
                <w:rFonts w:ascii="Arial" w:hAnsi="Arial" w:cs="Arial"/>
                <w:i/>
                <w:iCs/>
                <w:color w:val="000000" w:themeColor="text1"/>
                <w:sz w:val="22"/>
                <w:szCs w:val="22"/>
              </w:rPr>
              <w:t>Słownik pojęć Strategii rozwoju transportu do roku 2020 (z perspektywą do 2030 roku)</w:t>
            </w:r>
            <w:r w:rsidR="00232BDF" w:rsidRPr="005E7040">
              <w:rPr>
                <w:rFonts w:ascii="Arial" w:hAnsi="Arial" w:cs="Arial"/>
                <w:color w:val="000000" w:themeColor="text1"/>
                <w:sz w:val="22"/>
                <w:szCs w:val="22"/>
              </w:rPr>
              <w:t>.</w:t>
            </w:r>
          </w:p>
        </w:tc>
      </w:tr>
      <w:tr w:rsidR="006F4FD2" w:rsidRPr="005E7040" w14:paraId="38960F6A" w14:textId="77777777" w:rsidTr="005E7040">
        <w:tc>
          <w:tcPr>
            <w:tcW w:w="0" w:type="auto"/>
            <w:vAlign w:val="center"/>
          </w:tcPr>
          <w:p w14:paraId="31E0434A" w14:textId="77777777" w:rsidR="00160EC0" w:rsidRPr="005E7040" w:rsidRDefault="000806EB"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Polityka rozwoju</w:t>
            </w:r>
          </w:p>
        </w:tc>
        <w:tc>
          <w:tcPr>
            <w:tcW w:w="0" w:type="auto"/>
            <w:vAlign w:val="center"/>
          </w:tcPr>
          <w:p w14:paraId="03824B79" w14:textId="4D6DD577" w:rsidR="00160EC0" w:rsidRPr="005E7040" w:rsidRDefault="000806EB"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Zgodnie z Ustawą z 6 grudnia 2006 r. o zasadach prowadzenia polityki rozwoju, jest to zespół wzajemnie powiązanych działań podejmowanych i realizowanych w celu zapewnienia trwałego i zrównoważonego rozwoju kraju, spójności społeczno-gospodarczej, regionalnej i przestrzennej, podnoszenia konkurencyjności gospodarki oraz tworzenie nowych miejsc pracy w skali krajowej, regionalnej i lokalnej. Powadzi ją Rada Ministrów oraz jednostki samorządu terytorialnego na podstawie strategii rozwoju,</w:t>
            </w:r>
            <w:r w:rsidR="001F2D8F" w:rsidRPr="005E7040">
              <w:rPr>
                <w:rFonts w:ascii="Arial" w:hAnsi="Arial" w:cs="Arial"/>
                <w:color w:val="000000" w:themeColor="text1"/>
                <w:sz w:val="22"/>
                <w:szCs w:val="22"/>
              </w:rPr>
              <w:t xml:space="preserve"> dokumentów programowych oraz polityk publicznych. Ponadto</w:t>
            </w:r>
            <w:r w:rsidRPr="005E7040">
              <w:rPr>
                <w:rFonts w:ascii="Arial" w:hAnsi="Arial" w:cs="Arial"/>
                <w:color w:val="000000" w:themeColor="text1"/>
                <w:sz w:val="22"/>
                <w:szCs w:val="22"/>
              </w:rPr>
              <w:t xml:space="preserve"> przy pomocy programów służących osiąganiu celów strategicznych z wykorzystaniem środków publicznych.</w:t>
            </w:r>
          </w:p>
        </w:tc>
      </w:tr>
      <w:tr w:rsidR="006F4FD2" w:rsidRPr="005E7040" w14:paraId="5F965C55" w14:textId="77777777" w:rsidTr="005E7040">
        <w:tc>
          <w:tcPr>
            <w:tcW w:w="0" w:type="auto"/>
            <w:vAlign w:val="center"/>
          </w:tcPr>
          <w:p w14:paraId="6FDA20A9" w14:textId="77777777" w:rsidR="00160EC0" w:rsidRPr="005E7040" w:rsidRDefault="000806EB"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Potencjałowa dostępność transportowa</w:t>
            </w:r>
          </w:p>
        </w:tc>
        <w:tc>
          <w:tcPr>
            <w:tcW w:w="0" w:type="auto"/>
            <w:vAlign w:val="center"/>
          </w:tcPr>
          <w:p w14:paraId="1E23D45B" w14:textId="5A80EE39" w:rsidR="00160EC0" w:rsidRPr="005E7040" w:rsidRDefault="000806EB"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Wskaźniki dostępności potencjałowej obszaru określają liczbę miejsc przeznaczenia (lub liczbę ludności), do których można dotrzeć, ważoną ujemnym oddziaływaniem czasu i kosztu przejazdu. Potencjalna dostępność poszczególnych obszarów jest wyrażana jako procent średniej dostępności wszystkich regionów branych pod uwagę. We wskaźnikach tego typu średnia potencjalna dostępność wszystkich regionów została zdefiniowana jako 100. Regiony peryferyjne charakteryzują się wskaźnikiem poniżej 80% tej wartości, natomiast w regionach centralnych przekracza ona nawet 200%</w:t>
            </w:r>
            <w:r w:rsidR="00232BDF" w:rsidRPr="005E7040">
              <w:rPr>
                <w:rFonts w:ascii="Arial" w:hAnsi="Arial" w:cs="Arial"/>
                <w:color w:val="000000" w:themeColor="text1"/>
                <w:sz w:val="22"/>
                <w:szCs w:val="22"/>
              </w:rPr>
              <w:t xml:space="preserve"> (cytat za: </w:t>
            </w:r>
            <w:r w:rsidR="00232BDF" w:rsidRPr="005E7040">
              <w:rPr>
                <w:rFonts w:ascii="Arial" w:hAnsi="Arial" w:cs="Arial"/>
                <w:i/>
                <w:iCs/>
                <w:color w:val="000000" w:themeColor="text1"/>
                <w:sz w:val="22"/>
                <w:szCs w:val="22"/>
              </w:rPr>
              <w:t>Słownik pojęć Strategii rozwoju transportu do roku 2020 (z perspektywą do 2030 roku)</w:t>
            </w:r>
            <w:r w:rsidR="00232BDF" w:rsidRPr="005E7040">
              <w:rPr>
                <w:rFonts w:ascii="Arial" w:hAnsi="Arial" w:cs="Arial"/>
                <w:color w:val="000000" w:themeColor="text1"/>
                <w:sz w:val="22"/>
                <w:szCs w:val="22"/>
              </w:rPr>
              <w:t>.</w:t>
            </w:r>
          </w:p>
        </w:tc>
      </w:tr>
      <w:tr w:rsidR="006F4FD2" w:rsidRPr="005E7040" w14:paraId="04EA8D25" w14:textId="77777777" w:rsidTr="005E7040">
        <w:tc>
          <w:tcPr>
            <w:tcW w:w="0" w:type="auto"/>
            <w:vAlign w:val="center"/>
          </w:tcPr>
          <w:p w14:paraId="26610857" w14:textId="77777777" w:rsidR="00160EC0" w:rsidRPr="005E7040" w:rsidRDefault="000806EB"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Przełomowe innowacje transportowe</w:t>
            </w:r>
          </w:p>
        </w:tc>
        <w:tc>
          <w:tcPr>
            <w:tcW w:w="0" w:type="auto"/>
            <w:vAlign w:val="center"/>
          </w:tcPr>
          <w:p w14:paraId="7389B4D0" w14:textId="1F3FF00E" w:rsidR="00160EC0" w:rsidRPr="005E7040" w:rsidRDefault="000806EB"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Dla przyszłego rozwoju systemów transportowych największe znaczenie będzie miało wdrożenie najbardziej obiecujących innowacji przełomowych, nad którymi trwają prace w wielu ośrodkach naukowych i przemysłowych na świecie. Brak jest jednak uniwersalnej definicji pojęcia „technologia przełomowa” możliwej do zastosowania we wszystkich sektorach oraz w odniesieniu do różnego poziomu specjalizacji podsystemów. Istota tego pojęcia sprowadza się do przerwania sposobu korzystania przez ludzkość z powszechnie znanego przez dziesięciolecia rozwiązania. Takim spodziewanym przełomem w najbliższej przyszłości będzie zastąpienie spalinowego napędu środków transportu napędami nowej generacji (elektrycznymi, wodorowymi, hybrydowymi)</w:t>
            </w:r>
            <w:r w:rsidR="005708F6" w:rsidRPr="005E7040">
              <w:rPr>
                <w:rFonts w:ascii="Arial" w:hAnsi="Arial" w:cs="Arial"/>
                <w:color w:val="000000" w:themeColor="text1"/>
                <w:sz w:val="22"/>
                <w:szCs w:val="22"/>
              </w:rPr>
              <w:t xml:space="preserve"> (cytat za: </w:t>
            </w:r>
            <w:r w:rsidR="005708F6" w:rsidRPr="005E7040">
              <w:rPr>
                <w:rFonts w:ascii="Arial" w:hAnsi="Arial" w:cs="Arial"/>
                <w:i/>
                <w:iCs/>
                <w:color w:val="000000" w:themeColor="text1"/>
                <w:sz w:val="22"/>
                <w:szCs w:val="22"/>
              </w:rPr>
              <w:t>Słownik pojęć Strategii rozwoju transportu do roku 2020 (z perspektywą do 2030 roku)</w:t>
            </w:r>
            <w:r w:rsidR="005708F6" w:rsidRPr="005E7040">
              <w:rPr>
                <w:rFonts w:ascii="Arial" w:hAnsi="Arial" w:cs="Arial"/>
                <w:color w:val="000000" w:themeColor="text1"/>
                <w:sz w:val="22"/>
                <w:szCs w:val="22"/>
              </w:rPr>
              <w:t>.</w:t>
            </w:r>
          </w:p>
        </w:tc>
      </w:tr>
      <w:tr w:rsidR="006F4FD2" w:rsidRPr="005E7040" w14:paraId="6A303354" w14:textId="77777777" w:rsidTr="005E7040">
        <w:tc>
          <w:tcPr>
            <w:tcW w:w="0" w:type="auto"/>
            <w:vAlign w:val="center"/>
          </w:tcPr>
          <w:p w14:paraId="35358867" w14:textId="77777777" w:rsidR="00160EC0" w:rsidRPr="005E7040" w:rsidRDefault="000806EB"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Przepustowość infrastruktury</w:t>
            </w:r>
          </w:p>
        </w:tc>
        <w:tc>
          <w:tcPr>
            <w:tcW w:w="0" w:type="auto"/>
            <w:vAlign w:val="center"/>
          </w:tcPr>
          <w:p w14:paraId="61BEA797" w14:textId="72E8F969" w:rsidR="00160EC0" w:rsidRPr="005E7040" w:rsidRDefault="000806EB"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Jest to maksymalna liczba środków transportu, jakie mogą w jednostce czasu (w ciągu godziny, doby czy roku) przemieścić się przez określony element transportowej infrastruktury liniowej lub punktowej</w:t>
            </w:r>
            <w:r w:rsidR="00232BDF" w:rsidRPr="005E7040">
              <w:rPr>
                <w:rFonts w:ascii="Arial" w:hAnsi="Arial" w:cs="Arial"/>
                <w:color w:val="000000" w:themeColor="text1"/>
                <w:sz w:val="22"/>
                <w:szCs w:val="22"/>
              </w:rPr>
              <w:t xml:space="preserve"> (cytat za: </w:t>
            </w:r>
            <w:r w:rsidR="00232BDF" w:rsidRPr="005E7040">
              <w:rPr>
                <w:rFonts w:ascii="Arial" w:hAnsi="Arial" w:cs="Arial"/>
                <w:i/>
                <w:iCs/>
                <w:color w:val="000000" w:themeColor="text1"/>
                <w:sz w:val="22"/>
                <w:szCs w:val="22"/>
              </w:rPr>
              <w:t>Słownik pojęć Strategii rozwoju transportu do roku 2020 (z perspektywą do 2030 roku)</w:t>
            </w:r>
            <w:r w:rsidR="00232BDF" w:rsidRPr="005E7040">
              <w:rPr>
                <w:rFonts w:ascii="Arial" w:hAnsi="Arial" w:cs="Arial"/>
                <w:color w:val="000000" w:themeColor="text1"/>
                <w:sz w:val="22"/>
                <w:szCs w:val="22"/>
              </w:rPr>
              <w:t>.</w:t>
            </w:r>
          </w:p>
        </w:tc>
      </w:tr>
      <w:tr w:rsidR="006F4FD2" w:rsidRPr="005E7040" w14:paraId="23AA2304" w14:textId="77777777" w:rsidTr="005E7040">
        <w:tc>
          <w:tcPr>
            <w:tcW w:w="0" w:type="auto"/>
            <w:vAlign w:val="center"/>
          </w:tcPr>
          <w:p w14:paraId="562E17CC" w14:textId="77777777" w:rsidR="00160EC0" w:rsidRPr="005E7040" w:rsidRDefault="000806EB"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Rejestr lotnisk cywilnych</w:t>
            </w:r>
          </w:p>
        </w:tc>
        <w:tc>
          <w:tcPr>
            <w:tcW w:w="0" w:type="auto"/>
            <w:vAlign w:val="center"/>
          </w:tcPr>
          <w:p w14:paraId="4153D7BC" w14:textId="77777777" w:rsidR="000806EB" w:rsidRPr="005E7040" w:rsidRDefault="000806EB"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Zgodnie z Rozporządzeniem Ministra Infrastruktury z dnia 30 kwietnia 2004 r. w sprawie klasyfikacji lotnisk i rejestru lotnisk cywilnych, jest to dokument państwowy składający się z:</w:t>
            </w:r>
          </w:p>
          <w:p w14:paraId="48880CFB" w14:textId="77777777" w:rsidR="000806EB" w:rsidRPr="005E7040" w:rsidRDefault="000806EB" w:rsidP="005E7040">
            <w:pPr>
              <w:pStyle w:val="Akapitzlist"/>
              <w:numPr>
                <w:ilvl w:val="0"/>
                <w:numId w:val="214"/>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księgi rejestru lotnisk, zawierającej podstawowe dane wszystkich zarejestrowanych lotnisk;</w:t>
            </w:r>
          </w:p>
          <w:p w14:paraId="2666D02D" w14:textId="77777777" w:rsidR="00C13E46" w:rsidRPr="005E7040" w:rsidRDefault="000806EB" w:rsidP="005E7040">
            <w:pPr>
              <w:pStyle w:val="Akapitzlist"/>
              <w:numPr>
                <w:ilvl w:val="0"/>
                <w:numId w:val="214"/>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części kartograficznej (zawierającej plan zagospodarowania lotniska, plan powierzchni ograniczających wysokość zabudowy i obiektów naturalnych w otoczeniu lotniska, profil podłużny po osi drogi startowej oraz st</w:t>
            </w:r>
            <w:r w:rsidR="00C13E46" w:rsidRPr="005E7040">
              <w:rPr>
                <w:rFonts w:ascii="Arial" w:hAnsi="Arial" w:cs="Arial"/>
                <w:color w:val="000000" w:themeColor="text1"/>
                <w:sz w:val="22"/>
                <w:szCs w:val="22"/>
              </w:rPr>
              <w:t>refy podejść, mapę numeryczną);</w:t>
            </w:r>
          </w:p>
          <w:p w14:paraId="514D23C4" w14:textId="77777777" w:rsidR="00C13E46" w:rsidRPr="005E7040" w:rsidRDefault="00C13E46" w:rsidP="005E7040">
            <w:pPr>
              <w:pStyle w:val="Akapitzlist"/>
              <w:numPr>
                <w:ilvl w:val="0"/>
                <w:numId w:val="214"/>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części dokumentacyjnej;</w:t>
            </w:r>
          </w:p>
          <w:p w14:paraId="1761F2BE" w14:textId="6EB5376A" w:rsidR="00160EC0" w:rsidRPr="005E7040" w:rsidRDefault="000806EB" w:rsidP="005E7040">
            <w:pPr>
              <w:pStyle w:val="Akapitzlist"/>
              <w:numPr>
                <w:ilvl w:val="0"/>
                <w:numId w:val="214"/>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części korespondencyjnej, zawierającej dokumenty obejmujące informacje lotniskowe, techniczne i użytkowe lotnisk</w:t>
            </w:r>
            <w:r w:rsidR="006F6B2F" w:rsidRPr="005E7040">
              <w:rPr>
                <w:rFonts w:ascii="Arial" w:hAnsi="Arial" w:cs="Arial"/>
                <w:color w:val="000000" w:themeColor="text1"/>
                <w:sz w:val="22"/>
                <w:szCs w:val="22"/>
              </w:rPr>
              <w:t xml:space="preserve"> (cytat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r w:rsidR="006F4FD2" w:rsidRPr="005E7040" w14:paraId="500E6EE1" w14:textId="77777777" w:rsidTr="005E7040">
        <w:tc>
          <w:tcPr>
            <w:tcW w:w="0" w:type="auto"/>
            <w:vAlign w:val="center"/>
          </w:tcPr>
          <w:p w14:paraId="510E0893" w14:textId="77777777" w:rsidR="00160EC0" w:rsidRPr="005E7040" w:rsidRDefault="00C13E46"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Rewizja sieci TEN-T</w:t>
            </w:r>
          </w:p>
        </w:tc>
        <w:tc>
          <w:tcPr>
            <w:tcW w:w="0" w:type="auto"/>
            <w:vAlign w:val="center"/>
          </w:tcPr>
          <w:p w14:paraId="226BCB1E" w14:textId="1216BBC9" w:rsidR="00C13E46" w:rsidRPr="005E7040" w:rsidRDefault="00C13E46"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Transeuropejska Sieć Transportowa (TEN-T), z ang </w:t>
            </w:r>
            <w:r w:rsidRPr="005E7040">
              <w:rPr>
                <w:rFonts w:ascii="Arial" w:hAnsi="Arial" w:cs="Arial"/>
                <w:i/>
                <w:color w:val="000000" w:themeColor="text1"/>
                <w:sz w:val="22"/>
                <w:szCs w:val="22"/>
              </w:rPr>
              <w:t>Trans-European Transport Networks</w:t>
            </w:r>
            <w:r w:rsidRPr="005E7040">
              <w:rPr>
                <w:rFonts w:ascii="Arial" w:hAnsi="Arial" w:cs="Arial"/>
                <w:color w:val="000000" w:themeColor="text1"/>
                <w:sz w:val="22"/>
                <w:szCs w:val="22"/>
              </w:rPr>
              <w:t xml:space="preserve">, stanowią część koncepcji Pan-Europejskiej Sieci Transportowej, która stworzona została podczas trzech Pan-Europejskich Konferencji Transportowych (W Pradze w 1991 roku, na </w:t>
            </w:r>
            <w:r w:rsidR="00C5033E" w:rsidRPr="005E7040">
              <w:rPr>
                <w:rFonts w:ascii="Arial" w:hAnsi="Arial" w:cs="Arial"/>
                <w:color w:val="000000" w:themeColor="text1"/>
                <w:sz w:val="22"/>
                <w:szCs w:val="22"/>
              </w:rPr>
              <w:t xml:space="preserve">Krecie w 1994 roku oraz </w:t>
            </w:r>
            <w:r w:rsidRPr="005E7040">
              <w:rPr>
                <w:rFonts w:ascii="Arial" w:hAnsi="Arial" w:cs="Arial"/>
                <w:color w:val="000000" w:themeColor="text1"/>
                <w:sz w:val="22"/>
                <w:szCs w:val="22"/>
              </w:rPr>
              <w:t xml:space="preserve">w Helsinkach w 1997 roku). Podstawę prawną funkcjonowania TEN-T stanowi Tytuł XV Traktatu o Unii Europejskiej (TUE). Do czasu wejścia w życie tego traktatu </w:t>
            </w:r>
            <w:r w:rsidR="00A339F0">
              <w:rPr>
                <w:rFonts w:ascii="Arial" w:hAnsi="Arial" w:cs="Arial"/>
                <w:color w:val="000000" w:themeColor="text1"/>
                <w:sz w:val="22"/>
                <w:szCs w:val="22"/>
              </w:rPr>
              <w:br/>
            </w:r>
            <w:r w:rsidRPr="005E7040">
              <w:rPr>
                <w:rFonts w:ascii="Arial" w:hAnsi="Arial" w:cs="Arial"/>
                <w:color w:val="000000" w:themeColor="text1"/>
                <w:sz w:val="22"/>
                <w:szCs w:val="22"/>
              </w:rPr>
              <w:t xml:space="preserve">w listopadzie 1993 roku WE nie miała solidnych podstaw prawnych do inicjowania transportowych projektów infrastrukturalnych wspólnego zainteresowania. Zgodnie z zapisami artykułu 154 TUE, sieci te mają przyczyniać się do sprawnego działania i rozwoju rynku wewnętrznego oraz zapewnienia spójności gospodarczej, społecznej </w:t>
            </w:r>
            <w:r w:rsidR="00B20A52">
              <w:rPr>
                <w:rFonts w:ascii="Arial" w:hAnsi="Arial" w:cs="Arial"/>
                <w:color w:val="000000" w:themeColor="text1"/>
                <w:sz w:val="22"/>
                <w:szCs w:val="22"/>
              </w:rPr>
              <w:br/>
            </w:r>
            <w:r w:rsidRPr="005E7040">
              <w:rPr>
                <w:rFonts w:ascii="Arial" w:hAnsi="Arial" w:cs="Arial"/>
                <w:color w:val="000000" w:themeColor="text1"/>
                <w:sz w:val="22"/>
                <w:szCs w:val="22"/>
              </w:rPr>
              <w:t>i teryto</w:t>
            </w:r>
            <w:r w:rsidR="00C5033E" w:rsidRPr="005E7040">
              <w:rPr>
                <w:rFonts w:ascii="Arial" w:hAnsi="Arial" w:cs="Arial"/>
                <w:color w:val="000000" w:themeColor="text1"/>
                <w:sz w:val="22"/>
                <w:szCs w:val="22"/>
              </w:rPr>
              <w:t>rialnej.</w:t>
            </w:r>
          </w:p>
          <w:p w14:paraId="1C5BFDF7" w14:textId="77777777" w:rsidR="00C13E46" w:rsidRPr="005E7040" w:rsidRDefault="00C13E46" w:rsidP="005E7040">
            <w:pPr>
              <w:spacing w:line="276" w:lineRule="auto"/>
              <w:rPr>
                <w:rFonts w:ascii="Arial" w:hAnsi="Arial" w:cs="Arial"/>
                <w:color w:val="000000" w:themeColor="text1"/>
                <w:sz w:val="22"/>
                <w:szCs w:val="22"/>
              </w:rPr>
            </w:pPr>
            <w:r w:rsidRPr="005E7040">
              <w:rPr>
                <w:rFonts w:ascii="Arial" w:hAnsi="Arial" w:cs="Arial"/>
                <w:b/>
                <w:color w:val="000000" w:themeColor="text1"/>
                <w:sz w:val="22"/>
                <w:szCs w:val="22"/>
              </w:rPr>
              <w:t>Rewizja</w:t>
            </w:r>
            <w:r w:rsidRPr="005E7040">
              <w:rPr>
                <w:rFonts w:ascii="Arial" w:hAnsi="Arial" w:cs="Arial"/>
                <w:color w:val="000000" w:themeColor="text1"/>
                <w:sz w:val="22"/>
                <w:szCs w:val="22"/>
              </w:rPr>
              <w:t xml:space="preserve"> wytycznych wspólnotowych w sprawie rozwoju sieci </w:t>
            </w:r>
            <w:r w:rsidRPr="005E7040">
              <w:rPr>
                <w:rFonts w:ascii="Arial" w:hAnsi="Arial" w:cs="Arial"/>
                <w:b/>
                <w:color w:val="000000" w:themeColor="text1"/>
                <w:sz w:val="22"/>
                <w:szCs w:val="22"/>
              </w:rPr>
              <w:t>TEN-T</w:t>
            </w:r>
            <w:r w:rsidRPr="005E7040">
              <w:rPr>
                <w:rFonts w:ascii="Arial" w:hAnsi="Arial" w:cs="Arial"/>
                <w:color w:val="000000" w:themeColor="text1"/>
                <w:sz w:val="22"/>
                <w:szCs w:val="22"/>
              </w:rPr>
              <w:t xml:space="preserve"> odbywa się co 5 lat. Ostatnia rewizja wytycznych UE w sprawie tej sieci miała miejsce w latach 2004-5. Zdefiniowane zostały wówczas tzw. osie transkontynentalne oraz lista 30 projektów priorytetowych na sieci TEN-T, z których 3 lądowe i 1 morski dotyczą Polski (aneks nr 3 do decyzji Parlamentu Europejskiego i Rady nr 884/2004, mapa – załącznik nr 1). Na terytorium Polski są nimi: Projekt priorytetowy nr 23 – linia kolejowa E 65 na odcinku: Gdynia – Gdańsk – Warszawa – Katowice – Zebrzydowice / Zwardoń; Projekt priorytetowy nr 25 – oś drogowa: Gdańsk – Toruń – Łódź – Częstochowa – Katowice – Bielsko-Biała – Cieszyn / Zwardoń; Projekt priorytetowy nr 27 – linia kolejowa E 75 </w:t>
            </w:r>
            <w:r w:rsidR="00C5033E" w:rsidRPr="005E7040">
              <w:rPr>
                <w:rFonts w:ascii="Arial" w:hAnsi="Arial" w:cs="Arial"/>
                <w:color w:val="000000" w:themeColor="text1"/>
                <w:sz w:val="22"/>
                <w:szCs w:val="22"/>
              </w:rPr>
              <w:t xml:space="preserve">ang. </w:t>
            </w:r>
            <w:r w:rsidRPr="005E7040">
              <w:rPr>
                <w:rFonts w:ascii="Arial" w:hAnsi="Arial" w:cs="Arial"/>
                <w:color w:val="000000" w:themeColor="text1"/>
                <w:sz w:val="22"/>
                <w:szCs w:val="22"/>
              </w:rPr>
              <w:t xml:space="preserve">„Rail Baltica” na odcinku Warszawa – Białystok – Suwałki – Trakiszki. Ponadto wszystkich państw z dostępem do morza dotyczy także projekt autostrad morskich (nr 21). </w:t>
            </w:r>
          </w:p>
          <w:p w14:paraId="102AABD3" w14:textId="391BCA87" w:rsidR="00160EC0" w:rsidRPr="005E7040" w:rsidRDefault="00C13E46"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Obecna rewizja wytycznych (tzw. duża rewizja) rozpoczęta w 2009r. dotyczy przeglądu dotychczasowej realizacji przez państwa członkowskie projektów priorytetowych na sieci TEN-T oraz redefinicji zasad funkcjonowania i metodologii dla tej sieci (co ma miejsce po raz pierwszy w procesie rewizji)</w:t>
            </w:r>
            <w:r w:rsidR="005708F6" w:rsidRPr="005E7040">
              <w:rPr>
                <w:rFonts w:ascii="Arial" w:hAnsi="Arial" w:cs="Arial"/>
                <w:color w:val="000000" w:themeColor="text1"/>
                <w:sz w:val="22"/>
                <w:szCs w:val="22"/>
              </w:rPr>
              <w:t xml:space="preserve"> (cytat za: </w:t>
            </w:r>
            <w:r w:rsidR="005708F6" w:rsidRPr="005E7040">
              <w:rPr>
                <w:rFonts w:ascii="Arial" w:hAnsi="Arial" w:cs="Arial"/>
                <w:i/>
                <w:iCs/>
                <w:color w:val="000000" w:themeColor="text1"/>
                <w:sz w:val="22"/>
                <w:szCs w:val="22"/>
              </w:rPr>
              <w:t>Słownik pojęć Strategii rozwoju transportu do roku 2020 (z perspektywą do 2030 roku)</w:t>
            </w:r>
            <w:r w:rsidR="005708F6" w:rsidRPr="005E7040">
              <w:rPr>
                <w:rFonts w:ascii="Arial" w:hAnsi="Arial" w:cs="Arial"/>
                <w:color w:val="000000" w:themeColor="text1"/>
                <w:sz w:val="22"/>
                <w:szCs w:val="22"/>
              </w:rPr>
              <w:t>.</w:t>
            </w:r>
          </w:p>
        </w:tc>
      </w:tr>
      <w:tr w:rsidR="006F4FD2" w:rsidRPr="005E7040" w14:paraId="1618D32A" w14:textId="77777777" w:rsidTr="005E7040">
        <w:tc>
          <w:tcPr>
            <w:tcW w:w="0" w:type="auto"/>
            <w:vAlign w:val="center"/>
          </w:tcPr>
          <w:p w14:paraId="54C0948A" w14:textId="77777777" w:rsidR="00160EC0" w:rsidRPr="005E7040" w:rsidRDefault="00664B8F"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SDR</w:t>
            </w:r>
          </w:p>
        </w:tc>
        <w:tc>
          <w:tcPr>
            <w:tcW w:w="0" w:type="auto"/>
            <w:vAlign w:val="center"/>
          </w:tcPr>
          <w:p w14:paraId="7B0F5410" w14:textId="4CB518F1" w:rsidR="00160EC0"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Skrót od średniego dobowego ruchu przeliczeniowych pojazdów samochodowych w roku. Jest to jeden z parametrów obliczanych na podstawie pomiaru ruchu na drogach. Średni dobowy ruch pojazdów w roku definiuje się jako liczbę przeliczeniowych pojazdów silnikowych przejeżdżających przez dany przekrój drogi w ciągu 24 kolejnych godzin, średnio w ciągu jednego roku</w:t>
            </w:r>
            <w:r w:rsidR="006F6B2F" w:rsidRPr="005E7040">
              <w:rPr>
                <w:rFonts w:ascii="Arial" w:hAnsi="Arial" w:cs="Arial"/>
                <w:color w:val="000000" w:themeColor="text1"/>
                <w:sz w:val="22"/>
                <w:szCs w:val="22"/>
              </w:rPr>
              <w:t xml:space="preserve"> (cytat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r w:rsidR="006F4FD2" w:rsidRPr="005E7040" w14:paraId="744B00D3" w14:textId="77777777" w:rsidTr="005E7040">
        <w:tc>
          <w:tcPr>
            <w:tcW w:w="0" w:type="auto"/>
            <w:vAlign w:val="center"/>
          </w:tcPr>
          <w:p w14:paraId="5169B4B8" w14:textId="77777777" w:rsidR="00160EC0" w:rsidRPr="005E7040" w:rsidRDefault="00664B8F"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Sektor TSL</w:t>
            </w:r>
          </w:p>
        </w:tc>
        <w:tc>
          <w:tcPr>
            <w:tcW w:w="0" w:type="auto"/>
            <w:vAlign w:val="center"/>
          </w:tcPr>
          <w:p w14:paraId="5F46D51A" w14:textId="77777777" w:rsidR="00664B8F"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Potoczna polska nazwa sfery gospodarki obejmującej transport, spedycję i logistykę. Używana jest w intencji całościowego ujęcia problemów tej sfery. W praktyce analizy „branży TSL” często odnoszą się do zawężonego zakresu transportu zarobkowego (najczęściej tylko samochodowego i z rzadka lotniczego lub kolejowego). Niejasne jest też kwalifikowanie działalności jako spedycyjnej lub logistycznej.</w:t>
            </w:r>
          </w:p>
          <w:p w14:paraId="3B6A339E" w14:textId="5A8AADF7" w:rsidR="00160EC0"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W analizach tych i rankingach pomija się należących do sfery transportu zarządców infrastruktury transportowej oraz pomija się małe przedsiębiorstwa transportowe. Jedynym anglojęzycznym odpowiednikiem tego pojęcia jest ang. </w:t>
            </w:r>
            <w:r w:rsidR="00725FD6" w:rsidRPr="005E7040">
              <w:rPr>
                <w:rFonts w:ascii="Arial" w:hAnsi="Arial" w:cs="Arial"/>
                <w:i/>
                <w:color w:val="000000" w:themeColor="text1"/>
                <w:sz w:val="22"/>
                <w:szCs w:val="22"/>
              </w:rPr>
              <w:t>T</w:t>
            </w:r>
            <w:r w:rsidRPr="005E7040">
              <w:rPr>
                <w:rFonts w:ascii="Arial" w:hAnsi="Arial" w:cs="Arial"/>
                <w:i/>
                <w:color w:val="000000" w:themeColor="text1"/>
                <w:sz w:val="22"/>
                <w:szCs w:val="22"/>
              </w:rPr>
              <w:t xml:space="preserve">ransport and </w:t>
            </w:r>
            <w:r w:rsidR="00725FD6" w:rsidRPr="005E7040">
              <w:rPr>
                <w:rFonts w:ascii="Arial" w:hAnsi="Arial" w:cs="Arial"/>
                <w:i/>
                <w:color w:val="000000" w:themeColor="text1"/>
                <w:sz w:val="22"/>
                <w:szCs w:val="22"/>
              </w:rPr>
              <w:pgNum/>
            </w:r>
            <w:r w:rsidR="00725FD6" w:rsidRPr="005E7040">
              <w:rPr>
                <w:rFonts w:ascii="Arial" w:hAnsi="Arial" w:cs="Arial"/>
                <w:i/>
                <w:color w:val="000000" w:themeColor="text1"/>
                <w:sz w:val="22"/>
                <w:szCs w:val="22"/>
              </w:rPr>
              <w:t>ogistics</w:t>
            </w:r>
            <w:r w:rsidR="006F6B2F" w:rsidRPr="005E7040">
              <w:rPr>
                <w:rFonts w:ascii="Arial" w:hAnsi="Arial" w:cs="Arial"/>
                <w:i/>
                <w:color w:val="000000" w:themeColor="text1"/>
                <w:sz w:val="22"/>
                <w:szCs w:val="22"/>
              </w:rPr>
              <w:t xml:space="preserve"> </w:t>
            </w:r>
            <w:r w:rsidR="006F6B2F" w:rsidRPr="005E7040">
              <w:rPr>
                <w:rFonts w:ascii="Arial" w:hAnsi="Arial" w:cs="Arial"/>
                <w:color w:val="000000" w:themeColor="text1"/>
                <w:sz w:val="22"/>
                <w:szCs w:val="22"/>
              </w:rPr>
              <w:t xml:space="preserve">(cytat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r w:rsidR="006F4FD2" w:rsidRPr="005E7040" w14:paraId="2E482C36" w14:textId="77777777" w:rsidTr="005E7040">
        <w:tc>
          <w:tcPr>
            <w:tcW w:w="0" w:type="auto"/>
            <w:vAlign w:val="center"/>
          </w:tcPr>
          <w:p w14:paraId="7C6B82FA" w14:textId="77777777" w:rsidR="00160EC0" w:rsidRPr="005E7040" w:rsidRDefault="00664B8F"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Spójność terytorialna</w:t>
            </w:r>
          </w:p>
        </w:tc>
        <w:tc>
          <w:tcPr>
            <w:tcW w:w="0" w:type="auto"/>
            <w:vAlign w:val="center"/>
          </w:tcPr>
          <w:p w14:paraId="438CB96A" w14:textId="6B067D39" w:rsidR="00664B8F"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Spójność terytorialną stanowi sieć wzajemnych powiązań wielu aspektów współczesnej przestrzeni życiowej (spójność gospodarcza, transportowa, ekologiczna, rozwojowa, społeczna i inne), wyrażająca się poprzez minimalizację występowania konfliktów przestrzennych oraz równoważenia różnic potencjałów rozwojowych pomiędzy regionami, </w:t>
            </w:r>
            <w:r w:rsidR="00B20A52">
              <w:rPr>
                <w:rFonts w:ascii="Arial" w:hAnsi="Arial" w:cs="Arial"/>
                <w:color w:val="000000" w:themeColor="text1"/>
                <w:sz w:val="22"/>
                <w:szCs w:val="22"/>
              </w:rPr>
              <w:br/>
            </w:r>
            <w:r w:rsidRPr="005E7040">
              <w:rPr>
                <w:rFonts w:ascii="Arial" w:hAnsi="Arial" w:cs="Arial"/>
                <w:color w:val="000000" w:themeColor="text1"/>
                <w:sz w:val="22"/>
                <w:szCs w:val="22"/>
              </w:rPr>
              <w:t>a także negatywnych efektów procesów rozwojowych (wynikających tak z indywidualnych cech poszczególnych regionów jak i specyfiki rynków globalnych).</w:t>
            </w:r>
          </w:p>
          <w:p w14:paraId="08B1F672" w14:textId="28D9512A" w:rsidR="00160EC0"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 Unii Europejskiej spójność terytorialna stanowi wyższą formę, na którą składają się poszczególne polityki sektorowe. Ze względu na ich równolegle funkcjonowanie i wzajemne przenikanie, nie należy rozpatrywać spójności wewnątrzwspólnotowej z rozdziałem na poszczególne ich aspekty. Dlatego też rolą spójności terytorialnej powinno być integrowanie wszelkich dotychczasowych polityk w ścisłym odniesieniu do przestrzeni</w:t>
            </w:r>
            <w:r w:rsidR="006F6B2F" w:rsidRPr="005E7040">
              <w:rPr>
                <w:rFonts w:ascii="Arial" w:hAnsi="Arial" w:cs="Arial"/>
                <w:color w:val="000000" w:themeColor="text1"/>
                <w:sz w:val="22"/>
                <w:szCs w:val="22"/>
              </w:rPr>
              <w:t xml:space="preserve"> (cytat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r w:rsidR="006F4FD2" w:rsidRPr="005E7040" w14:paraId="440E5C73" w14:textId="77777777" w:rsidTr="005E7040">
        <w:tc>
          <w:tcPr>
            <w:tcW w:w="0" w:type="auto"/>
            <w:vAlign w:val="center"/>
          </w:tcPr>
          <w:p w14:paraId="21D4E152" w14:textId="77777777" w:rsidR="00160EC0" w:rsidRPr="005E7040" w:rsidRDefault="00664B8F"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Subsydiarność</w:t>
            </w:r>
          </w:p>
        </w:tc>
        <w:tc>
          <w:tcPr>
            <w:tcW w:w="0" w:type="auto"/>
            <w:vAlign w:val="center"/>
          </w:tcPr>
          <w:p w14:paraId="7ED4C81F" w14:textId="7328706F" w:rsidR="00160EC0"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Jest jedną z podstawowych zasad ustrojowych Unii Europejskiej. W uproszczeniu zasada ta oznacza, że na szczeblu wspólnotowym powinny być podejmowane tylko te działania, które zapewniają większą skuteczność i efektywność, niż w przypadku, gdyby prowadzenie stosownych akcji pozostawić w wyłącznej kompetencji rządów poszczególnych państw członkowskich. Od 2007 r. w transporcie organy Wspólnoty (Komisja, Rada, Parlament) ustalają jednolite regulacje rynków międzynarodowych, zasady uczciwej konkurencji, strategie i finansowanie infrastruktury paneuropejskiej, kierunki wzmacniania spójności przestrzeni gospodarczej ugrupowania, pomoc finansową z budżetu UE, relacje z krajami trzecimi. Zgodnie z zasadą subsydiarności władze państw członkowskich odpowiadają za narodowy proces legislacyjny dotyczący transportu, kształtowanie struktury podmiotowej sektora transportu, regulację krajowych rynków transportowych, procesy inwestycyjne w sieci transportu krajowego, rynek pracy. Władze regionalne </w:t>
            </w:r>
            <w:r w:rsidR="00B20A52">
              <w:rPr>
                <w:rFonts w:ascii="Arial" w:hAnsi="Arial" w:cs="Arial"/>
                <w:color w:val="000000" w:themeColor="text1"/>
                <w:sz w:val="22"/>
                <w:szCs w:val="22"/>
              </w:rPr>
              <w:br/>
            </w:r>
            <w:r w:rsidRPr="005E7040">
              <w:rPr>
                <w:rFonts w:ascii="Arial" w:hAnsi="Arial" w:cs="Arial"/>
                <w:color w:val="000000" w:themeColor="text1"/>
                <w:sz w:val="22"/>
                <w:szCs w:val="22"/>
              </w:rPr>
              <w:t>i lokalne mają kompetencje w zakresie: zamówień publicznych i przetargów, bezpieczeństwa transportu, ochrony środowiska, eliminacji kongestii. W myśl tej zasady przedsiębiorstwa transportowe mają wyłączną kompetencję w zakresie: kształtowania wielkości i struktury działalności, rozwoju majątku bezpośrednio produkcyjnego, sposobów zaspokajania popytu rynkowego, rozwoju technologii przewozowych, innowacji i prac modernizacyjnych</w:t>
            </w:r>
            <w:r w:rsidR="006F6B2F" w:rsidRPr="005E7040">
              <w:rPr>
                <w:rFonts w:ascii="Arial" w:hAnsi="Arial" w:cs="Arial"/>
                <w:color w:val="000000" w:themeColor="text1"/>
                <w:sz w:val="22"/>
                <w:szCs w:val="22"/>
              </w:rPr>
              <w:t xml:space="preserve"> (cytat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r w:rsidR="006F4FD2" w:rsidRPr="005E7040" w14:paraId="45F3C985" w14:textId="77777777" w:rsidTr="005E7040">
        <w:tc>
          <w:tcPr>
            <w:tcW w:w="0" w:type="auto"/>
            <w:vAlign w:val="center"/>
          </w:tcPr>
          <w:p w14:paraId="75FD861C" w14:textId="77777777" w:rsidR="00160EC0" w:rsidRPr="005E7040" w:rsidRDefault="00664B8F"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System NATURA 2000</w:t>
            </w:r>
          </w:p>
        </w:tc>
        <w:tc>
          <w:tcPr>
            <w:tcW w:w="0" w:type="auto"/>
            <w:vAlign w:val="center"/>
          </w:tcPr>
          <w:p w14:paraId="1A0ED450" w14:textId="5890EF17" w:rsidR="00160EC0"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Obszary Natura 2000 są nową formą ochrony przyrody, wprowadzoną w Polsce po przystąpieniu naszego kraju do Unii Europejskiej w 2004 r. i są konsekwencją wdrożenia do naszego systemu prawnego postanowień dyrektywy Rady </w:t>
            </w:r>
            <w:r w:rsidR="00B20A52">
              <w:rPr>
                <w:rFonts w:ascii="Arial" w:hAnsi="Arial" w:cs="Arial"/>
                <w:color w:val="000000" w:themeColor="text1"/>
                <w:sz w:val="22"/>
                <w:szCs w:val="22"/>
              </w:rPr>
              <w:br/>
            </w:r>
            <w:r w:rsidRPr="005E7040">
              <w:rPr>
                <w:rFonts w:ascii="Arial" w:hAnsi="Arial" w:cs="Arial"/>
                <w:color w:val="000000" w:themeColor="text1"/>
                <w:sz w:val="22"/>
                <w:szCs w:val="22"/>
              </w:rPr>
              <w:t>z dnia 21 maja 1992 r. w sprawie ochrony siedlisk naturalnych oraz dzikiej fauny i flory, zwanej dalej dyrektywą „siedliskową” jak i tworzenia obszarów specjalnej ochrony ptaków na podstawie dyrektywy Rady z dnia 2 kwietnia 1979 r. w sprawie ochrony dzikich ptaków zwanej dalej dyrektywą „ptasią”. Od 2005 r jest tworzony katalog obszarów Natura 2000 zawierający opisy ponad 1000 polskich obszarów Natura 2000. Każdy plan lub przedsięwzięcie, które potencjalnie mogłoby wpływać na obszar Natura 2000, musi być (przed zezwoleniem na nie) ocenione pod kątem tego wpływu. Nie można zezwolić na realizację przedsięwzięcia, którego wpływ na obszar Natura 2000 byłby znacząco negatywny.</w:t>
            </w:r>
          </w:p>
        </w:tc>
      </w:tr>
      <w:tr w:rsidR="006F4FD2" w:rsidRPr="005E7040" w14:paraId="7A314B11" w14:textId="77777777" w:rsidTr="005E7040">
        <w:tc>
          <w:tcPr>
            <w:tcW w:w="0" w:type="auto"/>
            <w:vAlign w:val="center"/>
          </w:tcPr>
          <w:p w14:paraId="3486BF98" w14:textId="77777777" w:rsidR="00160EC0" w:rsidRPr="005E7040" w:rsidRDefault="00664B8F"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System transportowy</w:t>
            </w:r>
          </w:p>
        </w:tc>
        <w:tc>
          <w:tcPr>
            <w:tcW w:w="0" w:type="auto"/>
            <w:vAlign w:val="center"/>
          </w:tcPr>
          <w:p w14:paraId="3071009D" w14:textId="7D87474D" w:rsidR="00160EC0"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Jest to pojęcie odnoszące się do wyposażenia i organizacji transportu na danym obszarze (mówi się o systemie transportowym kraju, regionu czy miasta). Jest złożonym układem podsystemów technicznych (gałęziowych, funkcjonalnych), organizacyjnych, finansowych i regulacyjnych. Główny jego szkielet stanowi układ infrastruktury decydujący o dostępności transportowej obszaru. O efektach użytkowych systemu decyduje dostępność i jakość oferowanych usług transportowych. Transport ze swej istoty jest sferą działalności gospodarczej o systemowym charakterze. Użyteczność transportu jest tym większa, im silniejsze i bardziej systemowe są powiązania między jego poszczególnymi formami. Na przestrzeni ostatnich stu kilkudziesięciu lat transport w rozwiniętych gospodarczo krajach stał się sferą w dużej mierze usystematyzowaną, ale istniejące systemy są wciąż niewydolne, przestarzałe </w:t>
            </w:r>
            <w:r w:rsidR="00B20A52">
              <w:rPr>
                <w:rFonts w:ascii="Arial" w:hAnsi="Arial" w:cs="Arial"/>
                <w:color w:val="000000" w:themeColor="text1"/>
                <w:sz w:val="22"/>
                <w:szCs w:val="22"/>
              </w:rPr>
              <w:br/>
            </w:r>
            <w:r w:rsidRPr="005E7040">
              <w:rPr>
                <w:rFonts w:ascii="Arial" w:hAnsi="Arial" w:cs="Arial"/>
                <w:color w:val="000000" w:themeColor="text1"/>
                <w:sz w:val="22"/>
                <w:szCs w:val="22"/>
              </w:rPr>
              <w:t xml:space="preserve">i niekompletne, co stwarza konieczność prowadzenia konsekwentnej polityki ich rozwoju. [patrz także: </w:t>
            </w:r>
            <w:r w:rsidRPr="005E7040">
              <w:rPr>
                <w:rFonts w:ascii="Arial" w:hAnsi="Arial" w:cs="Arial"/>
                <w:b/>
                <w:i/>
                <w:color w:val="000000" w:themeColor="text1"/>
                <w:sz w:val="22"/>
                <w:szCs w:val="22"/>
              </w:rPr>
              <w:t>europejski system transportowy</w:t>
            </w:r>
            <w:r w:rsidRPr="005E7040">
              <w:rPr>
                <w:rFonts w:ascii="Arial" w:hAnsi="Arial" w:cs="Arial"/>
                <w:color w:val="000000" w:themeColor="text1"/>
                <w:sz w:val="22"/>
                <w:szCs w:val="22"/>
              </w:rPr>
              <w:t>]</w:t>
            </w:r>
            <w:r w:rsidR="006F6B2F" w:rsidRPr="005E7040">
              <w:rPr>
                <w:rFonts w:ascii="Arial" w:hAnsi="Arial" w:cs="Arial"/>
                <w:color w:val="000000" w:themeColor="text1"/>
                <w:sz w:val="22"/>
                <w:szCs w:val="22"/>
              </w:rPr>
              <w:t xml:space="preserve"> (cytat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r w:rsidR="006F4FD2" w:rsidRPr="005E7040" w14:paraId="0CA62DEB" w14:textId="77777777" w:rsidTr="005E7040">
        <w:tc>
          <w:tcPr>
            <w:tcW w:w="0" w:type="auto"/>
            <w:vAlign w:val="center"/>
          </w:tcPr>
          <w:p w14:paraId="5019C8AE" w14:textId="77777777" w:rsidR="00160EC0" w:rsidRPr="005E7040" w:rsidRDefault="00664B8F"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Średniookresowa Strategia Rozwoju Kraju</w:t>
            </w:r>
          </w:p>
        </w:tc>
        <w:tc>
          <w:tcPr>
            <w:tcW w:w="0" w:type="auto"/>
            <w:vAlign w:val="center"/>
          </w:tcPr>
          <w:p w14:paraId="08349EA5" w14:textId="703AF171" w:rsidR="00664B8F"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Zgodnie z Ustawą z 6 grudnia 2006 r. o zasadach prowadzenia polityki rozwoju, jest to dokument określający podstawowe uwarunkowania, cele i kierunki rozwoju kraju w wymiarze społecznym, gospodarczym, regionalnym </w:t>
            </w:r>
            <w:r w:rsidR="00B20A52">
              <w:rPr>
                <w:rFonts w:ascii="Arial" w:hAnsi="Arial" w:cs="Arial"/>
                <w:color w:val="000000" w:themeColor="text1"/>
                <w:sz w:val="22"/>
                <w:szCs w:val="22"/>
              </w:rPr>
              <w:br/>
            </w:r>
            <w:r w:rsidRPr="005E7040">
              <w:rPr>
                <w:rFonts w:ascii="Arial" w:hAnsi="Arial" w:cs="Arial"/>
                <w:color w:val="000000" w:themeColor="text1"/>
                <w:sz w:val="22"/>
                <w:szCs w:val="22"/>
              </w:rPr>
              <w:t xml:space="preserve">i przestrzennym, obejmujący okres 4-10 lat, realizowany przez strategie rozwoju oraz przy pomocy programów, </w:t>
            </w:r>
            <w:r w:rsidR="00B20A52">
              <w:rPr>
                <w:rFonts w:ascii="Arial" w:hAnsi="Arial" w:cs="Arial"/>
                <w:color w:val="000000" w:themeColor="text1"/>
                <w:sz w:val="22"/>
                <w:szCs w:val="22"/>
              </w:rPr>
              <w:br/>
            </w:r>
            <w:r w:rsidRPr="005E7040">
              <w:rPr>
                <w:rFonts w:ascii="Arial" w:hAnsi="Arial" w:cs="Arial"/>
                <w:color w:val="000000" w:themeColor="text1"/>
                <w:sz w:val="22"/>
                <w:szCs w:val="22"/>
              </w:rPr>
              <w:t>z uwzględnieniem okresu programowania Unii Europejskiej.</w:t>
            </w:r>
          </w:p>
          <w:p w14:paraId="65B6D4D7" w14:textId="77777777" w:rsidR="00664B8F"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Średniookresowa strategia rozwoju kraju zawiera w szczególności:</w:t>
            </w:r>
          </w:p>
          <w:p w14:paraId="32101F16" w14:textId="77777777" w:rsidR="00664B8F" w:rsidRPr="005E7040" w:rsidRDefault="00664B8F" w:rsidP="005E7040">
            <w:pPr>
              <w:pStyle w:val="Akapitzlist"/>
              <w:numPr>
                <w:ilvl w:val="0"/>
                <w:numId w:val="215"/>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diagnozę sytuacji społecznej, gospodarczej, regionalnej i przestrzennej kraju, z uwzględnieniem stanu środowiska;</w:t>
            </w:r>
          </w:p>
          <w:p w14:paraId="2F8566CF" w14:textId="77777777" w:rsidR="00664B8F" w:rsidRPr="005E7040" w:rsidRDefault="00664B8F" w:rsidP="005E7040">
            <w:pPr>
              <w:pStyle w:val="Akapitzlist"/>
              <w:numPr>
                <w:ilvl w:val="0"/>
                <w:numId w:val="215"/>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prognozę trendów rozwojowych w okresie objętym strategią;</w:t>
            </w:r>
          </w:p>
          <w:p w14:paraId="2BC5E88B" w14:textId="77777777" w:rsidR="00664B8F" w:rsidRPr="005E7040" w:rsidRDefault="00664B8F" w:rsidP="005E7040">
            <w:pPr>
              <w:pStyle w:val="Akapitzlist"/>
              <w:numPr>
                <w:ilvl w:val="0"/>
                <w:numId w:val="215"/>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informację o sposobie uwzględnienia rekomendacji wynikających z raportu ewaluacyjnego, zawierającego szacunkową ocenę skutków strategii, sporządzonego przed rozpoczęciem jej realizacji;</w:t>
            </w:r>
          </w:p>
          <w:p w14:paraId="6276F210" w14:textId="77777777" w:rsidR="00664B8F" w:rsidRPr="005E7040" w:rsidRDefault="00664B8F" w:rsidP="005E7040">
            <w:pPr>
              <w:pStyle w:val="Akapitzlist"/>
              <w:numPr>
                <w:ilvl w:val="0"/>
                <w:numId w:val="215"/>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określenie celów strategicznych w okresie realizacji strategii w wymiarze społecznym, gospodarczym, regionalnym i przestrzennym;</w:t>
            </w:r>
          </w:p>
          <w:p w14:paraId="08313A4A" w14:textId="77777777" w:rsidR="00664B8F" w:rsidRPr="005E7040" w:rsidRDefault="00664B8F" w:rsidP="005E7040">
            <w:pPr>
              <w:pStyle w:val="Akapitzlist"/>
              <w:numPr>
                <w:ilvl w:val="0"/>
                <w:numId w:val="215"/>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wskaźniki realizacji;</w:t>
            </w:r>
          </w:p>
          <w:p w14:paraId="6395E0A1" w14:textId="77777777" w:rsidR="00664B8F" w:rsidRPr="005E7040" w:rsidRDefault="00664B8F" w:rsidP="005E7040">
            <w:pPr>
              <w:pStyle w:val="Akapitzlist"/>
              <w:numPr>
                <w:ilvl w:val="0"/>
                <w:numId w:val="215"/>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określenie kierunków polityki państwa służących osiąganiu celów strategicznych polityki rozwoju;</w:t>
            </w:r>
          </w:p>
          <w:p w14:paraId="07D75FBA" w14:textId="77777777" w:rsidR="00664B8F" w:rsidRPr="005E7040" w:rsidRDefault="00664B8F" w:rsidP="005E7040">
            <w:pPr>
              <w:pStyle w:val="Akapitzlist"/>
              <w:numPr>
                <w:ilvl w:val="0"/>
                <w:numId w:val="215"/>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określenie kierunków interwencji podmiotów, o których mowa w </w:t>
            </w:r>
            <w:r w:rsidR="00725FD6" w:rsidRPr="005E7040">
              <w:rPr>
                <w:rFonts w:ascii="Arial" w:hAnsi="Arial" w:cs="Arial"/>
                <w:color w:val="000000" w:themeColor="text1"/>
                <w:sz w:val="22"/>
                <w:szCs w:val="22"/>
              </w:rPr>
              <w:t>art</w:t>
            </w:r>
            <w:r w:rsidRPr="005E7040">
              <w:rPr>
                <w:rFonts w:ascii="Arial" w:hAnsi="Arial" w:cs="Arial"/>
                <w:color w:val="000000" w:themeColor="text1"/>
                <w:sz w:val="22"/>
                <w:szCs w:val="22"/>
              </w:rPr>
              <w:t>. 3, służącej osiąganiu celów strategicznych polityki rozwoju;</w:t>
            </w:r>
          </w:p>
          <w:p w14:paraId="6C8010E0" w14:textId="77777777" w:rsidR="00664B8F" w:rsidRPr="005E7040" w:rsidRDefault="00664B8F" w:rsidP="005E7040">
            <w:pPr>
              <w:pStyle w:val="Akapitzlist"/>
              <w:numPr>
                <w:ilvl w:val="0"/>
                <w:numId w:val="215"/>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wyznaczenie obszarów problemowych o znaczeniu krajowym i ponadregionalnym wymagających interwencji państwa;</w:t>
            </w:r>
          </w:p>
          <w:p w14:paraId="081444F5" w14:textId="1CC1CF90" w:rsidR="00160EC0" w:rsidRPr="005E7040" w:rsidRDefault="00664B8F" w:rsidP="005E7040">
            <w:pPr>
              <w:pStyle w:val="Akapitzlist"/>
              <w:numPr>
                <w:ilvl w:val="0"/>
                <w:numId w:val="215"/>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założenia systemu realizacji oraz ram finansowych</w:t>
            </w:r>
            <w:r w:rsidR="006F6B2F" w:rsidRPr="005E7040">
              <w:rPr>
                <w:rFonts w:ascii="Arial" w:hAnsi="Arial" w:cs="Arial"/>
                <w:color w:val="000000" w:themeColor="text1"/>
                <w:sz w:val="22"/>
                <w:szCs w:val="22"/>
              </w:rPr>
              <w:t xml:space="preserve"> (cytat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r w:rsidR="006F4FD2" w:rsidRPr="005E7040" w14:paraId="680575C5" w14:textId="77777777" w:rsidTr="005E7040">
        <w:tc>
          <w:tcPr>
            <w:tcW w:w="0" w:type="auto"/>
            <w:vAlign w:val="center"/>
          </w:tcPr>
          <w:p w14:paraId="5E3C4BB6" w14:textId="77777777" w:rsidR="00160EC0" w:rsidRPr="005E7040" w:rsidRDefault="00664B8F"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Tanie linie lotnicze</w:t>
            </w:r>
          </w:p>
        </w:tc>
        <w:tc>
          <w:tcPr>
            <w:tcW w:w="0" w:type="auto"/>
            <w:vAlign w:val="center"/>
          </w:tcPr>
          <w:p w14:paraId="4A317FED" w14:textId="795B9E78" w:rsidR="00160EC0"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Są to linie obsługiwane przez przewoźników niskobudżetowych (ang. </w:t>
            </w:r>
            <w:r w:rsidR="00725FD6" w:rsidRPr="005E7040">
              <w:rPr>
                <w:rFonts w:ascii="Arial" w:hAnsi="Arial" w:cs="Arial"/>
                <w:i/>
                <w:color w:val="000000" w:themeColor="text1"/>
                <w:sz w:val="22"/>
                <w:szCs w:val="22"/>
              </w:rPr>
              <w:t>L</w:t>
            </w:r>
            <w:r w:rsidRPr="005E7040">
              <w:rPr>
                <w:rFonts w:ascii="Arial" w:hAnsi="Arial" w:cs="Arial"/>
                <w:i/>
                <w:color w:val="000000" w:themeColor="text1"/>
                <w:sz w:val="22"/>
                <w:szCs w:val="22"/>
              </w:rPr>
              <w:t>ow cost</w:t>
            </w:r>
            <w:r w:rsidRPr="005E7040">
              <w:rPr>
                <w:rFonts w:ascii="Arial" w:hAnsi="Arial" w:cs="Arial"/>
                <w:color w:val="000000" w:themeColor="text1"/>
                <w:sz w:val="22"/>
                <w:szCs w:val="22"/>
              </w:rPr>
              <w:t>) oferujących usługi przewozu lotniczego osób po cenach niższych niż tradycyjne linie lotnicze. Niższe koszty przewozu pasażerów są możliwe dzięki korzystaniu z tańszych w obsłudze lotnisk (często usytuowanych w sporej odległości od miasta docelowego) oraz zrezygnowaniu z wielu usług, takich jak bezpłatne posiłki i napoje na pokładzie, dostęp do gazet i radia oraz pełnej obsługi bagażu. Koszty obniżono w wyniku redukcji do niezbędnego, wymaganego przepisami, personelu pokładowego oraz skrócono czas pobytu na lotnisku. Oszczędności uzyskano dzięki ujednoliceniu floty samolotów oraz znacznemu zagęszczeniu miejsc siedzących (mniejsze odstępy między rzędami foteli). Oszczędności uzyskano także dzięki wprowadzeniu na wielką skalę bezpośredniej sprzedaż biletów (głównie przez Internet i telefonicznie). Konkurencja na rynku i kryzys lat 2007-2009 wyeliminował z sektora przewozów regularnych znaczną liczbę przewoźników niskobudżetowych</w:t>
            </w:r>
            <w:r w:rsidR="006F6B2F" w:rsidRPr="005E7040">
              <w:rPr>
                <w:rFonts w:ascii="Arial" w:hAnsi="Arial" w:cs="Arial"/>
                <w:color w:val="000000" w:themeColor="text1"/>
                <w:sz w:val="22"/>
                <w:szCs w:val="22"/>
              </w:rPr>
              <w:t xml:space="preserve"> (cytat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r w:rsidR="006F4FD2" w:rsidRPr="005E7040" w14:paraId="148706BB" w14:textId="77777777" w:rsidTr="005E7040">
        <w:tc>
          <w:tcPr>
            <w:tcW w:w="0" w:type="auto"/>
            <w:vAlign w:val="center"/>
          </w:tcPr>
          <w:p w14:paraId="3483FC21" w14:textId="77777777" w:rsidR="00160EC0" w:rsidRPr="005E7040" w:rsidRDefault="00664B8F"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Transport intermodalny, kombinowany, multimodalny i komodalny</w:t>
            </w:r>
          </w:p>
        </w:tc>
        <w:tc>
          <w:tcPr>
            <w:tcW w:w="0" w:type="auto"/>
            <w:vAlign w:val="center"/>
          </w:tcPr>
          <w:p w14:paraId="466C579A" w14:textId="77777777" w:rsidR="00664B8F"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Zgodnie z leksykonem terminologii transportu kombinowanego UNECE, EDCMT i Komisji Europejskiej z 2001 r., </w:t>
            </w:r>
            <w:r w:rsidRPr="005E7040">
              <w:rPr>
                <w:rFonts w:ascii="Arial" w:hAnsi="Arial" w:cs="Arial"/>
                <w:b/>
                <w:color w:val="000000" w:themeColor="text1"/>
                <w:sz w:val="22"/>
                <w:szCs w:val="22"/>
              </w:rPr>
              <w:t>transport intermodalny</w:t>
            </w:r>
            <w:r w:rsidRPr="005E7040">
              <w:rPr>
                <w:rFonts w:ascii="Arial" w:hAnsi="Arial" w:cs="Arial"/>
                <w:color w:val="000000" w:themeColor="text1"/>
                <w:sz w:val="22"/>
                <w:szCs w:val="22"/>
              </w:rPr>
              <w:t xml:space="preserve"> polega na dostawie danego ładunku za pomocą dwóch lub więcej gałęzi transportu w tej samej jednostce ładunkowej lub pojeździe bez dodatkowych operacji ładunkowych. W przewozach międzynarodowych transport ten organizuje jeden jedyny operator. </w:t>
            </w:r>
          </w:p>
          <w:p w14:paraId="45699213" w14:textId="75D0A629" w:rsidR="00664B8F" w:rsidRPr="005E7040" w:rsidRDefault="00664B8F" w:rsidP="005E7040">
            <w:pPr>
              <w:spacing w:line="276" w:lineRule="auto"/>
              <w:rPr>
                <w:rFonts w:ascii="Arial" w:hAnsi="Arial" w:cs="Arial"/>
                <w:color w:val="000000" w:themeColor="text1"/>
                <w:sz w:val="22"/>
                <w:szCs w:val="22"/>
              </w:rPr>
            </w:pPr>
            <w:r w:rsidRPr="005E7040">
              <w:rPr>
                <w:rFonts w:ascii="Arial" w:hAnsi="Arial" w:cs="Arial"/>
                <w:b/>
                <w:color w:val="000000" w:themeColor="text1"/>
                <w:sz w:val="22"/>
                <w:szCs w:val="22"/>
              </w:rPr>
              <w:t>Transport kombinowany</w:t>
            </w:r>
            <w:r w:rsidRPr="005E7040">
              <w:rPr>
                <w:rFonts w:ascii="Arial" w:hAnsi="Arial" w:cs="Arial"/>
                <w:color w:val="000000" w:themeColor="text1"/>
                <w:sz w:val="22"/>
                <w:szCs w:val="22"/>
              </w:rPr>
              <w:t xml:space="preserve"> został zdefiniowany najprecyzyjniej w </w:t>
            </w:r>
            <w:r w:rsidR="001F2D8F" w:rsidRPr="005E7040">
              <w:rPr>
                <w:rFonts w:ascii="Arial" w:hAnsi="Arial" w:cs="Arial"/>
                <w:color w:val="000000" w:themeColor="text1"/>
                <w:sz w:val="22"/>
                <w:szCs w:val="22"/>
              </w:rPr>
              <w:t>D</w:t>
            </w:r>
            <w:r w:rsidRPr="005E7040">
              <w:rPr>
                <w:rFonts w:ascii="Arial" w:hAnsi="Arial" w:cs="Arial"/>
                <w:color w:val="000000" w:themeColor="text1"/>
                <w:sz w:val="22"/>
                <w:szCs w:val="22"/>
              </w:rPr>
              <w:t>yrektywie Unii Europejskiej 92/106/EEC z 7 grudnia 2002 r. jako przewóz towarów, w którym samochód ciężarowy, przyczepa, naczepa z lub bez jednostki ciągnącej, nadwozie wymienne lub kontener korzysta z drogi w początkowym i końcowym odcinku podróży, a na innym odcinku powyżej 100 km w linii prostej – z usług transportu kolejowego, wodnego śródlądowego lub morskiego. Przewóz transportem drogowym w początkowym i końcowym odcinku wykonywany jest w następujący sposób:</w:t>
            </w:r>
          </w:p>
          <w:p w14:paraId="7E15C8A7" w14:textId="77777777" w:rsidR="00664B8F" w:rsidRPr="005E7040" w:rsidRDefault="00664B8F" w:rsidP="005E7040">
            <w:pPr>
              <w:pStyle w:val="Akapitzlist"/>
              <w:numPr>
                <w:ilvl w:val="0"/>
                <w:numId w:val="216"/>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pomiędzy punktem, gdzie towary są załadowane i najbliższą odpowiednią kolejową stacją załadunkową dla odcinka początkowego oraz pomiędzy najbliższą odpowiednią stacją wyładunkową a punktem, gdzie towary są wyładowywane dla końcowego odcinka;</w:t>
            </w:r>
          </w:p>
          <w:p w14:paraId="24BFA222" w14:textId="60835772" w:rsidR="00664B8F" w:rsidRPr="005E7040" w:rsidRDefault="00664B8F" w:rsidP="005E7040">
            <w:pPr>
              <w:pStyle w:val="Akapitzlist"/>
              <w:numPr>
                <w:ilvl w:val="0"/>
                <w:numId w:val="216"/>
              </w:num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 promieniu nieprzekraczającym 150 km w linii prostej od portu żeglugi śródlądowej lub portu morskiego załadunku lub wyładunku.”</w:t>
            </w:r>
          </w:p>
          <w:p w14:paraId="66BBC8BE" w14:textId="77777777" w:rsidR="00664B8F" w:rsidRPr="005E7040" w:rsidRDefault="00664B8F" w:rsidP="005E7040">
            <w:pPr>
              <w:spacing w:line="276" w:lineRule="auto"/>
              <w:rPr>
                <w:rFonts w:ascii="Arial" w:hAnsi="Arial" w:cs="Arial"/>
                <w:color w:val="000000" w:themeColor="text1"/>
                <w:sz w:val="22"/>
                <w:szCs w:val="22"/>
              </w:rPr>
            </w:pPr>
            <w:r w:rsidRPr="005E7040">
              <w:rPr>
                <w:rFonts w:ascii="Arial" w:hAnsi="Arial" w:cs="Arial"/>
                <w:b/>
                <w:color w:val="000000" w:themeColor="text1"/>
                <w:sz w:val="22"/>
                <w:szCs w:val="22"/>
              </w:rPr>
              <w:t>Transport multimodalny</w:t>
            </w:r>
            <w:r w:rsidRPr="005E7040">
              <w:rPr>
                <w:rFonts w:ascii="Arial" w:hAnsi="Arial" w:cs="Arial"/>
                <w:color w:val="000000" w:themeColor="text1"/>
                <w:sz w:val="22"/>
                <w:szCs w:val="22"/>
              </w:rPr>
              <w:t xml:space="preserve"> to przewóz ładunków przy użyciu co najmniej dwóch różnych gałęzi transportu, gdzie towar może być przeładowywany do innej jednostki przy zmianie środka przewozu. Transport multimodalny obejmuje wszystkie możliwe gałęzie i technologie przewozów, między którymi mogą występować powiązania, a towary mogą zmieniać jednostki ładunkowe w procesie przewozowym,</w:t>
            </w:r>
          </w:p>
          <w:p w14:paraId="4D110B6C" w14:textId="450F32B0" w:rsidR="00664B8F" w:rsidRPr="005E7040" w:rsidRDefault="00664B8F" w:rsidP="005E7040">
            <w:pPr>
              <w:spacing w:line="276" w:lineRule="auto"/>
              <w:rPr>
                <w:rFonts w:ascii="Arial" w:hAnsi="Arial" w:cs="Arial"/>
                <w:color w:val="000000" w:themeColor="text1"/>
                <w:sz w:val="22"/>
                <w:szCs w:val="22"/>
              </w:rPr>
            </w:pPr>
            <w:r w:rsidRPr="005E7040">
              <w:rPr>
                <w:rFonts w:ascii="Arial" w:hAnsi="Arial" w:cs="Arial"/>
                <w:b/>
                <w:color w:val="000000" w:themeColor="text1"/>
                <w:sz w:val="22"/>
                <w:szCs w:val="22"/>
              </w:rPr>
              <w:t>Transport bimodalny</w:t>
            </w:r>
            <w:r w:rsidRPr="005E7040">
              <w:rPr>
                <w:rFonts w:ascii="Arial" w:hAnsi="Arial" w:cs="Arial"/>
                <w:color w:val="000000" w:themeColor="text1"/>
                <w:sz w:val="22"/>
                <w:szCs w:val="22"/>
              </w:rPr>
              <w:t xml:space="preserve"> to przewożenie ładownych lub próżnych naczep samochodowych transportem kolejowym, stosując bezpośrednie ich oparcie na wózkach wagonowych. Koncepcja pociągu bimodalnego polega na zastąpieniu niektórych elementów klasycznego pociągu elementami pojazdów drogowych. Odpowiednio skonstruowane naczepy samochodowe mają ustrój nośny mogący pełnić rolę nadwozi wagonowych z chwilą osadzenia naczepy na wózkach kolejowych wyposażonych w tzw. adaptery. Pociąg bimodalny składa się zatem z naczepy samochodowej, adapteru (urządzenia zapewniającego pośrednie oparcie dwóch naczep na jednym wózku kolejowym lub połączenie zestawu </w:t>
            </w:r>
            <w:r w:rsidR="00B20A52">
              <w:rPr>
                <w:rFonts w:ascii="Arial" w:hAnsi="Arial" w:cs="Arial"/>
                <w:color w:val="000000" w:themeColor="text1"/>
                <w:sz w:val="22"/>
                <w:szCs w:val="22"/>
              </w:rPr>
              <w:br/>
            </w:r>
            <w:r w:rsidRPr="005E7040">
              <w:rPr>
                <w:rFonts w:ascii="Arial" w:hAnsi="Arial" w:cs="Arial"/>
                <w:color w:val="000000" w:themeColor="text1"/>
                <w:sz w:val="22"/>
                <w:szCs w:val="22"/>
              </w:rPr>
              <w:t>z lokomotywą, bądź pociągiem towarowym), dwuosiowego wózka wagonowego, wyposażonego w komplet urządzeń hamulcowych. Pomimo, że w skład takiego pociągu wchodzą elementy konstrukcyjne naczep samochodowych musi on spełniać wszelkie wymagania stawia</w:t>
            </w:r>
            <w:r w:rsidR="00B20A52">
              <w:rPr>
                <w:rFonts w:ascii="Arial" w:hAnsi="Arial" w:cs="Arial"/>
                <w:color w:val="000000" w:themeColor="text1"/>
                <w:sz w:val="22"/>
                <w:szCs w:val="22"/>
              </w:rPr>
              <w:t>ne normalnym pociągom towarowym</w:t>
            </w:r>
          </w:p>
          <w:p w14:paraId="21F00561" w14:textId="6CB7C24B" w:rsidR="00664B8F" w:rsidRPr="005E7040" w:rsidRDefault="00664B8F" w:rsidP="005E7040">
            <w:pPr>
              <w:spacing w:line="276" w:lineRule="auto"/>
              <w:rPr>
                <w:rFonts w:ascii="Arial" w:hAnsi="Arial" w:cs="Arial"/>
                <w:color w:val="000000" w:themeColor="text1"/>
                <w:sz w:val="22"/>
                <w:szCs w:val="22"/>
              </w:rPr>
            </w:pPr>
            <w:r w:rsidRPr="005E7040">
              <w:rPr>
                <w:rFonts w:ascii="Arial" w:hAnsi="Arial" w:cs="Arial"/>
                <w:b/>
                <w:color w:val="000000" w:themeColor="text1"/>
                <w:sz w:val="22"/>
                <w:szCs w:val="22"/>
              </w:rPr>
              <w:t>Transport komodalny</w:t>
            </w:r>
            <w:r w:rsidRPr="005E7040">
              <w:rPr>
                <w:rFonts w:ascii="Arial" w:hAnsi="Arial" w:cs="Arial"/>
                <w:color w:val="000000" w:themeColor="text1"/>
                <w:sz w:val="22"/>
                <w:szCs w:val="22"/>
              </w:rPr>
              <w:t xml:space="preserve"> </w:t>
            </w:r>
            <w:r w:rsidR="00C45B14" w:rsidRPr="005E7040">
              <w:rPr>
                <w:rFonts w:ascii="Arial" w:hAnsi="Arial" w:cs="Arial"/>
                <w:b/>
                <w:bCs/>
                <w:color w:val="000000" w:themeColor="text1"/>
                <w:sz w:val="22"/>
                <w:szCs w:val="22"/>
              </w:rPr>
              <w:t>[komondalność]</w:t>
            </w:r>
          </w:p>
          <w:p w14:paraId="60A596B4" w14:textId="4D71A699" w:rsidR="00C45B14" w:rsidRPr="005E7040" w:rsidRDefault="00C45B14"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Współmodalność ( ang. comodality) - efektywne wykorzystanie wszystkich środków transportu samodzielnie </w:t>
            </w:r>
            <w:r w:rsidR="00A339F0">
              <w:rPr>
                <w:rFonts w:ascii="Arial" w:hAnsi="Arial" w:cs="Arial"/>
                <w:color w:val="000000" w:themeColor="text1"/>
                <w:sz w:val="22"/>
                <w:szCs w:val="22"/>
              </w:rPr>
              <w:br/>
            </w:r>
            <w:r w:rsidRPr="005E7040">
              <w:rPr>
                <w:rFonts w:ascii="Arial" w:hAnsi="Arial" w:cs="Arial"/>
                <w:color w:val="000000" w:themeColor="text1"/>
                <w:sz w:val="22"/>
                <w:szCs w:val="22"/>
              </w:rPr>
              <w:t>i w połączeniu z innymi w celu optymalnego i zrównoważonego wykorzystania zasobów. Definicja według A. Giorgio, KOMODA i logistyka w Europie: Komodalność i Zintegrowane Zarządzanie Ruchem Miejskim. „Logistyka” 2009, nr 2.</w:t>
            </w:r>
          </w:p>
          <w:p w14:paraId="100B173C" w14:textId="79E60967" w:rsidR="00160EC0" w:rsidRPr="005E7040" w:rsidRDefault="00664B8F"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Transport multimodalny nie powinien być mylony z transportem intermodalnym lub kombinowanym. Multimodalność oznacza istnienie alternatywnych środków transportu na tej samej trasie przewozu, podczas gdy intermodalność polega na wykorzystaniu kilku środków transportu w jednym zintegrowanym łańcuchu przewozowym na danej trasie. Multimodalność jest ważnym aspektem zarówno miejskich systemów transportowych (przejazd na tej samej trasie autobusem, tramwajem lub metrem), jak i w transporcie pozamiejskim. Jest ona szczególnie przydatna w relacjach, </w:t>
            </w:r>
            <w:r w:rsidR="00B20A52">
              <w:rPr>
                <w:rFonts w:ascii="Arial" w:hAnsi="Arial" w:cs="Arial"/>
                <w:color w:val="000000" w:themeColor="text1"/>
                <w:sz w:val="22"/>
                <w:szCs w:val="22"/>
              </w:rPr>
              <w:br/>
            </w:r>
            <w:r w:rsidRPr="005E7040">
              <w:rPr>
                <w:rFonts w:ascii="Arial" w:hAnsi="Arial" w:cs="Arial"/>
                <w:color w:val="000000" w:themeColor="text1"/>
                <w:sz w:val="22"/>
                <w:szCs w:val="22"/>
              </w:rPr>
              <w:t>w których z różnych przyczyn mogą występować zakłócenia w funkcjonowaniu jednego z dobrze rozwiniętych systemów przewozowych. Najbardziej pożądaną przez podróżnych formą tej multimodalności jest możliwość korzystania albo z usług lotniczych, albo z usług szybkich pociągów</w:t>
            </w:r>
            <w:r w:rsidR="00C45B14" w:rsidRPr="005E7040">
              <w:rPr>
                <w:rFonts w:ascii="Arial" w:hAnsi="Arial" w:cs="Arial"/>
                <w:color w:val="000000" w:themeColor="text1"/>
                <w:sz w:val="22"/>
                <w:szCs w:val="22"/>
              </w:rPr>
              <w:t xml:space="preserve"> (cytat za: </w:t>
            </w:r>
            <w:r w:rsidR="00C45B14" w:rsidRPr="005E7040">
              <w:rPr>
                <w:rFonts w:ascii="Arial" w:hAnsi="Arial" w:cs="Arial"/>
                <w:i/>
                <w:iCs/>
                <w:color w:val="000000" w:themeColor="text1"/>
                <w:sz w:val="22"/>
                <w:szCs w:val="22"/>
              </w:rPr>
              <w:t>Słownik pojęć Strategii rozwoju transportu do roku 2020 (z perspektywą do 2030 roku)</w:t>
            </w:r>
            <w:r w:rsidR="00C45B14" w:rsidRPr="005E7040">
              <w:rPr>
                <w:rFonts w:ascii="Arial" w:hAnsi="Arial" w:cs="Arial"/>
                <w:color w:val="000000" w:themeColor="text1"/>
                <w:sz w:val="22"/>
                <w:szCs w:val="22"/>
              </w:rPr>
              <w:t>.</w:t>
            </w:r>
          </w:p>
        </w:tc>
      </w:tr>
      <w:tr w:rsidR="006F4FD2" w:rsidRPr="005E7040" w14:paraId="13F17C35" w14:textId="77777777" w:rsidTr="005E7040">
        <w:tc>
          <w:tcPr>
            <w:tcW w:w="0" w:type="auto"/>
            <w:vAlign w:val="center"/>
          </w:tcPr>
          <w:p w14:paraId="1B19F4AD" w14:textId="77777777" w:rsidR="00160EC0" w:rsidRPr="005E7040" w:rsidRDefault="00E31086"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Zarządzanie transportem publicznym</w:t>
            </w:r>
          </w:p>
        </w:tc>
        <w:tc>
          <w:tcPr>
            <w:tcW w:w="0" w:type="auto"/>
            <w:vAlign w:val="center"/>
          </w:tcPr>
          <w:p w14:paraId="4DCC41ED" w14:textId="77777777" w:rsidR="00E31086" w:rsidRPr="005E7040" w:rsidRDefault="00E31086"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Zgodnie z Ustawą z 16 grudnia 2010 r. o publicznym transporcie zbiorowym, zarządzanie publicznym transportem zbiorowym przez organizatora polega w szczególności na:</w:t>
            </w:r>
          </w:p>
          <w:p w14:paraId="3009F9F7" w14:textId="77777777" w:rsidR="00E31086" w:rsidRPr="005E7040" w:rsidRDefault="00E31086" w:rsidP="005E7040">
            <w:pPr>
              <w:pStyle w:val="Akapitzlist"/>
              <w:numPr>
                <w:ilvl w:val="0"/>
                <w:numId w:val="217"/>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negocjowaniu i zatwierdzaniu zmian do umowy z operatorem;</w:t>
            </w:r>
          </w:p>
          <w:p w14:paraId="09C73C8B" w14:textId="77777777" w:rsidR="00E31086" w:rsidRPr="005E7040" w:rsidRDefault="00E31086" w:rsidP="005E7040">
            <w:pPr>
              <w:pStyle w:val="Akapitzlist"/>
              <w:numPr>
                <w:ilvl w:val="0"/>
                <w:numId w:val="217"/>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ocenie i kontroli realizacji przez operatora i przewoźnika usług w zakresie publicznego transportu zbiorowego;</w:t>
            </w:r>
          </w:p>
          <w:p w14:paraId="3B6A62BC" w14:textId="77777777" w:rsidR="00E31086" w:rsidRPr="005E7040" w:rsidRDefault="00E31086" w:rsidP="005E7040">
            <w:pPr>
              <w:pStyle w:val="Akapitzlist"/>
              <w:numPr>
                <w:ilvl w:val="0"/>
                <w:numId w:val="217"/>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kontroli nad przestrzeganiem przez operatora i przewoźnika zasad funkcjonowania publicznego transportu zbiorowego,</w:t>
            </w:r>
          </w:p>
          <w:p w14:paraId="7B5A8FA6" w14:textId="77777777" w:rsidR="00E31086" w:rsidRPr="005E7040" w:rsidRDefault="00E31086" w:rsidP="005E7040">
            <w:pPr>
              <w:pStyle w:val="Akapitzlist"/>
              <w:numPr>
                <w:ilvl w:val="0"/>
                <w:numId w:val="217"/>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współpracy przy aktualizacji rozkładów jazdy w celu poprawy funkcjonowania przewozów o charakterze użyteczności publicznej;</w:t>
            </w:r>
          </w:p>
          <w:p w14:paraId="5C45CCD6" w14:textId="77777777" w:rsidR="00E31086" w:rsidRPr="005E7040" w:rsidRDefault="00E31086" w:rsidP="005E7040">
            <w:pPr>
              <w:pStyle w:val="Akapitzlist"/>
              <w:numPr>
                <w:ilvl w:val="0"/>
                <w:numId w:val="217"/>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analizie realizacji zaspokajania potrzeb przewozowych wynikających z wykonywania przewozów na podstawie umowy o świadczenie usług w zakresie publicznego transportu zbiorowego;</w:t>
            </w:r>
          </w:p>
          <w:p w14:paraId="7CD01F8E" w14:textId="77777777" w:rsidR="00E31086" w:rsidRPr="005E7040" w:rsidRDefault="00E31086" w:rsidP="005E7040">
            <w:pPr>
              <w:pStyle w:val="Akapitzlist"/>
              <w:numPr>
                <w:ilvl w:val="0"/>
                <w:numId w:val="217"/>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dokonywaniu zmian w przebiegu istniejących linii komunikacyjnych;</w:t>
            </w:r>
          </w:p>
          <w:p w14:paraId="5757876A" w14:textId="77777777" w:rsidR="00E31086" w:rsidRPr="005E7040" w:rsidRDefault="00E31086" w:rsidP="005E7040">
            <w:pPr>
              <w:pStyle w:val="Akapitzlist"/>
              <w:numPr>
                <w:ilvl w:val="0"/>
                <w:numId w:val="217"/>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zatwierdzaniu rozkładów jazdy oraz dokonywaniu ich aktualizacji w przypadku przewozów wykonywanych na podstawie potwierdzenia zgłoszenia przewozu;</w:t>
            </w:r>
          </w:p>
          <w:p w14:paraId="53F2DF06" w14:textId="77777777" w:rsidR="00E31086" w:rsidRPr="005E7040" w:rsidRDefault="00E31086" w:rsidP="005E7040">
            <w:pPr>
              <w:pStyle w:val="Akapitzlist"/>
              <w:numPr>
                <w:ilvl w:val="0"/>
                <w:numId w:val="217"/>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administrowaniu systemem informacji dla pasażera;</w:t>
            </w:r>
          </w:p>
          <w:p w14:paraId="2762CA24" w14:textId="1FAD7581" w:rsidR="00160EC0" w:rsidRPr="005E7040" w:rsidRDefault="00E31086" w:rsidP="005E7040">
            <w:pPr>
              <w:pStyle w:val="Akapitzlist"/>
              <w:numPr>
                <w:ilvl w:val="0"/>
                <w:numId w:val="217"/>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 xml:space="preserve">wykonywaniu zadań, o których mowa w </w:t>
            </w:r>
            <w:r w:rsidR="00725FD6" w:rsidRPr="005E7040">
              <w:rPr>
                <w:rFonts w:ascii="Arial" w:hAnsi="Arial" w:cs="Arial"/>
                <w:color w:val="000000" w:themeColor="text1"/>
                <w:sz w:val="22"/>
                <w:szCs w:val="22"/>
              </w:rPr>
              <w:t>art</w:t>
            </w:r>
            <w:r w:rsidRPr="005E7040">
              <w:rPr>
                <w:rFonts w:ascii="Arial" w:hAnsi="Arial" w:cs="Arial"/>
                <w:color w:val="000000" w:themeColor="text1"/>
                <w:sz w:val="22"/>
                <w:szCs w:val="22"/>
              </w:rPr>
              <w:t>. 7 ust. 1 i 3 rozporządzenia (WE) nr 1370/2007</w:t>
            </w:r>
            <w:r w:rsidR="006F6B2F" w:rsidRPr="005E7040">
              <w:rPr>
                <w:rFonts w:ascii="Arial" w:hAnsi="Arial" w:cs="Arial"/>
                <w:color w:val="000000" w:themeColor="text1"/>
                <w:sz w:val="22"/>
                <w:szCs w:val="22"/>
              </w:rPr>
              <w:t xml:space="preserve"> (cytat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r w:rsidR="006F4FD2" w:rsidRPr="005E7040" w14:paraId="553C74D5" w14:textId="77777777" w:rsidTr="005E7040">
        <w:tc>
          <w:tcPr>
            <w:tcW w:w="0" w:type="auto"/>
            <w:vAlign w:val="center"/>
          </w:tcPr>
          <w:p w14:paraId="3236A86A" w14:textId="77777777" w:rsidR="00160EC0" w:rsidRPr="005E7040" w:rsidRDefault="00E31086"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Zielone korytarze</w:t>
            </w:r>
          </w:p>
        </w:tc>
        <w:tc>
          <w:tcPr>
            <w:tcW w:w="0" w:type="auto"/>
            <w:vAlign w:val="center"/>
          </w:tcPr>
          <w:p w14:paraId="75E7B5F5" w14:textId="5B099F54" w:rsidR="00160EC0" w:rsidRPr="005E7040" w:rsidRDefault="00E31086"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Pod pojęciem zielonych korytarzy transportowych kryje się idea korytarzy dla transportu towarowego wykorzystujących zaawansowane technologie (tabor, ITS) oraz współmodalność, która zakłada wzajemne uzupełnianie się żeglugi morskiej bliskiego zasięgu, kolei, żeglugi śródlądowej i transportu drogowego dla umożliwienia wyboru transportu przyjaznego środowisku. Na trasie tych korytarzy powinny znajdować się obiekty przeładunkowe zlokalizowane </w:t>
            </w:r>
            <w:r w:rsidR="00B20A52">
              <w:rPr>
                <w:rFonts w:ascii="Arial" w:hAnsi="Arial" w:cs="Arial"/>
                <w:color w:val="000000" w:themeColor="text1"/>
                <w:sz w:val="22"/>
                <w:szCs w:val="22"/>
              </w:rPr>
              <w:br/>
            </w:r>
            <w:r w:rsidRPr="005E7040">
              <w:rPr>
                <w:rFonts w:ascii="Arial" w:hAnsi="Arial" w:cs="Arial"/>
                <w:color w:val="000000" w:themeColor="text1"/>
                <w:sz w:val="22"/>
                <w:szCs w:val="22"/>
              </w:rPr>
              <w:t xml:space="preserve">w strategicznych miejscach (takich jak porty morskie, porty śródlądowe, stacje rozrządowe i inne właściwe terminale </w:t>
            </w:r>
            <w:r w:rsidR="00B20A52">
              <w:rPr>
                <w:rFonts w:ascii="Arial" w:hAnsi="Arial" w:cs="Arial"/>
                <w:color w:val="000000" w:themeColor="text1"/>
                <w:sz w:val="22"/>
                <w:szCs w:val="22"/>
              </w:rPr>
              <w:br/>
            </w:r>
            <w:r w:rsidRPr="005E7040">
              <w:rPr>
                <w:rFonts w:ascii="Arial" w:hAnsi="Arial" w:cs="Arial"/>
                <w:color w:val="000000" w:themeColor="text1"/>
                <w:sz w:val="22"/>
                <w:szCs w:val="22"/>
              </w:rPr>
              <w:t>i urządzenia logistyczne) oraz punkty zaopatrzenia w ekologiczne paliwo. Zielone korytarze charakteryzować mają się zrównoważonymi rozwiązaniami logistycznymi, zharmonizowanym systemem zasad, efektywną i strategicznie zlokalizowaną infrastrukturą i punktami przeładunkowymi, obejmować mają również platformę dla rozwoju i pokazu nowych rozwiązań logistycznych</w:t>
            </w:r>
            <w:r w:rsidR="006F6B2F" w:rsidRPr="005E7040">
              <w:rPr>
                <w:rFonts w:ascii="Arial" w:hAnsi="Arial" w:cs="Arial"/>
                <w:color w:val="000000" w:themeColor="text1"/>
                <w:sz w:val="22"/>
                <w:szCs w:val="22"/>
              </w:rPr>
              <w:t xml:space="preserve"> (cytat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r w:rsidR="00D96A9C" w:rsidRPr="005E7040" w14:paraId="4781FDC8" w14:textId="77777777" w:rsidTr="005E7040">
        <w:tc>
          <w:tcPr>
            <w:tcW w:w="0" w:type="auto"/>
            <w:vAlign w:val="center"/>
          </w:tcPr>
          <w:p w14:paraId="1F91F348" w14:textId="363541C5" w:rsidR="00D96A9C" w:rsidRPr="005E7040" w:rsidRDefault="00D96A9C"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Zielono-niebieska infrastruktura</w:t>
            </w:r>
          </w:p>
        </w:tc>
        <w:tc>
          <w:tcPr>
            <w:tcW w:w="0" w:type="auto"/>
            <w:vAlign w:val="center"/>
          </w:tcPr>
          <w:p w14:paraId="3D2ECD2D" w14:textId="1C51D6CA" w:rsidR="00D96A9C" w:rsidRPr="005E7040" w:rsidRDefault="00D96A9C"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Mianem tzw. </w:t>
            </w:r>
            <w:r w:rsidRPr="005E7040">
              <w:rPr>
                <w:rFonts w:ascii="Arial" w:hAnsi="Arial" w:cs="Arial"/>
                <w:i/>
                <w:color w:val="000000" w:themeColor="text1"/>
                <w:sz w:val="22"/>
                <w:szCs w:val="22"/>
              </w:rPr>
              <w:t>zielono-niebieskiej infrastruktury</w:t>
            </w:r>
            <w:r w:rsidRPr="005E7040">
              <w:rPr>
                <w:rFonts w:ascii="Arial" w:hAnsi="Arial" w:cs="Arial"/>
                <w:color w:val="000000" w:themeColor="text1"/>
                <w:sz w:val="22"/>
                <w:szCs w:val="22"/>
              </w:rPr>
              <w:t xml:space="preserve"> (lub też </w:t>
            </w:r>
            <w:r w:rsidRPr="005E7040">
              <w:rPr>
                <w:rFonts w:ascii="Arial" w:hAnsi="Arial" w:cs="Arial"/>
                <w:i/>
                <w:color w:val="000000" w:themeColor="text1"/>
                <w:sz w:val="22"/>
                <w:szCs w:val="22"/>
              </w:rPr>
              <w:t>zielono-błękitnej</w:t>
            </w:r>
            <w:r w:rsidRPr="005E7040">
              <w:rPr>
                <w:rFonts w:ascii="Arial" w:hAnsi="Arial" w:cs="Arial"/>
                <w:color w:val="000000" w:themeColor="text1"/>
                <w:sz w:val="22"/>
                <w:szCs w:val="22"/>
              </w:rPr>
              <w:t>) określa się kategorię inwestycji służącą zapobieganiu lub kompensacji skutków zmian klimatycznych uwidaczniających się w postaci anomalii pogodowych</w:t>
            </w:r>
            <w:r w:rsidR="00B20A52">
              <w:rPr>
                <w:rFonts w:ascii="Arial" w:hAnsi="Arial" w:cs="Arial"/>
                <w:color w:val="000000" w:themeColor="text1"/>
                <w:sz w:val="22"/>
                <w:szCs w:val="22"/>
              </w:rPr>
              <w:t xml:space="preserve"> </w:t>
            </w:r>
            <w:r w:rsidR="00B20A52">
              <w:rPr>
                <w:rFonts w:ascii="Arial" w:hAnsi="Arial" w:cs="Arial"/>
                <w:color w:val="000000" w:themeColor="text1"/>
                <w:sz w:val="22"/>
                <w:szCs w:val="22"/>
              </w:rPr>
              <w:br/>
            </w:r>
            <w:r w:rsidR="009971BE" w:rsidRPr="005E7040">
              <w:rPr>
                <w:rFonts w:ascii="Arial" w:hAnsi="Arial" w:cs="Arial"/>
                <w:color w:val="000000" w:themeColor="text1"/>
                <w:sz w:val="22"/>
                <w:szCs w:val="22"/>
              </w:rPr>
              <w:t>i niepożądanych zjawisk, takich jak np.</w:t>
            </w:r>
            <w:r w:rsidRPr="005E7040">
              <w:rPr>
                <w:rFonts w:ascii="Arial" w:hAnsi="Arial" w:cs="Arial"/>
                <w:color w:val="000000" w:themeColor="text1"/>
                <w:sz w:val="22"/>
                <w:szCs w:val="22"/>
              </w:rPr>
              <w:t xml:space="preserve"> potęgujące się susz</w:t>
            </w:r>
            <w:r w:rsidR="009971BE" w:rsidRPr="005E7040">
              <w:rPr>
                <w:rFonts w:ascii="Arial" w:hAnsi="Arial" w:cs="Arial"/>
                <w:color w:val="000000" w:themeColor="text1"/>
                <w:sz w:val="22"/>
                <w:szCs w:val="22"/>
              </w:rPr>
              <w:t>e</w:t>
            </w:r>
            <w:r w:rsidRPr="005E7040">
              <w:rPr>
                <w:rFonts w:ascii="Arial" w:hAnsi="Arial" w:cs="Arial"/>
                <w:color w:val="000000" w:themeColor="text1"/>
                <w:sz w:val="22"/>
                <w:szCs w:val="22"/>
              </w:rPr>
              <w:t>. Istotą zielono-niebieskiej infrastruktury jest połączenie zadań i celów związanych z gospodarowaniem wodami, a także różnymi formami zieleni.</w:t>
            </w:r>
          </w:p>
        </w:tc>
      </w:tr>
      <w:tr w:rsidR="00613027" w:rsidRPr="005E7040" w14:paraId="29232038" w14:textId="77777777" w:rsidTr="005E7040">
        <w:tc>
          <w:tcPr>
            <w:tcW w:w="0" w:type="auto"/>
            <w:vAlign w:val="center"/>
          </w:tcPr>
          <w:p w14:paraId="00869AFC" w14:textId="0A26F658" w:rsidR="00613027" w:rsidRPr="005E7040" w:rsidRDefault="00613027"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Zintegrowany Model Ruchu</w:t>
            </w:r>
          </w:p>
        </w:tc>
        <w:tc>
          <w:tcPr>
            <w:tcW w:w="0" w:type="auto"/>
            <w:vAlign w:val="center"/>
          </w:tcPr>
          <w:p w14:paraId="3805F067" w14:textId="77777777" w:rsidR="00613027" w:rsidRPr="005E7040" w:rsidRDefault="00613027"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Zintegrowany Model Ruchu (ZMR) jest pasażerskim modelem multimodalnym, który odwzorowuje Średni Dobowy Ruch Roczny (ŚDRR) pomiędzy wszystkimi gminami w Polsce w podziale na transport indywidualny i zbiorowy, który obejmuje połączenia kolejowe oraz autobusowe. W trakcie procesu obliczeniowego uwzględnia się wzajemne oddziaływanie konkurencyjnych środków transportu. Jest to kluczowy element z punktu widzenia prognoz ruchu, gdzie możliwe jest równoległe uwzględnienie inwestycji drogowych oraz kolejowych. W celu odwzorowania rzeczywistych warunków ruchu drogowego w ZMR został dodatkowo ujęty ruch ciężarowy na drogach.</w:t>
            </w:r>
          </w:p>
          <w:p w14:paraId="56E471C3" w14:textId="17B6F58C" w:rsidR="00613027" w:rsidRPr="005E7040" w:rsidRDefault="00613027"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W procesie wzajemnego oddziaływania poszczególnych środków transportu brane pod uwagę są kluczowe aspekty jakimi kierują się podróżni, czyli: odległość podróży, czas podróży oraz poniesione koszty pieniężne.</w:t>
            </w:r>
          </w:p>
          <w:p w14:paraId="14ED3795" w14:textId="133301FC" w:rsidR="00613027" w:rsidRPr="005E7040" w:rsidRDefault="00613027"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ZMR jest w pełni </w:t>
            </w:r>
            <w:r w:rsidRPr="005E7040">
              <w:rPr>
                <w:rFonts w:ascii="Arial" w:hAnsi="Arial" w:cs="Arial"/>
                <w:i/>
                <w:color w:val="000000" w:themeColor="text1"/>
                <w:sz w:val="22"/>
                <w:szCs w:val="22"/>
              </w:rPr>
              <w:t>czterostopniowym modelem ruchu</w:t>
            </w:r>
            <w:r w:rsidRPr="005E7040">
              <w:rPr>
                <w:rFonts w:ascii="Arial" w:hAnsi="Arial" w:cs="Arial"/>
                <w:color w:val="000000" w:themeColor="text1"/>
                <w:sz w:val="22"/>
                <w:szCs w:val="22"/>
              </w:rPr>
              <w:t>, który zawiera pełne obliczenia dla modeli bazowych oraz prognostycznych na następujących etapach:</w:t>
            </w:r>
          </w:p>
          <w:p w14:paraId="02AC8FC6" w14:textId="31145421" w:rsidR="00DF3930" w:rsidRPr="005E7040" w:rsidRDefault="00613027" w:rsidP="005E7040">
            <w:pPr>
              <w:pStyle w:val="Akapitzlist"/>
              <w:numPr>
                <w:ilvl w:val="0"/>
                <w:numId w:val="305"/>
              </w:numPr>
              <w:spacing w:line="276" w:lineRule="auto"/>
              <w:rPr>
                <w:rFonts w:ascii="Arial" w:hAnsi="Arial" w:cs="Arial"/>
                <w:color w:val="000000" w:themeColor="text1"/>
                <w:sz w:val="22"/>
                <w:szCs w:val="22"/>
              </w:rPr>
            </w:pPr>
            <w:r w:rsidRPr="005E7040">
              <w:rPr>
                <w:rFonts w:ascii="Arial" w:hAnsi="Arial" w:cs="Arial"/>
                <w:i/>
                <w:color w:val="000000" w:themeColor="text1"/>
                <w:sz w:val="22"/>
                <w:szCs w:val="22"/>
              </w:rPr>
              <w:t>Generacja ruchu</w:t>
            </w:r>
            <w:r w:rsidRPr="005E7040">
              <w:rPr>
                <w:rFonts w:ascii="Arial" w:hAnsi="Arial" w:cs="Arial"/>
                <w:color w:val="000000" w:themeColor="text1"/>
                <w:sz w:val="22"/>
                <w:szCs w:val="22"/>
              </w:rPr>
              <w:t xml:space="preserve"> – określa ilość podróży rozpoczynanych i kończonych w każdej gminie.</w:t>
            </w:r>
          </w:p>
          <w:p w14:paraId="7493EA51" w14:textId="77777777" w:rsidR="00DF3930" w:rsidRPr="005E7040" w:rsidRDefault="00613027" w:rsidP="005E7040">
            <w:pPr>
              <w:pStyle w:val="Akapitzlist"/>
              <w:numPr>
                <w:ilvl w:val="0"/>
                <w:numId w:val="305"/>
              </w:numPr>
              <w:spacing w:line="276" w:lineRule="auto"/>
              <w:rPr>
                <w:rFonts w:ascii="Arial" w:hAnsi="Arial" w:cs="Arial"/>
                <w:color w:val="000000" w:themeColor="text1"/>
                <w:sz w:val="22"/>
                <w:szCs w:val="22"/>
              </w:rPr>
            </w:pPr>
            <w:r w:rsidRPr="005E7040">
              <w:rPr>
                <w:rFonts w:ascii="Arial" w:hAnsi="Arial" w:cs="Arial"/>
                <w:i/>
                <w:color w:val="000000" w:themeColor="text1"/>
                <w:sz w:val="22"/>
                <w:szCs w:val="22"/>
              </w:rPr>
              <w:t>Rozkład przestrzenny ruchu</w:t>
            </w:r>
            <w:r w:rsidRPr="005E7040">
              <w:rPr>
                <w:rFonts w:ascii="Arial" w:hAnsi="Arial" w:cs="Arial"/>
                <w:color w:val="000000" w:themeColor="text1"/>
                <w:sz w:val="22"/>
                <w:szCs w:val="22"/>
              </w:rPr>
              <w:t xml:space="preserve"> – określa ilość podróży pomiędzy każdą parą gmin (więźbę ruchu).</w:t>
            </w:r>
          </w:p>
          <w:p w14:paraId="01C31C96" w14:textId="77777777" w:rsidR="00DF3930" w:rsidRPr="005E7040" w:rsidRDefault="00613027" w:rsidP="005E7040">
            <w:pPr>
              <w:pStyle w:val="Akapitzlist"/>
              <w:numPr>
                <w:ilvl w:val="0"/>
                <w:numId w:val="305"/>
              </w:numPr>
              <w:spacing w:line="276" w:lineRule="auto"/>
              <w:rPr>
                <w:rFonts w:ascii="Arial" w:hAnsi="Arial" w:cs="Arial"/>
                <w:color w:val="000000" w:themeColor="text1"/>
                <w:sz w:val="22"/>
                <w:szCs w:val="22"/>
              </w:rPr>
            </w:pPr>
            <w:r w:rsidRPr="005E7040">
              <w:rPr>
                <w:rFonts w:ascii="Arial" w:hAnsi="Arial" w:cs="Arial"/>
                <w:i/>
                <w:color w:val="000000" w:themeColor="text1"/>
                <w:sz w:val="22"/>
                <w:szCs w:val="22"/>
              </w:rPr>
              <w:t>Podział zadań przewozowych</w:t>
            </w:r>
            <w:r w:rsidRPr="005E7040">
              <w:rPr>
                <w:rFonts w:ascii="Arial" w:hAnsi="Arial" w:cs="Arial"/>
                <w:color w:val="000000" w:themeColor="text1"/>
                <w:sz w:val="22"/>
                <w:szCs w:val="22"/>
              </w:rPr>
              <w:t xml:space="preserve"> – określa prawdopodobieństwo odbycia podróży komunikacją zbiorową oraz komunikacją indywidualną dla każdej pary gmin.</w:t>
            </w:r>
          </w:p>
          <w:p w14:paraId="60EC7E87" w14:textId="77777777" w:rsidR="00DF3930" w:rsidRPr="005E7040" w:rsidRDefault="00613027" w:rsidP="005E7040">
            <w:pPr>
              <w:pStyle w:val="Akapitzlist"/>
              <w:numPr>
                <w:ilvl w:val="0"/>
                <w:numId w:val="305"/>
              </w:numPr>
              <w:spacing w:line="276" w:lineRule="auto"/>
              <w:rPr>
                <w:rFonts w:ascii="Arial" w:hAnsi="Arial" w:cs="Arial"/>
                <w:color w:val="000000" w:themeColor="text1"/>
                <w:sz w:val="22"/>
                <w:szCs w:val="22"/>
              </w:rPr>
            </w:pPr>
            <w:r w:rsidRPr="005E7040">
              <w:rPr>
                <w:rFonts w:ascii="Arial" w:hAnsi="Arial" w:cs="Arial"/>
                <w:i/>
                <w:color w:val="000000" w:themeColor="text1"/>
                <w:sz w:val="22"/>
                <w:szCs w:val="22"/>
              </w:rPr>
              <w:t>Rozkład ruchu na sieć</w:t>
            </w:r>
            <w:r w:rsidRPr="005E7040">
              <w:rPr>
                <w:rFonts w:ascii="Arial" w:hAnsi="Arial" w:cs="Arial"/>
                <w:color w:val="000000" w:themeColor="text1"/>
                <w:sz w:val="22"/>
                <w:szCs w:val="22"/>
              </w:rPr>
              <w:t xml:space="preserve"> – wybiera trasy przejazdu dla wszystkich podróży między gminami, zarówno dla komunikacji zbiorowej jak i komunikacji indywidualnej.</w:t>
            </w:r>
          </w:p>
          <w:p w14:paraId="46F46713" w14:textId="6BBEF481" w:rsidR="00613027" w:rsidRPr="005E7040" w:rsidRDefault="00613027" w:rsidP="005E7040">
            <w:pPr>
              <w:pStyle w:val="Akapitzlist"/>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 xml:space="preserve">(treść pochodzi z portalu www CUPT: </w:t>
            </w:r>
            <w:r w:rsidRPr="005E7040">
              <w:rPr>
                <w:rFonts w:ascii="Arial" w:hAnsi="Arial" w:cs="Arial"/>
                <w:i/>
                <w:color w:val="000000" w:themeColor="text1"/>
                <w:sz w:val="22"/>
                <w:szCs w:val="22"/>
              </w:rPr>
              <w:t xml:space="preserve">https://www.cupt.gov.pl/centrum-unijnych-projektow-transportowych/zintegrowany-model-ruchu/ </w:t>
            </w:r>
            <w:r w:rsidRPr="005E7040">
              <w:rPr>
                <w:rFonts w:ascii="Arial" w:hAnsi="Arial" w:cs="Arial"/>
                <w:color w:val="000000" w:themeColor="text1"/>
                <w:sz w:val="22"/>
                <w:szCs w:val="22"/>
              </w:rPr>
              <w:t>dostęp z dnia 11.09.2023</w:t>
            </w:r>
            <w:r w:rsidR="00DF3930" w:rsidRPr="005E7040">
              <w:rPr>
                <w:rFonts w:ascii="Arial" w:hAnsi="Arial" w:cs="Arial"/>
                <w:color w:val="000000" w:themeColor="text1"/>
                <w:sz w:val="22"/>
                <w:szCs w:val="22"/>
              </w:rPr>
              <w:t>,</w:t>
            </w:r>
            <w:r w:rsidRPr="005E7040">
              <w:rPr>
                <w:rFonts w:ascii="Arial" w:hAnsi="Arial" w:cs="Arial"/>
                <w:color w:val="000000" w:themeColor="text1"/>
                <w:sz w:val="22"/>
                <w:szCs w:val="22"/>
              </w:rPr>
              <w:t xml:space="preserve"> godz. 8:40)</w:t>
            </w:r>
          </w:p>
        </w:tc>
      </w:tr>
      <w:tr w:rsidR="006F4FD2" w:rsidRPr="005E7040" w14:paraId="1616B74C" w14:textId="77777777" w:rsidTr="005E7040">
        <w:tc>
          <w:tcPr>
            <w:tcW w:w="0" w:type="auto"/>
            <w:vAlign w:val="center"/>
          </w:tcPr>
          <w:p w14:paraId="0B5B00E6" w14:textId="77777777" w:rsidR="00160EC0" w:rsidRPr="005E7040" w:rsidRDefault="00E31086"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Zintegrowany System Transportowy</w:t>
            </w:r>
          </w:p>
        </w:tc>
        <w:tc>
          <w:tcPr>
            <w:tcW w:w="0" w:type="auto"/>
            <w:vAlign w:val="center"/>
          </w:tcPr>
          <w:p w14:paraId="3D3E3226" w14:textId="5E9A5483" w:rsidR="00160EC0" w:rsidRPr="005E7040" w:rsidRDefault="00E31086"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System, który optymalnie zaspokaja potrzeby transportowe, polega na powiązaniu działalności wszystkich gałęzi transportu w jedną całość zarówno pod względem wewnętrznym (tj. działalności międzygałęziowej), jak i zewnętrznym (tj. w stosunku do całej gospodarki i jej działów korzystających z transportu)</w:t>
            </w:r>
            <w:r w:rsidR="006F6B2F" w:rsidRPr="005E7040">
              <w:rPr>
                <w:rFonts w:ascii="Arial" w:hAnsi="Arial" w:cs="Arial"/>
                <w:color w:val="000000" w:themeColor="text1"/>
                <w:sz w:val="22"/>
                <w:szCs w:val="22"/>
              </w:rPr>
              <w:t xml:space="preserve"> (cytat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r w:rsidR="00787A98" w:rsidRPr="005E7040" w14:paraId="555C46E8" w14:textId="77777777" w:rsidTr="005E7040">
        <w:tc>
          <w:tcPr>
            <w:tcW w:w="0" w:type="auto"/>
            <w:vAlign w:val="center"/>
          </w:tcPr>
          <w:p w14:paraId="008289C6" w14:textId="77777777" w:rsidR="00160EC0" w:rsidRPr="005E7040" w:rsidRDefault="008716C0" w:rsidP="005E7040">
            <w:pPr>
              <w:spacing w:line="276" w:lineRule="auto"/>
              <w:rPr>
                <w:rFonts w:ascii="Arial" w:hAnsi="Arial" w:cs="Arial"/>
                <w:b/>
                <w:color w:val="000000" w:themeColor="text1"/>
                <w:sz w:val="22"/>
                <w:szCs w:val="22"/>
              </w:rPr>
            </w:pPr>
            <w:r w:rsidRPr="005E7040">
              <w:rPr>
                <w:rFonts w:ascii="Arial" w:hAnsi="Arial" w:cs="Arial"/>
                <w:b/>
                <w:color w:val="000000" w:themeColor="text1"/>
                <w:sz w:val="22"/>
                <w:szCs w:val="22"/>
              </w:rPr>
              <w:t>Zrównoważony rozwój transportu</w:t>
            </w:r>
          </w:p>
        </w:tc>
        <w:tc>
          <w:tcPr>
            <w:tcW w:w="0" w:type="auto"/>
            <w:vAlign w:val="center"/>
          </w:tcPr>
          <w:p w14:paraId="2AEC1605" w14:textId="77777777" w:rsidR="008716C0" w:rsidRPr="005E7040" w:rsidRDefault="008716C0" w:rsidP="005E7040">
            <w:pPr>
              <w:spacing w:line="276" w:lineRule="auto"/>
              <w:rPr>
                <w:rFonts w:ascii="Arial" w:hAnsi="Arial" w:cs="Arial"/>
                <w:color w:val="000000" w:themeColor="text1"/>
                <w:sz w:val="22"/>
                <w:szCs w:val="22"/>
              </w:rPr>
            </w:pPr>
            <w:r w:rsidRPr="005E7040">
              <w:rPr>
                <w:rFonts w:ascii="Arial" w:hAnsi="Arial" w:cs="Arial"/>
                <w:color w:val="000000" w:themeColor="text1"/>
                <w:sz w:val="22"/>
                <w:szCs w:val="22"/>
              </w:rPr>
              <w:t>Jest to taki rozwój transportu, który:</w:t>
            </w:r>
          </w:p>
          <w:p w14:paraId="3E159449" w14:textId="0AA9B5D0" w:rsidR="008716C0" w:rsidRPr="005E7040" w:rsidRDefault="008716C0" w:rsidP="005E7040">
            <w:pPr>
              <w:pStyle w:val="Akapitzlist"/>
              <w:numPr>
                <w:ilvl w:val="0"/>
                <w:numId w:val="218"/>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 xml:space="preserve">zapewnia dostępność celów komunikacyjnych w sposób bezpieczny, niezagrażający zdrowiu ludzi i środowisku </w:t>
            </w:r>
            <w:r w:rsidR="00B20A52">
              <w:rPr>
                <w:rFonts w:ascii="Arial" w:hAnsi="Arial" w:cs="Arial"/>
                <w:color w:val="000000" w:themeColor="text1"/>
                <w:sz w:val="22"/>
                <w:szCs w:val="22"/>
              </w:rPr>
              <w:br/>
            </w:r>
            <w:r w:rsidRPr="005E7040">
              <w:rPr>
                <w:rFonts w:ascii="Arial" w:hAnsi="Arial" w:cs="Arial"/>
                <w:color w:val="000000" w:themeColor="text1"/>
                <w:sz w:val="22"/>
                <w:szCs w:val="22"/>
              </w:rPr>
              <w:t>w sposób równy dla obecnej i następnych generacji;</w:t>
            </w:r>
          </w:p>
          <w:p w14:paraId="5CE68B06" w14:textId="77777777" w:rsidR="008716C0" w:rsidRPr="005E7040" w:rsidRDefault="008716C0" w:rsidP="005E7040">
            <w:pPr>
              <w:pStyle w:val="Akapitzlist"/>
              <w:numPr>
                <w:ilvl w:val="0"/>
                <w:numId w:val="218"/>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pozwala funkcjonować efektywnie, oferować możliwość wyboru środka transportowego i podtrzymać gospodarkę oraz rozwój regionalny;</w:t>
            </w:r>
          </w:p>
          <w:p w14:paraId="137046E4" w14:textId="2BB0A968" w:rsidR="00160EC0" w:rsidRPr="005E7040" w:rsidRDefault="008716C0" w:rsidP="005E7040">
            <w:pPr>
              <w:pStyle w:val="Akapitzlist"/>
              <w:numPr>
                <w:ilvl w:val="0"/>
                <w:numId w:val="218"/>
              </w:numPr>
              <w:spacing w:line="276" w:lineRule="auto"/>
              <w:ind w:left="584" w:hanging="357"/>
              <w:rPr>
                <w:rFonts w:ascii="Arial" w:hAnsi="Arial" w:cs="Arial"/>
                <w:color w:val="000000" w:themeColor="text1"/>
                <w:sz w:val="22"/>
                <w:szCs w:val="22"/>
              </w:rPr>
            </w:pPr>
            <w:r w:rsidRPr="005E7040">
              <w:rPr>
                <w:rFonts w:ascii="Arial" w:hAnsi="Arial" w:cs="Arial"/>
                <w:color w:val="000000" w:themeColor="text1"/>
                <w:sz w:val="22"/>
                <w:szCs w:val="22"/>
              </w:rPr>
              <w:t xml:space="preserve">ogranicza emisje i odpady w ramach możliwości zaabsorbowania ich przez ziemię, zużywa odnawialne zasoby </w:t>
            </w:r>
            <w:r w:rsidR="00B20A52">
              <w:rPr>
                <w:rFonts w:ascii="Arial" w:hAnsi="Arial" w:cs="Arial"/>
                <w:color w:val="000000" w:themeColor="text1"/>
                <w:sz w:val="22"/>
                <w:szCs w:val="22"/>
              </w:rPr>
              <w:br/>
            </w:r>
            <w:r w:rsidRPr="005E7040">
              <w:rPr>
                <w:rFonts w:ascii="Arial" w:hAnsi="Arial" w:cs="Arial"/>
                <w:color w:val="000000" w:themeColor="text1"/>
                <w:sz w:val="22"/>
                <w:szCs w:val="22"/>
              </w:rPr>
              <w:t>w ilościach możliwych do ich odtworzenia, zużywa nieodnawialne zasoby w ilościach możliwych do ich zastąpienia przez odnawialne substytuty, przy minimalizowaniu zajęcia terenu i hałasu</w:t>
            </w:r>
            <w:r w:rsidR="006F6B2F" w:rsidRPr="005E7040">
              <w:rPr>
                <w:rFonts w:ascii="Arial" w:hAnsi="Arial" w:cs="Arial"/>
                <w:color w:val="000000" w:themeColor="text1"/>
                <w:sz w:val="22"/>
                <w:szCs w:val="22"/>
              </w:rPr>
              <w:t xml:space="preserve"> (cytat za: </w:t>
            </w:r>
            <w:r w:rsidR="006F6B2F" w:rsidRPr="005E7040">
              <w:rPr>
                <w:rFonts w:ascii="Arial" w:hAnsi="Arial" w:cs="Arial"/>
                <w:i/>
                <w:iCs/>
                <w:color w:val="000000" w:themeColor="text1"/>
                <w:sz w:val="22"/>
                <w:szCs w:val="22"/>
              </w:rPr>
              <w:t>Słownik pojęć Strategii rozwoju transportu do roku 2020 (z perspektywą do 2030 roku)</w:t>
            </w:r>
            <w:r w:rsidR="006F6B2F" w:rsidRPr="005E7040">
              <w:rPr>
                <w:rFonts w:ascii="Arial" w:hAnsi="Arial" w:cs="Arial"/>
                <w:color w:val="000000" w:themeColor="text1"/>
                <w:sz w:val="22"/>
                <w:szCs w:val="22"/>
              </w:rPr>
              <w:t>.</w:t>
            </w:r>
          </w:p>
        </w:tc>
      </w:tr>
    </w:tbl>
    <w:p w14:paraId="50192752" w14:textId="77777777" w:rsidR="00D47ABE" w:rsidRPr="009B78DA" w:rsidRDefault="00D47ABE" w:rsidP="00F45E35">
      <w:pPr>
        <w:spacing w:line="276" w:lineRule="auto"/>
        <w:jc w:val="both"/>
        <w:rPr>
          <w:rFonts w:ascii="Arial" w:hAnsi="Arial" w:cs="Arial"/>
          <w:color w:val="000000" w:themeColor="text1"/>
          <w:sz w:val="22"/>
          <w:szCs w:val="22"/>
        </w:rPr>
        <w:sectPr w:rsidR="00D47ABE" w:rsidRPr="009B78DA" w:rsidSect="00160EC0">
          <w:pgSz w:w="16838" w:h="11906" w:orient="landscape"/>
          <w:pgMar w:top="720" w:right="720" w:bottom="720" w:left="720" w:header="708" w:footer="708" w:gutter="0"/>
          <w:cols w:space="708"/>
          <w:docGrid w:linePitch="360"/>
        </w:sectPr>
      </w:pPr>
    </w:p>
    <w:p w14:paraId="57B70595" w14:textId="7C0F7C8D" w:rsidR="00E4342F" w:rsidRPr="009B78DA" w:rsidRDefault="00E4342F" w:rsidP="00A339F0">
      <w:pPr>
        <w:pStyle w:val="Legenda"/>
        <w:keepNext/>
        <w:rPr>
          <w:rFonts w:ascii="Arial" w:hAnsi="Arial" w:cs="Arial"/>
          <w:i w:val="0"/>
          <w:color w:val="000000" w:themeColor="text1"/>
          <w:sz w:val="22"/>
          <w:szCs w:val="22"/>
        </w:rPr>
      </w:pPr>
      <w:bookmarkStart w:id="448" w:name="_Toc146785775"/>
      <w:r w:rsidRPr="009B78DA">
        <w:rPr>
          <w:rFonts w:ascii="Arial" w:hAnsi="Arial" w:cs="Arial"/>
          <w:b/>
          <w:i w:val="0"/>
          <w:color w:val="000000" w:themeColor="text1"/>
          <w:sz w:val="22"/>
          <w:szCs w:val="22"/>
        </w:rPr>
        <w:t xml:space="preserve">Tabela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Tabela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45</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Cele Polityki oraz Cele szczegółowe wraz z ich oznaczeniami numerycznymi, odnoszące się do sfery transportu i determinujące wydatkowanie środków dostępnych </w:t>
      </w:r>
      <w:r w:rsidR="00A606BC" w:rsidRPr="009B78DA">
        <w:rPr>
          <w:rFonts w:ascii="Arial" w:hAnsi="Arial" w:cs="Arial"/>
          <w:i w:val="0"/>
          <w:color w:val="000000" w:themeColor="text1"/>
          <w:sz w:val="22"/>
          <w:szCs w:val="22"/>
        </w:rPr>
        <w:br/>
      </w:r>
      <w:r w:rsidRPr="009B78DA">
        <w:rPr>
          <w:rFonts w:ascii="Arial" w:hAnsi="Arial" w:cs="Arial"/>
          <w:i w:val="0"/>
          <w:color w:val="000000" w:themeColor="text1"/>
          <w:sz w:val="22"/>
          <w:szCs w:val="22"/>
        </w:rPr>
        <w:t>z funduszy europejskich (krajowych oraz regionalnego) w perspektywie finansowej 2021-27 na zadania z tej dziedziny.</w:t>
      </w:r>
      <w:bookmarkEnd w:id="448"/>
    </w:p>
    <w:tbl>
      <w:tblPr>
        <w:tblStyle w:val="Tabela-Siatka"/>
        <w:tblW w:w="5000" w:type="pct"/>
        <w:tblLook w:val="04A0" w:firstRow="1" w:lastRow="0" w:firstColumn="1" w:lastColumn="0" w:noHBand="0" w:noVBand="1"/>
        <w:tblCaption w:val="Tabela 45 Cele Polityki oraz Cele szczegółowe wraz z ich oznaczeniami numerycznymi, odnoszące się do sfery transportu i determinujące wydatkowanie środków dostępnych "/>
        <w:tblDescription w:val="Tabela zawiera Nr Celu Polityki (CP) oraz oznaczenie celu szczegółowego (Cs)i Cel szczegółowy"/>
      </w:tblPr>
      <w:tblGrid>
        <w:gridCol w:w="5807"/>
        <w:gridCol w:w="3255"/>
      </w:tblGrid>
      <w:tr w:rsidR="006F4FD2" w:rsidRPr="009B78DA" w14:paraId="62024AAA" w14:textId="77777777" w:rsidTr="00EB5DAA">
        <w:trPr>
          <w:tblHeader/>
        </w:trPr>
        <w:tc>
          <w:tcPr>
            <w:tcW w:w="3204" w:type="pct"/>
            <w:shd w:val="clear" w:color="auto" w:fill="DEEAF6" w:themeFill="accent1" w:themeFillTint="33"/>
          </w:tcPr>
          <w:p w14:paraId="0B234D12" w14:textId="77777777" w:rsidR="00161051" w:rsidRPr="009B78DA" w:rsidRDefault="00161051" w:rsidP="002A6140">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Nr Celu Polityki (CP) oraz oznaczenie celu szczegółowego (Cs)</w:t>
            </w:r>
          </w:p>
          <w:p w14:paraId="6E5F9897" w14:textId="19090C23" w:rsidR="00BB7F71" w:rsidRPr="009B78DA" w:rsidRDefault="00BB7F71" w:rsidP="002A6140">
            <w:pPr>
              <w:spacing w:line="276" w:lineRule="auto"/>
              <w:jc w:val="center"/>
              <w:rPr>
                <w:rFonts w:ascii="Arial" w:hAnsi="Arial" w:cs="Arial"/>
                <w:b/>
                <w:color w:val="000000" w:themeColor="text1"/>
                <w:sz w:val="22"/>
                <w:szCs w:val="22"/>
              </w:rPr>
            </w:pPr>
          </w:p>
        </w:tc>
        <w:tc>
          <w:tcPr>
            <w:tcW w:w="1796" w:type="pct"/>
            <w:shd w:val="clear" w:color="auto" w:fill="DEEAF6" w:themeFill="accent1" w:themeFillTint="33"/>
          </w:tcPr>
          <w:p w14:paraId="646DC3ED" w14:textId="77777777" w:rsidR="00161051" w:rsidRPr="009B78DA" w:rsidRDefault="00161051" w:rsidP="002A6140">
            <w:pPr>
              <w:spacing w:line="276" w:lineRule="auto"/>
              <w:jc w:val="center"/>
              <w:rPr>
                <w:rFonts w:ascii="Arial" w:hAnsi="Arial" w:cs="Arial"/>
                <w:b/>
                <w:color w:val="000000" w:themeColor="text1"/>
                <w:sz w:val="22"/>
                <w:szCs w:val="22"/>
              </w:rPr>
            </w:pPr>
            <w:r w:rsidRPr="009B78DA">
              <w:rPr>
                <w:rFonts w:ascii="Arial" w:hAnsi="Arial" w:cs="Arial"/>
                <w:b/>
                <w:color w:val="000000" w:themeColor="text1"/>
                <w:sz w:val="22"/>
                <w:szCs w:val="22"/>
              </w:rPr>
              <w:t>Cel szczegółowy</w:t>
            </w:r>
          </w:p>
        </w:tc>
      </w:tr>
      <w:tr w:rsidR="006F4FD2" w:rsidRPr="009B78DA" w14:paraId="17D69F18" w14:textId="77777777" w:rsidTr="009E065B">
        <w:tc>
          <w:tcPr>
            <w:tcW w:w="3204" w:type="pct"/>
          </w:tcPr>
          <w:p w14:paraId="0CF7475C" w14:textId="01F6ED04" w:rsidR="00161051" w:rsidRPr="009B78DA" w:rsidRDefault="00161051" w:rsidP="002A614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Bardziej przyjazna dla środowiska, niskoemisyjna </w:t>
            </w:r>
            <w:r w:rsidR="00BB6759">
              <w:rPr>
                <w:rFonts w:ascii="Arial" w:hAnsi="Arial" w:cs="Arial"/>
                <w:color w:val="000000" w:themeColor="text1"/>
                <w:sz w:val="22"/>
                <w:szCs w:val="22"/>
              </w:rPr>
              <w:br/>
            </w:r>
            <w:r w:rsidRPr="009B78DA">
              <w:rPr>
                <w:rFonts w:ascii="Arial" w:hAnsi="Arial" w:cs="Arial"/>
                <w:color w:val="000000" w:themeColor="text1"/>
                <w:sz w:val="22"/>
                <w:szCs w:val="22"/>
              </w:rPr>
              <w:t xml:space="preserve">i przechodząca w kierunku gospodarki zeroemisyjnej oraz odporna Europa dzięki promowaniu czystej </w:t>
            </w:r>
            <w:r w:rsidR="00BB6759">
              <w:rPr>
                <w:rFonts w:ascii="Arial" w:hAnsi="Arial" w:cs="Arial"/>
                <w:color w:val="000000" w:themeColor="text1"/>
                <w:sz w:val="22"/>
                <w:szCs w:val="22"/>
              </w:rPr>
              <w:br/>
            </w:r>
            <w:r w:rsidRPr="009B78DA">
              <w:rPr>
                <w:rFonts w:ascii="Arial" w:hAnsi="Arial" w:cs="Arial"/>
                <w:color w:val="000000" w:themeColor="text1"/>
                <w:sz w:val="22"/>
                <w:szCs w:val="22"/>
              </w:rPr>
              <w:t xml:space="preserve">i sprawiedliwej transformacji energetycznej, zielonych </w:t>
            </w:r>
            <w:r w:rsidR="00BB6759">
              <w:rPr>
                <w:rFonts w:ascii="Arial" w:hAnsi="Arial" w:cs="Arial"/>
                <w:color w:val="000000" w:themeColor="text1"/>
                <w:sz w:val="22"/>
                <w:szCs w:val="22"/>
              </w:rPr>
              <w:br/>
            </w:r>
            <w:r w:rsidRPr="009B78DA">
              <w:rPr>
                <w:rFonts w:ascii="Arial" w:hAnsi="Arial" w:cs="Arial"/>
                <w:color w:val="000000" w:themeColor="text1"/>
                <w:sz w:val="22"/>
                <w:szCs w:val="22"/>
              </w:rPr>
              <w:t xml:space="preserve">i niebieskich inwestycji, gospodarki o obiegu zamkniętym, łagodzenia zmian klimatu i przystosowania się do nich, zapobiegania ryzyku i zarządzania ryzykiem, oraz zrównoważonej mobilności miejskiej (CP 2) </w:t>
            </w:r>
          </w:p>
        </w:tc>
        <w:tc>
          <w:tcPr>
            <w:tcW w:w="1796" w:type="pct"/>
          </w:tcPr>
          <w:p w14:paraId="0579419C" w14:textId="77777777" w:rsidR="00161051" w:rsidRPr="009B78DA" w:rsidRDefault="00161051" w:rsidP="002A614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(i) wspieranie efektywności energetycznej i redukcji emisji gazów cieplarnianych;</w:t>
            </w:r>
          </w:p>
        </w:tc>
      </w:tr>
      <w:tr w:rsidR="006F4FD2" w:rsidRPr="009B78DA" w14:paraId="373EE07A" w14:textId="77777777" w:rsidTr="009E065B">
        <w:tc>
          <w:tcPr>
            <w:tcW w:w="3204" w:type="pct"/>
          </w:tcPr>
          <w:p w14:paraId="1FA20FA5" w14:textId="3B6FC1C4" w:rsidR="00161051" w:rsidRPr="009B78DA" w:rsidRDefault="00161051" w:rsidP="002A614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Bardziej przyjazna dla środowiska, niskoemisyjna </w:t>
            </w:r>
            <w:r w:rsidR="00BB6759">
              <w:rPr>
                <w:rFonts w:ascii="Arial" w:hAnsi="Arial" w:cs="Arial"/>
                <w:color w:val="000000" w:themeColor="text1"/>
                <w:sz w:val="22"/>
                <w:szCs w:val="22"/>
              </w:rPr>
              <w:br/>
            </w:r>
            <w:r w:rsidRPr="009B78DA">
              <w:rPr>
                <w:rFonts w:ascii="Arial" w:hAnsi="Arial" w:cs="Arial"/>
                <w:color w:val="000000" w:themeColor="text1"/>
                <w:sz w:val="22"/>
                <w:szCs w:val="22"/>
              </w:rPr>
              <w:t xml:space="preserve">i przechodząca w kierunku gospodarki zeroemisyjnej oraz odporna Europa dzięki promowaniu czystej </w:t>
            </w:r>
            <w:r w:rsidR="00BB6759">
              <w:rPr>
                <w:rFonts w:ascii="Arial" w:hAnsi="Arial" w:cs="Arial"/>
                <w:color w:val="000000" w:themeColor="text1"/>
                <w:sz w:val="22"/>
                <w:szCs w:val="22"/>
              </w:rPr>
              <w:br/>
            </w:r>
            <w:r w:rsidRPr="009B78DA">
              <w:rPr>
                <w:rFonts w:ascii="Arial" w:hAnsi="Arial" w:cs="Arial"/>
                <w:color w:val="000000" w:themeColor="text1"/>
                <w:sz w:val="22"/>
                <w:szCs w:val="22"/>
              </w:rPr>
              <w:t xml:space="preserve">i sprawiedliwej transformacji energetycznej, zielonych </w:t>
            </w:r>
            <w:r w:rsidR="00BB6759">
              <w:rPr>
                <w:rFonts w:ascii="Arial" w:hAnsi="Arial" w:cs="Arial"/>
                <w:color w:val="000000" w:themeColor="text1"/>
                <w:sz w:val="22"/>
                <w:szCs w:val="22"/>
              </w:rPr>
              <w:br/>
            </w:r>
            <w:r w:rsidRPr="009B78DA">
              <w:rPr>
                <w:rFonts w:ascii="Arial" w:hAnsi="Arial" w:cs="Arial"/>
                <w:color w:val="000000" w:themeColor="text1"/>
                <w:sz w:val="22"/>
                <w:szCs w:val="22"/>
              </w:rPr>
              <w:t xml:space="preserve">i niebieskich inwestycji, gospodarki o obiegu zamkniętym, łagodzenia zmian klimatu i przystosowania się do nich, zapobiegania ryzyku i zarządzania ryzykiem, oraz zrównoważonej mobilności miejskiej (CP 2) </w:t>
            </w:r>
          </w:p>
        </w:tc>
        <w:tc>
          <w:tcPr>
            <w:tcW w:w="1796" w:type="pct"/>
          </w:tcPr>
          <w:p w14:paraId="273F0210" w14:textId="5EF65F6B" w:rsidR="00161051" w:rsidRPr="009B78DA" w:rsidRDefault="00161051" w:rsidP="002A614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(iv)  wspieranie przystosowania się do zmian klimatu i zapobiegania ryzyku związanemu z klęskami żywiołowymi i katastrofami, </w:t>
            </w:r>
            <w:r w:rsidR="00BB6759">
              <w:rPr>
                <w:rFonts w:ascii="Arial" w:hAnsi="Arial" w:cs="Arial"/>
                <w:color w:val="000000" w:themeColor="text1"/>
                <w:sz w:val="22"/>
                <w:szCs w:val="22"/>
              </w:rPr>
              <w:br/>
            </w:r>
            <w:r w:rsidRPr="009B78DA">
              <w:rPr>
                <w:rFonts w:ascii="Arial" w:hAnsi="Arial" w:cs="Arial"/>
                <w:color w:val="000000" w:themeColor="text1"/>
                <w:sz w:val="22"/>
                <w:szCs w:val="22"/>
              </w:rPr>
              <w:t xml:space="preserve">a także odporności, </w:t>
            </w:r>
            <w:r w:rsidR="00BB6759">
              <w:rPr>
                <w:rFonts w:ascii="Arial" w:hAnsi="Arial" w:cs="Arial"/>
                <w:color w:val="000000" w:themeColor="text1"/>
                <w:sz w:val="22"/>
                <w:szCs w:val="22"/>
              </w:rPr>
              <w:br/>
            </w:r>
            <w:r w:rsidRPr="009B78DA">
              <w:rPr>
                <w:rFonts w:ascii="Arial" w:hAnsi="Arial" w:cs="Arial"/>
                <w:color w:val="000000" w:themeColor="text1"/>
                <w:sz w:val="22"/>
                <w:szCs w:val="22"/>
              </w:rPr>
              <w:t>z uwzględnieniem podejścia ekosystemowego;</w:t>
            </w:r>
          </w:p>
        </w:tc>
      </w:tr>
      <w:tr w:rsidR="006F4FD2" w:rsidRPr="009B78DA" w14:paraId="61EE4FBC" w14:textId="77777777" w:rsidTr="009E065B">
        <w:tc>
          <w:tcPr>
            <w:tcW w:w="3204" w:type="pct"/>
          </w:tcPr>
          <w:p w14:paraId="023678CC" w14:textId="31DFBA87" w:rsidR="00161051" w:rsidRPr="009B78DA" w:rsidRDefault="00161051" w:rsidP="002A614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Bardziej przyjazna dla środowiska, niskoemisyjna </w:t>
            </w:r>
            <w:r w:rsidR="00BB6759">
              <w:rPr>
                <w:rFonts w:ascii="Arial" w:hAnsi="Arial" w:cs="Arial"/>
                <w:color w:val="000000" w:themeColor="text1"/>
                <w:sz w:val="22"/>
                <w:szCs w:val="22"/>
              </w:rPr>
              <w:br/>
            </w:r>
            <w:r w:rsidRPr="009B78DA">
              <w:rPr>
                <w:rFonts w:ascii="Arial" w:hAnsi="Arial" w:cs="Arial"/>
                <w:color w:val="000000" w:themeColor="text1"/>
                <w:sz w:val="22"/>
                <w:szCs w:val="22"/>
              </w:rPr>
              <w:t xml:space="preserve">i przechodząca w kierunku gospodarki zeroemisyjnej oraz odporna Europa dzięki promowaniu czystej </w:t>
            </w:r>
            <w:r w:rsidR="00BB6759">
              <w:rPr>
                <w:rFonts w:ascii="Arial" w:hAnsi="Arial" w:cs="Arial"/>
                <w:color w:val="000000" w:themeColor="text1"/>
                <w:sz w:val="22"/>
                <w:szCs w:val="22"/>
              </w:rPr>
              <w:br/>
            </w:r>
            <w:r w:rsidRPr="009B78DA">
              <w:rPr>
                <w:rFonts w:ascii="Arial" w:hAnsi="Arial" w:cs="Arial"/>
                <w:color w:val="000000" w:themeColor="text1"/>
                <w:sz w:val="22"/>
                <w:szCs w:val="22"/>
              </w:rPr>
              <w:t xml:space="preserve">i sprawiedliwej transformacji energetycznej, zielonych </w:t>
            </w:r>
            <w:r w:rsidR="00BB6759">
              <w:rPr>
                <w:rFonts w:ascii="Arial" w:hAnsi="Arial" w:cs="Arial"/>
                <w:color w:val="000000" w:themeColor="text1"/>
                <w:sz w:val="22"/>
                <w:szCs w:val="22"/>
              </w:rPr>
              <w:br/>
            </w:r>
            <w:r w:rsidRPr="009B78DA">
              <w:rPr>
                <w:rFonts w:ascii="Arial" w:hAnsi="Arial" w:cs="Arial"/>
                <w:color w:val="000000" w:themeColor="text1"/>
                <w:sz w:val="22"/>
                <w:szCs w:val="22"/>
              </w:rPr>
              <w:t>i niebieskich inwestycji, gospodarki o obiegu zamkniętym, łagodzenia zmian klimatu i przystosowania się do nich, zapobiegania ryzyku i zarządzania ryzykiem, oraz zrównoważonej mobilności miejskiej (CP 2)</w:t>
            </w:r>
          </w:p>
        </w:tc>
        <w:tc>
          <w:tcPr>
            <w:tcW w:w="1796" w:type="pct"/>
          </w:tcPr>
          <w:p w14:paraId="7EC4E0BB" w14:textId="3A278046" w:rsidR="00161051" w:rsidRPr="009B78DA" w:rsidRDefault="00161051" w:rsidP="002A614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(viii) wspieranie zrównoważonej multimodalnej mobilności miejskiej jako elementu</w:t>
            </w:r>
            <w:r w:rsidR="00BB6759">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transformacji </w:t>
            </w:r>
            <w:r w:rsidR="00BB6759">
              <w:rPr>
                <w:rFonts w:ascii="Arial" w:hAnsi="Arial" w:cs="Arial"/>
                <w:color w:val="000000" w:themeColor="text1"/>
                <w:sz w:val="22"/>
                <w:szCs w:val="22"/>
              </w:rPr>
              <w:br/>
            </w:r>
            <w:r w:rsidRPr="009B78DA">
              <w:rPr>
                <w:rFonts w:ascii="Arial" w:hAnsi="Arial" w:cs="Arial"/>
                <w:color w:val="000000" w:themeColor="text1"/>
                <w:sz w:val="22"/>
                <w:szCs w:val="22"/>
              </w:rPr>
              <w:t>w kierunku gospodarki zeroemisyjnej;</w:t>
            </w:r>
          </w:p>
        </w:tc>
      </w:tr>
      <w:tr w:rsidR="006F4FD2" w:rsidRPr="009B78DA" w14:paraId="250F4BFC" w14:textId="77777777" w:rsidTr="009E065B">
        <w:tc>
          <w:tcPr>
            <w:tcW w:w="3204" w:type="pct"/>
          </w:tcPr>
          <w:p w14:paraId="0E75BC23" w14:textId="77777777" w:rsidR="00161051" w:rsidRPr="009B78DA" w:rsidRDefault="00161051" w:rsidP="002A614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Lepiej połączona Europa dzięki zwiększeniu mobilności (CP 3)</w:t>
            </w:r>
          </w:p>
        </w:tc>
        <w:tc>
          <w:tcPr>
            <w:tcW w:w="1796" w:type="pct"/>
          </w:tcPr>
          <w:p w14:paraId="55BF4036" w14:textId="77777777" w:rsidR="00161051" w:rsidRPr="009B78DA" w:rsidRDefault="00161051" w:rsidP="002A614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(i) rozwój odpornej na zmiany klimatu, inteligentnej, bezpiecznej, zrównoważonej intermodalnej TEN-T;</w:t>
            </w:r>
          </w:p>
        </w:tc>
      </w:tr>
      <w:tr w:rsidR="00161051" w:rsidRPr="009B78DA" w14:paraId="3D1282AA" w14:textId="77777777" w:rsidTr="009E065B">
        <w:tc>
          <w:tcPr>
            <w:tcW w:w="3204" w:type="pct"/>
          </w:tcPr>
          <w:p w14:paraId="56E2B965" w14:textId="77777777" w:rsidR="00161051" w:rsidRPr="009B78DA" w:rsidRDefault="00161051" w:rsidP="002A614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Lepiej połączona Europa dzięki zwiększeniu mobilności (CP 3)</w:t>
            </w:r>
          </w:p>
        </w:tc>
        <w:tc>
          <w:tcPr>
            <w:tcW w:w="1796" w:type="pct"/>
          </w:tcPr>
          <w:p w14:paraId="52EF3008" w14:textId="1870D8FF" w:rsidR="00161051" w:rsidRPr="009B78DA" w:rsidRDefault="00161051" w:rsidP="002A6140">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(ii) rozwój udoskonalanie zrównoważonej, odpornej na zmiany klimatu, inteligentnej </w:t>
            </w:r>
            <w:r w:rsidR="00BB6759">
              <w:rPr>
                <w:rFonts w:ascii="Arial" w:hAnsi="Arial" w:cs="Arial"/>
                <w:color w:val="000000" w:themeColor="text1"/>
                <w:sz w:val="22"/>
                <w:szCs w:val="22"/>
              </w:rPr>
              <w:br/>
            </w:r>
            <w:r w:rsidRPr="009B78DA">
              <w:rPr>
                <w:rFonts w:ascii="Arial" w:hAnsi="Arial" w:cs="Arial"/>
                <w:color w:val="000000" w:themeColor="text1"/>
                <w:sz w:val="22"/>
                <w:szCs w:val="22"/>
              </w:rPr>
              <w:t>i intermodalnej mobilności na poziomie krajowym, regionalnym i lokalnym, w tym poprawę dostępu do TEN-T oraz mobilności transgranicznej;</w:t>
            </w:r>
          </w:p>
        </w:tc>
      </w:tr>
    </w:tbl>
    <w:p w14:paraId="11047314" w14:textId="77777777" w:rsidR="00441DCE" w:rsidRPr="009B78DA" w:rsidRDefault="00441DCE" w:rsidP="00F45E35">
      <w:pPr>
        <w:spacing w:after="0" w:line="276" w:lineRule="auto"/>
        <w:jc w:val="both"/>
        <w:rPr>
          <w:rFonts w:ascii="Arial" w:hAnsi="Arial" w:cs="Arial"/>
          <w:color w:val="000000" w:themeColor="text1"/>
          <w:sz w:val="22"/>
          <w:szCs w:val="22"/>
        </w:rPr>
      </w:pPr>
    </w:p>
    <w:p w14:paraId="72BF7146" w14:textId="77777777" w:rsidR="00C22540" w:rsidRPr="009B78DA" w:rsidRDefault="00C22540" w:rsidP="00F45E35">
      <w:pPr>
        <w:spacing w:after="0" w:line="276" w:lineRule="auto"/>
        <w:jc w:val="both"/>
        <w:rPr>
          <w:rFonts w:ascii="Arial" w:hAnsi="Arial" w:cs="Arial"/>
          <w:color w:val="000000" w:themeColor="text1"/>
          <w:sz w:val="22"/>
          <w:szCs w:val="22"/>
        </w:rPr>
        <w:sectPr w:rsidR="00C22540" w:rsidRPr="009B78DA" w:rsidSect="00D47ABE">
          <w:pgSz w:w="11906" w:h="16838"/>
          <w:pgMar w:top="1417" w:right="1417" w:bottom="1417" w:left="1417" w:header="708" w:footer="708" w:gutter="0"/>
          <w:cols w:space="708"/>
          <w:docGrid w:linePitch="360"/>
        </w:sectPr>
      </w:pPr>
    </w:p>
    <w:p w14:paraId="35696E4F" w14:textId="5F5C42CB" w:rsidR="00C22540" w:rsidRPr="009B78DA" w:rsidRDefault="00C22540" w:rsidP="00A339F0">
      <w:pPr>
        <w:pStyle w:val="Nagwek1"/>
        <w:spacing w:after="120"/>
        <w:rPr>
          <w:b/>
          <w:color w:val="000000" w:themeColor="text1"/>
          <w:sz w:val="24"/>
          <w:szCs w:val="24"/>
        </w:rPr>
      </w:pPr>
      <w:bookmarkStart w:id="449" w:name="_Toc100335093"/>
      <w:bookmarkStart w:id="450" w:name="_Toc146785818"/>
      <w:r w:rsidRPr="009B78DA">
        <w:rPr>
          <w:b/>
          <w:color w:val="000000" w:themeColor="text1"/>
          <w:sz w:val="24"/>
          <w:szCs w:val="24"/>
        </w:rPr>
        <w:t>Aneks</w:t>
      </w:r>
      <w:bookmarkEnd w:id="449"/>
      <w:bookmarkEnd w:id="450"/>
    </w:p>
    <w:p w14:paraId="28B9AB7C" w14:textId="77777777" w:rsidR="00C22540" w:rsidRPr="009B78DA" w:rsidRDefault="00C22540" w:rsidP="00A339F0">
      <w:pPr>
        <w:spacing w:after="0" w:line="276" w:lineRule="auto"/>
        <w:rPr>
          <w:rFonts w:ascii="Arial" w:hAnsi="Arial" w:cs="Arial"/>
          <w:color w:val="000000" w:themeColor="text1"/>
          <w:sz w:val="22"/>
          <w:szCs w:val="22"/>
        </w:rPr>
      </w:pPr>
      <w:r w:rsidRPr="009B78DA">
        <w:rPr>
          <w:rFonts w:ascii="Arial" w:hAnsi="Arial" w:cs="Arial"/>
          <w:b/>
          <w:bCs/>
          <w:color w:val="000000" w:themeColor="text1"/>
          <w:sz w:val="22"/>
          <w:szCs w:val="22"/>
        </w:rPr>
        <w:t>Tabor autobusowy aktualnie wykorzystywany w ramach transportu miejskiego w Rzeszowie i ROF oraz wybranych MOF województwa podkarpackiego wg norm emisji spalin</w:t>
      </w:r>
    </w:p>
    <w:tbl>
      <w:tblPr>
        <w:tblStyle w:val="Tabela-Siatka1"/>
        <w:tblW w:w="5000" w:type="pct"/>
        <w:tblLook w:val="04A0" w:firstRow="1" w:lastRow="0" w:firstColumn="1" w:lastColumn="0" w:noHBand="0" w:noVBand="1"/>
        <w:tblCaption w:val="Tabor autobusowy aktualnie wykorzystywany w ramach transportu miejskiego w Rzeszowie i ROF oraz wybranych MOF województwa podkarpackiego wg norm emisji spalin"/>
        <w:tblDescription w:val="Tabela zawiera liczbe i pojemność w miastach: Rzeszów i ROF (MPK*), Rzeszów i ROF (PKS**), Przemyśl, Stalowa Wola, Mielec, Lubaczów, Dębica, Tarnobrzeg, Krosno, Jarosław, Przeworsk, Jasło***, Sanok"/>
      </w:tblPr>
      <w:tblGrid>
        <w:gridCol w:w="1046"/>
        <w:gridCol w:w="459"/>
        <w:gridCol w:w="661"/>
        <w:gridCol w:w="471"/>
        <w:gridCol w:w="661"/>
        <w:gridCol w:w="471"/>
        <w:gridCol w:w="661"/>
        <w:gridCol w:w="462"/>
        <w:gridCol w:w="550"/>
        <w:gridCol w:w="452"/>
        <w:gridCol w:w="661"/>
        <w:gridCol w:w="559"/>
        <w:gridCol w:w="624"/>
        <w:gridCol w:w="470"/>
        <w:gridCol w:w="661"/>
        <w:gridCol w:w="511"/>
        <w:gridCol w:w="794"/>
        <w:gridCol w:w="455"/>
        <w:gridCol w:w="661"/>
        <w:gridCol w:w="501"/>
        <w:gridCol w:w="572"/>
        <w:gridCol w:w="573"/>
        <w:gridCol w:w="644"/>
        <w:gridCol w:w="464"/>
        <w:gridCol w:w="550"/>
        <w:gridCol w:w="550"/>
        <w:gridCol w:w="550"/>
      </w:tblGrid>
      <w:tr w:rsidR="00CF76E6" w:rsidRPr="00CF76E6" w14:paraId="78F41FD3" w14:textId="77777777" w:rsidTr="00E93F24">
        <w:trPr>
          <w:trHeight w:val="929"/>
          <w:tblHeader/>
        </w:trPr>
        <w:tc>
          <w:tcPr>
            <w:tcW w:w="344" w:type="pct"/>
            <w:shd w:val="clear" w:color="auto" w:fill="DEEAF6" w:themeFill="accent1" w:themeFillTint="33"/>
            <w:vAlign w:val="center"/>
          </w:tcPr>
          <w:p w14:paraId="18B22289" w14:textId="24D45E72"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Miasto</w:t>
            </w:r>
          </w:p>
        </w:tc>
        <w:tc>
          <w:tcPr>
            <w:tcW w:w="354" w:type="pct"/>
            <w:gridSpan w:val="2"/>
            <w:shd w:val="clear" w:color="auto" w:fill="DEEAF6" w:themeFill="accent1" w:themeFillTint="33"/>
            <w:vAlign w:val="center"/>
            <w:hideMark/>
          </w:tcPr>
          <w:p w14:paraId="40A97E02" w14:textId="3F14B6B5"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Rzeszów i ROF (MPK*)</w:t>
            </w:r>
          </w:p>
        </w:tc>
        <w:tc>
          <w:tcPr>
            <w:tcW w:w="358" w:type="pct"/>
            <w:gridSpan w:val="2"/>
            <w:shd w:val="clear" w:color="auto" w:fill="DEEAF6" w:themeFill="accent1" w:themeFillTint="33"/>
            <w:vAlign w:val="center"/>
          </w:tcPr>
          <w:p w14:paraId="4153F9C1"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Rzeszów i ROF (PKS**)</w:t>
            </w:r>
          </w:p>
        </w:tc>
        <w:tc>
          <w:tcPr>
            <w:tcW w:w="358" w:type="pct"/>
            <w:gridSpan w:val="2"/>
            <w:shd w:val="clear" w:color="auto" w:fill="DEEAF6" w:themeFill="accent1" w:themeFillTint="33"/>
            <w:vAlign w:val="center"/>
            <w:hideMark/>
          </w:tcPr>
          <w:p w14:paraId="4DA13196"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Przemyśl</w:t>
            </w:r>
          </w:p>
        </w:tc>
        <w:tc>
          <w:tcPr>
            <w:tcW w:w="338" w:type="pct"/>
            <w:gridSpan w:val="2"/>
            <w:shd w:val="clear" w:color="auto" w:fill="DEEAF6" w:themeFill="accent1" w:themeFillTint="33"/>
            <w:vAlign w:val="center"/>
            <w:hideMark/>
          </w:tcPr>
          <w:p w14:paraId="3BF8247B"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Stalowa Wola</w:t>
            </w:r>
          </w:p>
        </w:tc>
        <w:tc>
          <w:tcPr>
            <w:tcW w:w="355" w:type="pct"/>
            <w:gridSpan w:val="2"/>
            <w:shd w:val="clear" w:color="auto" w:fill="DEEAF6" w:themeFill="accent1" w:themeFillTint="33"/>
            <w:vAlign w:val="center"/>
            <w:hideMark/>
          </w:tcPr>
          <w:p w14:paraId="399C461F"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Mielec</w:t>
            </w:r>
          </w:p>
        </w:tc>
        <w:tc>
          <w:tcPr>
            <w:tcW w:w="373" w:type="pct"/>
            <w:gridSpan w:val="2"/>
            <w:shd w:val="clear" w:color="auto" w:fill="DEEAF6" w:themeFill="accent1" w:themeFillTint="33"/>
            <w:vAlign w:val="center"/>
            <w:hideMark/>
          </w:tcPr>
          <w:p w14:paraId="3B3AD905"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Lubaczów</w:t>
            </w:r>
          </w:p>
        </w:tc>
        <w:tc>
          <w:tcPr>
            <w:tcW w:w="358" w:type="pct"/>
            <w:gridSpan w:val="2"/>
            <w:shd w:val="clear" w:color="auto" w:fill="DEEAF6" w:themeFill="accent1" w:themeFillTint="33"/>
            <w:vAlign w:val="center"/>
            <w:hideMark/>
          </w:tcPr>
          <w:p w14:paraId="5BA472C6"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Dębica</w:t>
            </w:r>
          </w:p>
        </w:tc>
        <w:tc>
          <w:tcPr>
            <w:tcW w:w="414" w:type="pct"/>
            <w:gridSpan w:val="2"/>
            <w:shd w:val="clear" w:color="auto" w:fill="DEEAF6" w:themeFill="accent1" w:themeFillTint="33"/>
            <w:vAlign w:val="center"/>
            <w:hideMark/>
          </w:tcPr>
          <w:p w14:paraId="4ED40D97"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Tarnobrzeg</w:t>
            </w:r>
          </w:p>
        </w:tc>
        <w:tc>
          <w:tcPr>
            <w:tcW w:w="352" w:type="pct"/>
            <w:gridSpan w:val="2"/>
            <w:shd w:val="clear" w:color="auto" w:fill="DEEAF6" w:themeFill="accent1" w:themeFillTint="33"/>
            <w:vAlign w:val="center"/>
            <w:hideMark/>
          </w:tcPr>
          <w:p w14:paraId="381A36C4"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Krosno</w:t>
            </w:r>
          </w:p>
        </w:tc>
        <w:tc>
          <w:tcPr>
            <w:tcW w:w="339" w:type="pct"/>
            <w:gridSpan w:val="2"/>
            <w:shd w:val="clear" w:color="auto" w:fill="DEEAF6" w:themeFill="accent1" w:themeFillTint="33"/>
            <w:vAlign w:val="center"/>
            <w:hideMark/>
          </w:tcPr>
          <w:p w14:paraId="60B3E008"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Jarosław</w:t>
            </w:r>
          </w:p>
        </w:tc>
        <w:tc>
          <w:tcPr>
            <w:tcW w:w="385" w:type="pct"/>
            <w:gridSpan w:val="2"/>
            <w:shd w:val="clear" w:color="auto" w:fill="DEEAF6" w:themeFill="accent1" w:themeFillTint="33"/>
            <w:vAlign w:val="center"/>
            <w:hideMark/>
          </w:tcPr>
          <w:p w14:paraId="6FA68325"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Przeworsk</w:t>
            </w:r>
          </w:p>
        </w:tc>
        <w:tc>
          <w:tcPr>
            <w:tcW w:w="339" w:type="pct"/>
            <w:gridSpan w:val="2"/>
            <w:shd w:val="clear" w:color="auto" w:fill="DEEAF6" w:themeFill="accent1" w:themeFillTint="33"/>
            <w:vAlign w:val="center"/>
            <w:hideMark/>
          </w:tcPr>
          <w:p w14:paraId="62022663"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Jasło***</w:t>
            </w:r>
          </w:p>
        </w:tc>
        <w:tc>
          <w:tcPr>
            <w:tcW w:w="333" w:type="pct"/>
            <w:gridSpan w:val="2"/>
            <w:shd w:val="clear" w:color="auto" w:fill="DEEAF6" w:themeFill="accent1" w:themeFillTint="33"/>
            <w:vAlign w:val="center"/>
            <w:hideMark/>
          </w:tcPr>
          <w:p w14:paraId="07879F3A" w14:textId="7777777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Sanok</w:t>
            </w:r>
          </w:p>
        </w:tc>
      </w:tr>
      <w:tr w:rsidR="00E93F24" w:rsidRPr="00CF76E6" w14:paraId="78C6E896" w14:textId="77777777" w:rsidTr="00E93F24">
        <w:trPr>
          <w:trHeight w:val="1134"/>
          <w:tblHeader/>
        </w:trPr>
        <w:tc>
          <w:tcPr>
            <w:tcW w:w="344" w:type="pct"/>
            <w:shd w:val="clear" w:color="auto" w:fill="DEEAF6" w:themeFill="accent1" w:themeFillTint="33"/>
            <w:vAlign w:val="center"/>
          </w:tcPr>
          <w:p w14:paraId="37F28DAA" w14:textId="46E585B7" w:rsidR="00CF76E6" w:rsidRPr="00CF76E6" w:rsidRDefault="00CF76E6" w:rsidP="00E93F24">
            <w:pPr>
              <w:jc w:val="center"/>
              <w:rPr>
                <w:rFonts w:ascii="Arial" w:hAnsi="Arial" w:cs="Arial"/>
                <w:b/>
                <w:bCs/>
                <w:color w:val="000000" w:themeColor="text1"/>
                <w:sz w:val="20"/>
                <w:szCs w:val="20"/>
              </w:rPr>
            </w:pPr>
            <w:r w:rsidRPr="00CF76E6">
              <w:rPr>
                <w:rFonts w:ascii="Arial" w:hAnsi="Arial" w:cs="Arial"/>
                <w:b/>
                <w:bCs/>
                <w:color w:val="000000" w:themeColor="text1"/>
                <w:sz w:val="20"/>
                <w:szCs w:val="20"/>
              </w:rPr>
              <w:t>Norma</w:t>
            </w:r>
          </w:p>
        </w:tc>
        <w:tc>
          <w:tcPr>
            <w:tcW w:w="157" w:type="pct"/>
            <w:shd w:val="clear" w:color="auto" w:fill="DEEAF6" w:themeFill="accent1" w:themeFillTint="33"/>
            <w:textDirection w:val="btLr"/>
            <w:vAlign w:val="center"/>
            <w:hideMark/>
          </w:tcPr>
          <w:p w14:paraId="1AF5A1EE" w14:textId="7E7D5DA6"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197" w:type="pct"/>
            <w:shd w:val="clear" w:color="auto" w:fill="DEEAF6" w:themeFill="accent1" w:themeFillTint="33"/>
            <w:textDirection w:val="btLr"/>
            <w:vAlign w:val="center"/>
            <w:hideMark/>
          </w:tcPr>
          <w:p w14:paraId="5C51E50D"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61" w:type="pct"/>
            <w:shd w:val="clear" w:color="auto" w:fill="DEEAF6" w:themeFill="accent1" w:themeFillTint="33"/>
            <w:textDirection w:val="btLr"/>
            <w:vAlign w:val="center"/>
            <w:hideMark/>
          </w:tcPr>
          <w:p w14:paraId="4CCD0966" w14:textId="2A7E9C3F"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197" w:type="pct"/>
            <w:shd w:val="clear" w:color="auto" w:fill="DEEAF6" w:themeFill="accent1" w:themeFillTint="33"/>
            <w:textDirection w:val="btLr"/>
            <w:vAlign w:val="center"/>
            <w:hideMark/>
          </w:tcPr>
          <w:p w14:paraId="70EE7A8C"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61" w:type="pct"/>
            <w:shd w:val="clear" w:color="auto" w:fill="DEEAF6" w:themeFill="accent1" w:themeFillTint="33"/>
            <w:textDirection w:val="btLr"/>
            <w:vAlign w:val="center"/>
            <w:hideMark/>
          </w:tcPr>
          <w:p w14:paraId="07E04DAA" w14:textId="563CE8F0"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197" w:type="pct"/>
            <w:shd w:val="clear" w:color="auto" w:fill="DEEAF6" w:themeFill="accent1" w:themeFillTint="33"/>
            <w:textDirection w:val="btLr"/>
            <w:vAlign w:val="center"/>
            <w:hideMark/>
          </w:tcPr>
          <w:p w14:paraId="43102F86"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58" w:type="pct"/>
            <w:shd w:val="clear" w:color="auto" w:fill="DEEAF6" w:themeFill="accent1" w:themeFillTint="33"/>
            <w:textDirection w:val="btLr"/>
            <w:vAlign w:val="center"/>
            <w:hideMark/>
          </w:tcPr>
          <w:p w14:paraId="5EFC0D6E" w14:textId="79C12709"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180" w:type="pct"/>
            <w:shd w:val="clear" w:color="auto" w:fill="DEEAF6" w:themeFill="accent1" w:themeFillTint="33"/>
            <w:textDirection w:val="btLr"/>
            <w:vAlign w:val="center"/>
            <w:hideMark/>
          </w:tcPr>
          <w:p w14:paraId="069C286E"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58" w:type="pct"/>
            <w:shd w:val="clear" w:color="auto" w:fill="DEEAF6" w:themeFill="accent1" w:themeFillTint="33"/>
            <w:textDirection w:val="btLr"/>
            <w:vAlign w:val="center"/>
            <w:hideMark/>
          </w:tcPr>
          <w:p w14:paraId="2FC7B3EB" w14:textId="02037B09"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197" w:type="pct"/>
            <w:shd w:val="clear" w:color="auto" w:fill="DEEAF6" w:themeFill="accent1" w:themeFillTint="33"/>
            <w:textDirection w:val="btLr"/>
            <w:vAlign w:val="center"/>
            <w:hideMark/>
          </w:tcPr>
          <w:p w14:paraId="1B4DFB71"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76" w:type="pct"/>
            <w:shd w:val="clear" w:color="auto" w:fill="DEEAF6" w:themeFill="accent1" w:themeFillTint="33"/>
            <w:textDirection w:val="btLr"/>
            <w:vAlign w:val="center"/>
            <w:hideMark/>
          </w:tcPr>
          <w:p w14:paraId="19B3D2F4" w14:textId="5A93B7FF"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197" w:type="pct"/>
            <w:shd w:val="clear" w:color="auto" w:fill="DEEAF6" w:themeFill="accent1" w:themeFillTint="33"/>
            <w:textDirection w:val="btLr"/>
            <w:vAlign w:val="center"/>
            <w:hideMark/>
          </w:tcPr>
          <w:p w14:paraId="22B09742"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61" w:type="pct"/>
            <w:shd w:val="clear" w:color="auto" w:fill="DEEAF6" w:themeFill="accent1" w:themeFillTint="33"/>
            <w:textDirection w:val="btLr"/>
            <w:vAlign w:val="center"/>
            <w:hideMark/>
          </w:tcPr>
          <w:p w14:paraId="6BA796CA" w14:textId="7006A686"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197" w:type="pct"/>
            <w:shd w:val="clear" w:color="auto" w:fill="DEEAF6" w:themeFill="accent1" w:themeFillTint="33"/>
            <w:textDirection w:val="btLr"/>
            <w:vAlign w:val="center"/>
            <w:hideMark/>
          </w:tcPr>
          <w:p w14:paraId="1750BF18"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62" w:type="pct"/>
            <w:shd w:val="clear" w:color="auto" w:fill="DEEAF6" w:themeFill="accent1" w:themeFillTint="33"/>
            <w:textDirection w:val="btLr"/>
            <w:vAlign w:val="center"/>
            <w:hideMark/>
          </w:tcPr>
          <w:p w14:paraId="0FBFAB00" w14:textId="4A2F614F"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252" w:type="pct"/>
            <w:shd w:val="clear" w:color="auto" w:fill="DEEAF6" w:themeFill="accent1" w:themeFillTint="33"/>
            <w:textDirection w:val="btLr"/>
            <w:vAlign w:val="center"/>
            <w:hideMark/>
          </w:tcPr>
          <w:p w14:paraId="470FEA14"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55" w:type="pct"/>
            <w:shd w:val="clear" w:color="auto" w:fill="DEEAF6" w:themeFill="accent1" w:themeFillTint="33"/>
            <w:textDirection w:val="btLr"/>
            <w:vAlign w:val="center"/>
            <w:hideMark/>
          </w:tcPr>
          <w:p w14:paraId="4893DB41" w14:textId="16B4ECA4"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197" w:type="pct"/>
            <w:shd w:val="clear" w:color="auto" w:fill="DEEAF6" w:themeFill="accent1" w:themeFillTint="33"/>
            <w:textDirection w:val="btLr"/>
            <w:vAlign w:val="center"/>
            <w:hideMark/>
          </w:tcPr>
          <w:p w14:paraId="6B4F2C38"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58" w:type="pct"/>
            <w:shd w:val="clear" w:color="auto" w:fill="DEEAF6" w:themeFill="accent1" w:themeFillTint="33"/>
            <w:textDirection w:val="btLr"/>
            <w:vAlign w:val="center"/>
            <w:hideMark/>
          </w:tcPr>
          <w:p w14:paraId="576057DA" w14:textId="35E71A5C"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181" w:type="pct"/>
            <w:shd w:val="clear" w:color="auto" w:fill="DEEAF6" w:themeFill="accent1" w:themeFillTint="33"/>
            <w:textDirection w:val="btLr"/>
            <w:vAlign w:val="center"/>
            <w:hideMark/>
          </w:tcPr>
          <w:p w14:paraId="26173B9C"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81" w:type="pct"/>
            <w:shd w:val="clear" w:color="auto" w:fill="DEEAF6" w:themeFill="accent1" w:themeFillTint="33"/>
            <w:textDirection w:val="btLr"/>
            <w:vAlign w:val="center"/>
            <w:hideMark/>
          </w:tcPr>
          <w:p w14:paraId="64569B59" w14:textId="7DEAF989"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204" w:type="pct"/>
            <w:shd w:val="clear" w:color="auto" w:fill="DEEAF6" w:themeFill="accent1" w:themeFillTint="33"/>
            <w:textDirection w:val="btLr"/>
            <w:vAlign w:val="center"/>
            <w:hideMark/>
          </w:tcPr>
          <w:p w14:paraId="699290B4"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58" w:type="pct"/>
            <w:shd w:val="clear" w:color="auto" w:fill="DEEAF6" w:themeFill="accent1" w:themeFillTint="33"/>
            <w:textDirection w:val="btLr"/>
            <w:vAlign w:val="center"/>
            <w:hideMark/>
          </w:tcPr>
          <w:p w14:paraId="36C62E65" w14:textId="3A73ECDD"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181" w:type="pct"/>
            <w:shd w:val="clear" w:color="auto" w:fill="DEEAF6" w:themeFill="accent1" w:themeFillTint="33"/>
            <w:textDirection w:val="btLr"/>
            <w:vAlign w:val="center"/>
            <w:hideMark/>
          </w:tcPr>
          <w:p w14:paraId="6BEEACD5"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c>
          <w:tcPr>
            <w:tcW w:w="159" w:type="pct"/>
            <w:shd w:val="clear" w:color="auto" w:fill="DEEAF6" w:themeFill="accent1" w:themeFillTint="33"/>
            <w:textDirection w:val="btLr"/>
            <w:vAlign w:val="center"/>
            <w:hideMark/>
          </w:tcPr>
          <w:p w14:paraId="3E6966E8" w14:textId="0C52A9F0"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liczba</w:t>
            </w:r>
          </w:p>
        </w:tc>
        <w:tc>
          <w:tcPr>
            <w:tcW w:w="174" w:type="pct"/>
            <w:shd w:val="clear" w:color="auto" w:fill="DEEAF6" w:themeFill="accent1" w:themeFillTint="33"/>
            <w:textDirection w:val="btLr"/>
            <w:vAlign w:val="center"/>
            <w:hideMark/>
          </w:tcPr>
          <w:p w14:paraId="6C9DB21D" w14:textId="77777777" w:rsidR="00CF76E6" w:rsidRPr="00CF76E6" w:rsidRDefault="00CF76E6" w:rsidP="00E93F24">
            <w:pPr>
              <w:ind w:left="113" w:right="113"/>
              <w:jc w:val="center"/>
              <w:rPr>
                <w:rFonts w:ascii="Arial" w:hAnsi="Arial" w:cs="Arial"/>
                <w:b/>
                <w:bCs/>
                <w:color w:val="000000" w:themeColor="text1"/>
                <w:sz w:val="20"/>
                <w:szCs w:val="20"/>
              </w:rPr>
            </w:pPr>
            <w:r w:rsidRPr="00CF76E6">
              <w:rPr>
                <w:rFonts w:ascii="Arial" w:hAnsi="Arial" w:cs="Arial"/>
                <w:b/>
                <w:bCs/>
                <w:color w:val="000000" w:themeColor="text1"/>
                <w:sz w:val="20"/>
                <w:szCs w:val="20"/>
              </w:rPr>
              <w:t>pojem-ność</w:t>
            </w:r>
          </w:p>
        </w:tc>
      </w:tr>
      <w:tr w:rsidR="00CF76E6" w:rsidRPr="00CF76E6" w14:paraId="5B9B1910" w14:textId="77777777" w:rsidTr="00E93F24">
        <w:trPr>
          <w:trHeight w:val="1134"/>
        </w:trPr>
        <w:tc>
          <w:tcPr>
            <w:tcW w:w="344" w:type="pct"/>
            <w:textDirection w:val="btLr"/>
            <w:vAlign w:val="center"/>
          </w:tcPr>
          <w:p w14:paraId="5C306CA3" w14:textId="5FE1619F" w:rsidR="00CF76E6" w:rsidRPr="00CF76E6" w:rsidRDefault="00CF76E6" w:rsidP="00E93F24">
            <w:pPr>
              <w:jc w:val="center"/>
              <w:rPr>
                <w:rFonts w:ascii="Arial" w:hAnsi="Arial" w:cs="Arial"/>
                <w:color w:val="000000" w:themeColor="text1"/>
                <w:sz w:val="20"/>
                <w:szCs w:val="20"/>
              </w:rPr>
            </w:pPr>
            <w:r w:rsidRPr="00CF76E6">
              <w:rPr>
                <w:rFonts w:ascii="Arial" w:hAnsi="Arial" w:cs="Arial"/>
                <w:b/>
                <w:bCs/>
                <w:color w:val="000000" w:themeColor="text1"/>
                <w:sz w:val="20"/>
                <w:szCs w:val="20"/>
              </w:rPr>
              <w:t>EURO I</w:t>
            </w:r>
          </w:p>
        </w:tc>
        <w:tc>
          <w:tcPr>
            <w:tcW w:w="157" w:type="pct"/>
            <w:vAlign w:val="center"/>
            <w:hideMark/>
          </w:tcPr>
          <w:p w14:paraId="7D25A03D" w14:textId="6F319510"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vAlign w:val="center"/>
            <w:hideMark/>
          </w:tcPr>
          <w:p w14:paraId="27814E2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61" w:type="pct"/>
            <w:noWrap/>
            <w:vAlign w:val="center"/>
            <w:hideMark/>
          </w:tcPr>
          <w:p w14:paraId="26A11B98"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10</w:t>
            </w:r>
          </w:p>
        </w:tc>
        <w:tc>
          <w:tcPr>
            <w:tcW w:w="197" w:type="pct"/>
            <w:noWrap/>
            <w:vAlign w:val="center"/>
            <w:hideMark/>
          </w:tcPr>
          <w:p w14:paraId="0DAC6AB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761</w:t>
            </w:r>
          </w:p>
        </w:tc>
        <w:tc>
          <w:tcPr>
            <w:tcW w:w="161" w:type="pct"/>
            <w:vAlign w:val="center"/>
            <w:hideMark/>
          </w:tcPr>
          <w:p w14:paraId="2A87AA4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vAlign w:val="center"/>
            <w:hideMark/>
          </w:tcPr>
          <w:p w14:paraId="319D3D6A"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8" w:type="pct"/>
            <w:vAlign w:val="center"/>
            <w:hideMark/>
          </w:tcPr>
          <w:p w14:paraId="7849E57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0" w:type="pct"/>
            <w:vAlign w:val="center"/>
            <w:hideMark/>
          </w:tcPr>
          <w:p w14:paraId="45F618B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8" w:type="pct"/>
            <w:vAlign w:val="center"/>
            <w:hideMark/>
          </w:tcPr>
          <w:p w14:paraId="0D20288A"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vAlign w:val="center"/>
            <w:hideMark/>
          </w:tcPr>
          <w:p w14:paraId="25BFDEB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76" w:type="pct"/>
            <w:vAlign w:val="center"/>
            <w:hideMark/>
          </w:tcPr>
          <w:p w14:paraId="4CD10A18"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97" w:type="pct"/>
            <w:vAlign w:val="center"/>
            <w:hideMark/>
          </w:tcPr>
          <w:p w14:paraId="0A7D2A37"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61" w:type="pct"/>
            <w:noWrap/>
            <w:vAlign w:val="center"/>
            <w:hideMark/>
          </w:tcPr>
          <w:p w14:paraId="7EC93E3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w:t>
            </w:r>
          </w:p>
        </w:tc>
        <w:tc>
          <w:tcPr>
            <w:tcW w:w="197" w:type="pct"/>
            <w:noWrap/>
            <w:vAlign w:val="center"/>
            <w:hideMark/>
          </w:tcPr>
          <w:p w14:paraId="0965CE8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216</w:t>
            </w:r>
          </w:p>
        </w:tc>
        <w:tc>
          <w:tcPr>
            <w:tcW w:w="162" w:type="pct"/>
            <w:noWrap/>
            <w:vAlign w:val="center"/>
            <w:hideMark/>
          </w:tcPr>
          <w:p w14:paraId="21B1E525"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252" w:type="pct"/>
            <w:noWrap/>
            <w:vAlign w:val="center"/>
            <w:hideMark/>
          </w:tcPr>
          <w:p w14:paraId="40B081D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5" w:type="pct"/>
            <w:noWrap/>
            <w:vAlign w:val="center"/>
            <w:hideMark/>
          </w:tcPr>
          <w:p w14:paraId="4E715D22"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w:t>
            </w:r>
          </w:p>
        </w:tc>
        <w:tc>
          <w:tcPr>
            <w:tcW w:w="197" w:type="pct"/>
            <w:noWrap/>
            <w:vAlign w:val="center"/>
            <w:hideMark/>
          </w:tcPr>
          <w:p w14:paraId="6E0EC740"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70</w:t>
            </w:r>
          </w:p>
        </w:tc>
        <w:tc>
          <w:tcPr>
            <w:tcW w:w="158" w:type="pct"/>
            <w:vAlign w:val="center"/>
            <w:hideMark/>
          </w:tcPr>
          <w:p w14:paraId="47FEE3A7"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18704BD2"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27197C1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204" w:type="pct"/>
            <w:vAlign w:val="center"/>
            <w:hideMark/>
          </w:tcPr>
          <w:p w14:paraId="17B9B501"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58" w:type="pct"/>
            <w:vAlign w:val="center"/>
            <w:hideMark/>
          </w:tcPr>
          <w:p w14:paraId="4A61A182"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26</w:t>
            </w:r>
          </w:p>
        </w:tc>
        <w:tc>
          <w:tcPr>
            <w:tcW w:w="181" w:type="pct"/>
            <w:vAlign w:val="center"/>
            <w:hideMark/>
          </w:tcPr>
          <w:p w14:paraId="1E7DD045"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388</w:t>
            </w:r>
          </w:p>
        </w:tc>
        <w:tc>
          <w:tcPr>
            <w:tcW w:w="159" w:type="pct"/>
            <w:vAlign w:val="center"/>
            <w:hideMark/>
          </w:tcPr>
          <w:p w14:paraId="5BABAAF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c>
          <w:tcPr>
            <w:tcW w:w="174" w:type="pct"/>
            <w:vAlign w:val="center"/>
            <w:hideMark/>
          </w:tcPr>
          <w:p w14:paraId="63CA1BD8"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r>
      <w:tr w:rsidR="00CF76E6" w:rsidRPr="00CF76E6" w14:paraId="49CE842D" w14:textId="77777777" w:rsidTr="00E93F24">
        <w:trPr>
          <w:trHeight w:val="1134"/>
        </w:trPr>
        <w:tc>
          <w:tcPr>
            <w:tcW w:w="344" w:type="pct"/>
            <w:textDirection w:val="btLr"/>
            <w:vAlign w:val="center"/>
          </w:tcPr>
          <w:p w14:paraId="3AC9C95F" w14:textId="646AE85A" w:rsidR="00CF76E6" w:rsidRPr="00CF76E6" w:rsidRDefault="00CF76E6" w:rsidP="00E93F24">
            <w:pPr>
              <w:jc w:val="center"/>
              <w:rPr>
                <w:rFonts w:ascii="Arial" w:hAnsi="Arial" w:cs="Arial"/>
                <w:color w:val="000000" w:themeColor="text1"/>
                <w:sz w:val="20"/>
                <w:szCs w:val="20"/>
              </w:rPr>
            </w:pPr>
            <w:r w:rsidRPr="00CF76E6">
              <w:rPr>
                <w:rFonts w:ascii="Arial" w:hAnsi="Arial" w:cs="Arial"/>
                <w:b/>
                <w:bCs/>
                <w:color w:val="000000" w:themeColor="text1"/>
                <w:sz w:val="20"/>
                <w:szCs w:val="20"/>
              </w:rPr>
              <w:t>EURO II</w:t>
            </w:r>
          </w:p>
        </w:tc>
        <w:tc>
          <w:tcPr>
            <w:tcW w:w="157" w:type="pct"/>
            <w:vAlign w:val="center"/>
            <w:hideMark/>
          </w:tcPr>
          <w:p w14:paraId="4D13A4FD" w14:textId="48C4A3B9"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25</w:t>
            </w:r>
          </w:p>
        </w:tc>
        <w:tc>
          <w:tcPr>
            <w:tcW w:w="197" w:type="pct"/>
            <w:vAlign w:val="center"/>
            <w:hideMark/>
          </w:tcPr>
          <w:p w14:paraId="05AD5834"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2631</w:t>
            </w:r>
          </w:p>
        </w:tc>
        <w:tc>
          <w:tcPr>
            <w:tcW w:w="161" w:type="pct"/>
            <w:noWrap/>
            <w:vAlign w:val="center"/>
            <w:hideMark/>
          </w:tcPr>
          <w:p w14:paraId="661D71A5"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15</w:t>
            </w:r>
          </w:p>
        </w:tc>
        <w:tc>
          <w:tcPr>
            <w:tcW w:w="197" w:type="pct"/>
            <w:noWrap/>
            <w:vAlign w:val="center"/>
            <w:hideMark/>
          </w:tcPr>
          <w:p w14:paraId="129DADF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1223</w:t>
            </w:r>
          </w:p>
        </w:tc>
        <w:tc>
          <w:tcPr>
            <w:tcW w:w="161" w:type="pct"/>
            <w:vAlign w:val="center"/>
            <w:hideMark/>
          </w:tcPr>
          <w:p w14:paraId="4627D391"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vAlign w:val="center"/>
            <w:hideMark/>
          </w:tcPr>
          <w:p w14:paraId="00EC3EAA"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8" w:type="pct"/>
            <w:vAlign w:val="center"/>
            <w:hideMark/>
          </w:tcPr>
          <w:p w14:paraId="022CC33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0" w:type="pct"/>
            <w:vAlign w:val="center"/>
            <w:hideMark/>
          </w:tcPr>
          <w:p w14:paraId="0A491AED"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8" w:type="pct"/>
            <w:vAlign w:val="center"/>
            <w:hideMark/>
          </w:tcPr>
          <w:p w14:paraId="319AB932"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8</w:t>
            </w:r>
          </w:p>
        </w:tc>
        <w:tc>
          <w:tcPr>
            <w:tcW w:w="197" w:type="pct"/>
            <w:vAlign w:val="center"/>
            <w:hideMark/>
          </w:tcPr>
          <w:p w14:paraId="17BF7C1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716</w:t>
            </w:r>
          </w:p>
        </w:tc>
        <w:tc>
          <w:tcPr>
            <w:tcW w:w="176" w:type="pct"/>
            <w:vAlign w:val="center"/>
            <w:hideMark/>
          </w:tcPr>
          <w:p w14:paraId="28095A2D"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97" w:type="pct"/>
            <w:vAlign w:val="center"/>
            <w:hideMark/>
          </w:tcPr>
          <w:p w14:paraId="09D52A92"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61" w:type="pct"/>
            <w:noWrap/>
            <w:vAlign w:val="center"/>
            <w:hideMark/>
          </w:tcPr>
          <w:p w14:paraId="51CEDBA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noWrap/>
            <w:vAlign w:val="center"/>
            <w:hideMark/>
          </w:tcPr>
          <w:p w14:paraId="07CEAEB5"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62" w:type="pct"/>
            <w:noWrap/>
            <w:vAlign w:val="center"/>
            <w:hideMark/>
          </w:tcPr>
          <w:p w14:paraId="1F10F8F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252" w:type="pct"/>
            <w:noWrap/>
            <w:vAlign w:val="center"/>
            <w:hideMark/>
          </w:tcPr>
          <w:p w14:paraId="692C2A2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5" w:type="pct"/>
            <w:noWrap/>
            <w:vAlign w:val="center"/>
            <w:hideMark/>
          </w:tcPr>
          <w:p w14:paraId="5E5A98E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noWrap/>
            <w:vAlign w:val="center"/>
            <w:hideMark/>
          </w:tcPr>
          <w:p w14:paraId="54A985C0"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8" w:type="pct"/>
            <w:vAlign w:val="center"/>
            <w:hideMark/>
          </w:tcPr>
          <w:p w14:paraId="067D05C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05541DE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070CFD7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204" w:type="pct"/>
            <w:vAlign w:val="center"/>
            <w:hideMark/>
          </w:tcPr>
          <w:p w14:paraId="18658FE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58" w:type="pct"/>
            <w:vAlign w:val="center"/>
            <w:hideMark/>
          </w:tcPr>
          <w:p w14:paraId="0B4F9068"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22</w:t>
            </w:r>
          </w:p>
        </w:tc>
        <w:tc>
          <w:tcPr>
            <w:tcW w:w="181" w:type="pct"/>
            <w:vAlign w:val="center"/>
            <w:hideMark/>
          </w:tcPr>
          <w:p w14:paraId="06638B5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23</w:t>
            </w:r>
          </w:p>
        </w:tc>
        <w:tc>
          <w:tcPr>
            <w:tcW w:w="159" w:type="pct"/>
            <w:vAlign w:val="center"/>
            <w:hideMark/>
          </w:tcPr>
          <w:p w14:paraId="33E4A2B4"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c>
          <w:tcPr>
            <w:tcW w:w="174" w:type="pct"/>
            <w:vAlign w:val="center"/>
            <w:hideMark/>
          </w:tcPr>
          <w:p w14:paraId="6542AC07"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r>
      <w:tr w:rsidR="00CF76E6" w:rsidRPr="00CF76E6" w14:paraId="620613D1" w14:textId="77777777" w:rsidTr="00E93F24">
        <w:trPr>
          <w:trHeight w:val="1134"/>
        </w:trPr>
        <w:tc>
          <w:tcPr>
            <w:tcW w:w="344" w:type="pct"/>
            <w:textDirection w:val="btLr"/>
            <w:vAlign w:val="center"/>
          </w:tcPr>
          <w:p w14:paraId="12E95348" w14:textId="7460AB7E" w:rsidR="00CF76E6" w:rsidRPr="00CF76E6" w:rsidRDefault="00CF76E6" w:rsidP="00E93F24">
            <w:pPr>
              <w:jc w:val="center"/>
              <w:rPr>
                <w:rFonts w:ascii="Arial" w:hAnsi="Arial" w:cs="Arial"/>
                <w:color w:val="000000" w:themeColor="text1"/>
                <w:sz w:val="20"/>
                <w:szCs w:val="20"/>
              </w:rPr>
            </w:pPr>
            <w:r w:rsidRPr="00CF76E6">
              <w:rPr>
                <w:rFonts w:ascii="Arial" w:hAnsi="Arial" w:cs="Arial"/>
                <w:b/>
                <w:bCs/>
                <w:color w:val="000000" w:themeColor="text1"/>
                <w:sz w:val="20"/>
                <w:szCs w:val="20"/>
              </w:rPr>
              <w:t>EURO III</w:t>
            </w:r>
          </w:p>
        </w:tc>
        <w:tc>
          <w:tcPr>
            <w:tcW w:w="157" w:type="pct"/>
            <w:vAlign w:val="center"/>
            <w:hideMark/>
          </w:tcPr>
          <w:p w14:paraId="3EACB282" w14:textId="6A3F2131"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38</w:t>
            </w:r>
          </w:p>
        </w:tc>
        <w:tc>
          <w:tcPr>
            <w:tcW w:w="197" w:type="pct"/>
            <w:vAlign w:val="center"/>
            <w:hideMark/>
          </w:tcPr>
          <w:p w14:paraId="024902F7"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3316</w:t>
            </w:r>
          </w:p>
        </w:tc>
        <w:tc>
          <w:tcPr>
            <w:tcW w:w="161" w:type="pct"/>
            <w:noWrap/>
            <w:vAlign w:val="center"/>
            <w:hideMark/>
          </w:tcPr>
          <w:p w14:paraId="46037A1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41</w:t>
            </w:r>
          </w:p>
        </w:tc>
        <w:tc>
          <w:tcPr>
            <w:tcW w:w="197" w:type="pct"/>
            <w:noWrap/>
            <w:vAlign w:val="center"/>
            <w:hideMark/>
          </w:tcPr>
          <w:p w14:paraId="0E70E08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2913</w:t>
            </w:r>
          </w:p>
        </w:tc>
        <w:tc>
          <w:tcPr>
            <w:tcW w:w="161" w:type="pct"/>
            <w:noWrap/>
            <w:vAlign w:val="center"/>
            <w:hideMark/>
          </w:tcPr>
          <w:p w14:paraId="1B62E07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9</w:t>
            </w:r>
          </w:p>
        </w:tc>
        <w:tc>
          <w:tcPr>
            <w:tcW w:w="197" w:type="pct"/>
            <w:noWrap/>
            <w:vAlign w:val="center"/>
            <w:hideMark/>
          </w:tcPr>
          <w:p w14:paraId="3B4A9A10"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845</w:t>
            </w:r>
          </w:p>
        </w:tc>
        <w:tc>
          <w:tcPr>
            <w:tcW w:w="158" w:type="pct"/>
            <w:vAlign w:val="center"/>
            <w:hideMark/>
          </w:tcPr>
          <w:p w14:paraId="38052750"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4</w:t>
            </w:r>
          </w:p>
        </w:tc>
        <w:tc>
          <w:tcPr>
            <w:tcW w:w="180" w:type="pct"/>
            <w:vAlign w:val="center"/>
            <w:hideMark/>
          </w:tcPr>
          <w:p w14:paraId="38C1F730"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332</w:t>
            </w:r>
          </w:p>
        </w:tc>
        <w:tc>
          <w:tcPr>
            <w:tcW w:w="158" w:type="pct"/>
            <w:vAlign w:val="center"/>
            <w:hideMark/>
          </w:tcPr>
          <w:p w14:paraId="0434BF16"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vAlign w:val="center"/>
            <w:hideMark/>
          </w:tcPr>
          <w:p w14:paraId="76936FE1"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76" w:type="pct"/>
            <w:vAlign w:val="center"/>
            <w:hideMark/>
          </w:tcPr>
          <w:p w14:paraId="1137F01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97" w:type="pct"/>
            <w:vAlign w:val="center"/>
            <w:hideMark/>
          </w:tcPr>
          <w:p w14:paraId="2A037F9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61" w:type="pct"/>
            <w:noWrap/>
            <w:vAlign w:val="center"/>
            <w:hideMark/>
          </w:tcPr>
          <w:p w14:paraId="6342DC1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5</w:t>
            </w:r>
          </w:p>
        </w:tc>
        <w:tc>
          <w:tcPr>
            <w:tcW w:w="197" w:type="pct"/>
            <w:noWrap/>
            <w:vAlign w:val="center"/>
            <w:hideMark/>
          </w:tcPr>
          <w:p w14:paraId="1702FB9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500</w:t>
            </w:r>
          </w:p>
        </w:tc>
        <w:tc>
          <w:tcPr>
            <w:tcW w:w="162" w:type="pct"/>
            <w:noWrap/>
            <w:vAlign w:val="center"/>
            <w:hideMark/>
          </w:tcPr>
          <w:p w14:paraId="687B568D"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252" w:type="pct"/>
            <w:noWrap/>
            <w:vAlign w:val="center"/>
            <w:hideMark/>
          </w:tcPr>
          <w:p w14:paraId="5EB458F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5" w:type="pct"/>
            <w:noWrap/>
            <w:vAlign w:val="center"/>
            <w:hideMark/>
          </w:tcPr>
          <w:p w14:paraId="47C67564"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8</w:t>
            </w:r>
          </w:p>
        </w:tc>
        <w:tc>
          <w:tcPr>
            <w:tcW w:w="197" w:type="pct"/>
            <w:noWrap/>
            <w:vAlign w:val="center"/>
            <w:hideMark/>
          </w:tcPr>
          <w:p w14:paraId="23925FD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447</w:t>
            </w:r>
          </w:p>
        </w:tc>
        <w:tc>
          <w:tcPr>
            <w:tcW w:w="158" w:type="pct"/>
            <w:vAlign w:val="center"/>
            <w:hideMark/>
          </w:tcPr>
          <w:p w14:paraId="41744F4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2612B7F4"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3727DEF6"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204" w:type="pct"/>
            <w:vAlign w:val="center"/>
            <w:hideMark/>
          </w:tcPr>
          <w:p w14:paraId="0FA15C9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58" w:type="pct"/>
            <w:vAlign w:val="center"/>
            <w:hideMark/>
          </w:tcPr>
          <w:p w14:paraId="3C6A8CF6"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6</w:t>
            </w:r>
          </w:p>
        </w:tc>
        <w:tc>
          <w:tcPr>
            <w:tcW w:w="181" w:type="pct"/>
            <w:vAlign w:val="center"/>
            <w:hideMark/>
          </w:tcPr>
          <w:p w14:paraId="5EAE8D5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88</w:t>
            </w:r>
          </w:p>
        </w:tc>
        <w:tc>
          <w:tcPr>
            <w:tcW w:w="159" w:type="pct"/>
            <w:vAlign w:val="center"/>
            <w:hideMark/>
          </w:tcPr>
          <w:p w14:paraId="6971F40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c>
          <w:tcPr>
            <w:tcW w:w="174" w:type="pct"/>
            <w:vAlign w:val="center"/>
            <w:hideMark/>
          </w:tcPr>
          <w:p w14:paraId="53AAFF04"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r>
      <w:tr w:rsidR="00CF76E6" w:rsidRPr="00CF76E6" w14:paraId="020B5856" w14:textId="77777777" w:rsidTr="00E93F24">
        <w:trPr>
          <w:trHeight w:val="1134"/>
        </w:trPr>
        <w:tc>
          <w:tcPr>
            <w:tcW w:w="344" w:type="pct"/>
            <w:textDirection w:val="btLr"/>
            <w:vAlign w:val="center"/>
          </w:tcPr>
          <w:p w14:paraId="7B35842C" w14:textId="3BA00912" w:rsidR="00CF76E6" w:rsidRPr="00CF76E6" w:rsidRDefault="00CF76E6" w:rsidP="00E93F24">
            <w:pPr>
              <w:jc w:val="center"/>
              <w:rPr>
                <w:rFonts w:ascii="Arial" w:hAnsi="Arial" w:cs="Arial"/>
                <w:color w:val="000000" w:themeColor="text1"/>
                <w:sz w:val="20"/>
                <w:szCs w:val="20"/>
              </w:rPr>
            </w:pPr>
            <w:r w:rsidRPr="00CF76E6">
              <w:rPr>
                <w:rFonts w:ascii="Arial" w:hAnsi="Arial" w:cs="Arial"/>
                <w:b/>
                <w:bCs/>
                <w:color w:val="000000" w:themeColor="text1"/>
                <w:sz w:val="20"/>
                <w:szCs w:val="20"/>
              </w:rPr>
              <w:t>EURO IV</w:t>
            </w:r>
          </w:p>
        </w:tc>
        <w:tc>
          <w:tcPr>
            <w:tcW w:w="157" w:type="pct"/>
            <w:vAlign w:val="center"/>
            <w:hideMark/>
          </w:tcPr>
          <w:p w14:paraId="2CF2C65F" w14:textId="1C2CBC03"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vAlign w:val="center"/>
            <w:hideMark/>
          </w:tcPr>
          <w:p w14:paraId="78B0EC5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61" w:type="pct"/>
            <w:noWrap/>
            <w:vAlign w:val="center"/>
            <w:hideMark/>
          </w:tcPr>
          <w:p w14:paraId="3668EBC1"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15</w:t>
            </w:r>
          </w:p>
        </w:tc>
        <w:tc>
          <w:tcPr>
            <w:tcW w:w="197" w:type="pct"/>
            <w:noWrap/>
            <w:vAlign w:val="center"/>
            <w:hideMark/>
          </w:tcPr>
          <w:p w14:paraId="72290CA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1008</w:t>
            </w:r>
          </w:p>
        </w:tc>
        <w:tc>
          <w:tcPr>
            <w:tcW w:w="161" w:type="pct"/>
            <w:vAlign w:val="center"/>
            <w:hideMark/>
          </w:tcPr>
          <w:p w14:paraId="2BD82037"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vAlign w:val="center"/>
            <w:hideMark/>
          </w:tcPr>
          <w:p w14:paraId="1D58B008"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8" w:type="pct"/>
            <w:vAlign w:val="center"/>
            <w:hideMark/>
          </w:tcPr>
          <w:p w14:paraId="6E65D26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w:t>
            </w:r>
          </w:p>
        </w:tc>
        <w:tc>
          <w:tcPr>
            <w:tcW w:w="180" w:type="pct"/>
            <w:vAlign w:val="center"/>
            <w:hideMark/>
          </w:tcPr>
          <w:p w14:paraId="5345E620"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107</w:t>
            </w:r>
          </w:p>
        </w:tc>
        <w:tc>
          <w:tcPr>
            <w:tcW w:w="158" w:type="pct"/>
            <w:vAlign w:val="center"/>
            <w:hideMark/>
          </w:tcPr>
          <w:p w14:paraId="3B9A4DB1"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7</w:t>
            </w:r>
          </w:p>
        </w:tc>
        <w:tc>
          <w:tcPr>
            <w:tcW w:w="197" w:type="pct"/>
            <w:vAlign w:val="center"/>
            <w:hideMark/>
          </w:tcPr>
          <w:p w14:paraId="29A340A4"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525</w:t>
            </w:r>
          </w:p>
        </w:tc>
        <w:tc>
          <w:tcPr>
            <w:tcW w:w="176" w:type="pct"/>
            <w:vAlign w:val="center"/>
            <w:hideMark/>
          </w:tcPr>
          <w:p w14:paraId="76F3960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97" w:type="pct"/>
            <w:vAlign w:val="center"/>
            <w:hideMark/>
          </w:tcPr>
          <w:p w14:paraId="79CFDBE4"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61" w:type="pct"/>
            <w:noWrap/>
            <w:vAlign w:val="center"/>
            <w:hideMark/>
          </w:tcPr>
          <w:p w14:paraId="3633A726"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w:t>
            </w:r>
          </w:p>
        </w:tc>
        <w:tc>
          <w:tcPr>
            <w:tcW w:w="197" w:type="pct"/>
            <w:noWrap/>
            <w:vAlign w:val="center"/>
            <w:hideMark/>
          </w:tcPr>
          <w:p w14:paraId="76A0373D"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23</w:t>
            </w:r>
          </w:p>
        </w:tc>
        <w:tc>
          <w:tcPr>
            <w:tcW w:w="162" w:type="pct"/>
            <w:noWrap/>
            <w:vAlign w:val="center"/>
            <w:hideMark/>
          </w:tcPr>
          <w:p w14:paraId="7B74289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6</w:t>
            </w:r>
          </w:p>
        </w:tc>
        <w:tc>
          <w:tcPr>
            <w:tcW w:w="252" w:type="pct"/>
            <w:noWrap/>
            <w:vAlign w:val="center"/>
            <w:hideMark/>
          </w:tcPr>
          <w:p w14:paraId="324594B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488</w:t>
            </w:r>
          </w:p>
        </w:tc>
        <w:tc>
          <w:tcPr>
            <w:tcW w:w="155" w:type="pct"/>
            <w:noWrap/>
            <w:vAlign w:val="center"/>
            <w:hideMark/>
          </w:tcPr>
          <w:p w14:paraId="3266764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w:t>
            </w:r>
          </w:p>
        </w:tc>
        <w:tc>
          <w:tcPr>
            <w:tcW w:w="197" w:type="pct"/>
            <w:noWrap/>
            <w:vAlign w:val="center"/>
            <w:hideMark/>
          </w:tcPr>
          <w:p w14:paraId="1FD3BD0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30</w:t>
            </w:r>
          </w:p>
        </w:tc>
        <w:tc>
          <w:tcPr>
            <w:tcW w:w="158" w:type="pct"/>
            <w:vAlign w:val="center"/>
            <w:hideMark/>
          </w:tcPr>
          <w:p w14:paraId="1906D94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w:t>
            </w:r>
          </w:p>
        </w:tc>
        <w:tc>
          <w:tcPr>
            <w:tcW w:w="181" w:type="pct"/>
            <w:vAlign w:val="center"/>
            <w:hideMark/>
          </w:tcPr>
          <w:p w14:paraId="36CB6E8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137</w:t>
            </w:r>
          </w:p>
        </w:tc>
        <w:tc>
          <w:tcPr>
            <w:tcW w:w="181" w:type="pct"/>
            <w:vAlign w:val="center"/>
            <w:hideMark/>
          </w:tcPr>
          <w:p w14:paraId="355C5882"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204" w:type="pct"/>
            <w:vAlign w:val="center"/>
            <w:hideMark/>
          </w:tcPr>
          <w:p w14:paraId="32BC4BC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58" w:type="pct"/>
            <w:vAlign w:val="center"/>
            <w:hideMark/>
          </w:tcPr>
          <w:p w14:paraId="7CB4790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14</w:t>
            </w:r>
          </w:p>
        </w:tc>
        <w:tc>
          <w:tcPr>
            <w:tcW w:w="181" w:type="pct"/>
            <w:vAlign w:val="center"/>
            <w:hideMark/>
          </w:tcPr>
          <w:p w14:paraId="32949415"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490</w:t>
            </w:r>
          </w:p>
        </w:tc>
        <w:tc>
          <w:tcPr>
            <w:tcW w:w="159" w:type="pct"/>
            <w:vAlign w:val="center"/>
            <w:hideMark/>
          </w:tcPr>
          <w:p w14:paraId="0901B17D"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c>
          <w:tcPr>
            <w:tcW w:w="174" w:type="pct"/>
            <w:vAlign w:val="center"/>
            <w:hideMark/>
          </w:tcPr>
          <w:p w14:paraId="2102C34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r>
      <w:tr w:rsidR="00CF76E6" w:rsidRPr="00CF76E6" w14:paraId="02FF5039" w14:textId="77777777" w:rsidTr="00E93F24">
        <w:trPr>
          <w:trHeight w:val="1134"/>
        </w:trPr>
        <w:tc>
          <w:tcPr>
            <w:tcW w:w="344" w:type="pct"/>
            <w:textDirection w:val="btLr"/>
            <w:vAlign w:val="center"/>
          </w:tcPr>
          <w:p w14:paraId="1232C21B" w14:textId="0588BA9B" w:rsidR="00CF76E6" w:rsidRPr="00CF76E6" w:rsidRDefault="00CF76E6" w:rsidP="00E93F24">
            <w:pPr>
              <w:jc w:val="center"/>
              <w:rPr>
                <w:rFonts w:ascii="Arial" w:hAnsi="Arial" w:cs="Arial"/>
                <w:color w:val="000000" w:themeColor="text1"/>
                <w:sz w:val="20"/>
                <w:szCs w:val="20"/>
              </w:rPr>
            </w:pPr>
            <w:r w:rsidRPr="00CF76E6">
              <w:rPr>
                <w:rFonts w:ascii="Arial" w:hAnsi="Arial" w:cs="Arial"/>
                <w:b/>
                <w:bCs/>
                <w:color w:val="000000" w:themeColor="text1"/>
                <w:sz w:val="20"/>
                <w:szCs w:val="20"/>
              </w:rPr>
              <w:t>EURO V</w:t>
            </w:r>
          </w:p>
        </w:tc>
        <w:tc>
          <w:tcPr>
            <w:tcW w:w="157" w:type="pct"/>
            <w:vAlign w:val="center"/>
            <w:hideMark/>
          </w:tcPr>
          <w:p w14:paraId="64A0431C" w14:textId="4F1C77F5"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80</w:t>
            </w:r>
          </w:p>
        </w:tc>
        <w:tc>
          <w:tcPr>
            <w:tcW w:w="197" w:type="pct"/>
            <w:vAlign w:val="center"/>
            <w:hideMark/>
          </w:tcPr>
          <w:p w14:paraId="733B688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7328</w:t>
            </w:r>
          </w:p>
        </w:tc>
        <w:tc>
          <w:tcPr>
            <w:tcW w:w="161" w:type="pct"/>
            <w:noWrap/>
            <w:vAlign w:val="center"/>
            <w:hideMark/>
          </w:tcPr>
          <w:p w14:paraId="4926962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w:t>
            </w:r>
          </w:p>
        </w:tc>
        <w:tc>
          <w:tcPr>
            <w:tcW w:w="197" w:type="pct"/>
            <w:noWrap/>
            <w:vAlign w:val="center"/>
            <w:hideMark/>
          </w:tcPr>
          <w:p w14:paraId="685C3BF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158</w:t>
            </w:r>
          </w:p>
        </w:tc>
        <w:tc>
          <w:tcPr>
            <w:tcW w:w="161" w:type="pct"/>
            <w:noWrap/>
            <w:vAlign w:val="center"/>
            <w:hideMark/>
          </w:tcPr>
          <w:p w14:paraId="3574BFE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12</w:t>
            </w:r>
          </w:p>
        </w:tc>
        <w:tc>
          <w:tcPr>
            <w:tcW w:w="197" w:type="pct"/>
            <w:noWrap/>
            <w:vAlign w:val="center"/>
            <w:hideMark/>
          </w:tcPr>
          <w:p w14:paraId="5AF3E174"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792</w:t>
            </w:r>
          </w:p>
        </w:tc>
        <w:tc>
          <w:tcPr>
            <w:tcW w:w="158" w:type="pct"/>
            <w:vAlign w:val="center"/>
            <w:hideMark/>
          </w:tcPr>
          <w:p w14:paraId="591D10B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9</w:t>
            </w:r>
          </w:p>
        </w:tc>
        <w:tc>
          <w:tcPr>
            <w:tcW w:w="180" w:type="pct"/>
            <w:vAlign w:val="center"/>
            <w:hideMark/>
          </w:tcPr>
          <w:p w14:paraId="4B17BDD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857</w:t>
            </w:r>
          </w:p>
        </w:tc>
        <w:tc>
          <w:tcPr>
            <w:tcW w:w="158" w:type="pct"/>
            <w:vAlign w:val="center"/>
            <w:hideMark/>
          </w:tcPr>
          <w:p w14:paraId="68DB784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12</w:t>
            </w:r>
          </w:p>
        </w:tc>
        <w:tc>
          <w:tcPr>
            <w:tcW w:w="197" w:type="pct"/>
            <w:vAlign w:val="center"/>
            <w:hideMark/>
          </w:tcPr>
          <w:p w14:paraId="46A280C8"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772</w:t>
            </w:r>
          </w:p>
        </w:tc>
        <w:tc>
          <w:tcPr>
            <w:tcW w:w="176" w:type="pct"/>
            <w:vAlign w:val="center"/>
            <w:hideMark/>
          </w:tcPr>
          <w:p w14:paraId="63334096"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97" w:type="pct"/>
            <w:vAlign w:val="center"/>
            <w:hideMark/>
          </w:tcPr>
          <w:p w14:paraId="4041A2B8"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61" w:type="pct"/>
            <w:noWrap/>
            <w:vAlign w:val="center"/>
            <w:hideMark/>
          </w:tcPr>
          <w:p w14:paraId="310C39B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10</w:t>
            </w:r>
          </w:p>
        </w:tc>
        <w:tc>
          <w:tcPr>
            <w:tcW w:w="197" w:type="pct"/>
            <w:noWrap/>
            <w:vAlign w:val="center"/>
            <w:hideMark/>
          </w:tcPr>
          <w:p w14:paraId="3D0F2F9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750</w:t>
            </w:r>
          </w:p>
        </w:tc>
        <w:tc>
          <w:tcPr>
            <w:tcW w:w="162" w:type="pct"/>
            <w:noWrap/>
            <w:vAlign w:val="center"/>
            <w:hideMark/>
          </w:tcPr>
          <w:p w14:paraId="0AA2B032"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9</w:t>
            </w:r>
          </w:p>
        </w:tc>
        <w:tc>
          <w:tcPr>
            <w:tcW w:w="252" w:type="pct"/>
            <w:noWrap/>
            <w:vAlign w:val="center"/>
            <w:hideMark/>
          </w:tcPr>
          <w:p w14:paraId="1E4E21F1"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568</w:t>
            </w:r>
          </w:p>
        </w:tc>
        <w:tc>
          <w:tcPr>
            <w:tcW w:w="155" w:type="pct"/>
            <w:noWrap/>
            <w:vAlign w:val="center"/>
            <w:hideMark/>
          </w:tcPr>
          <w:p w14:paraId="3678E1B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15</w:t>
            </w:r>
          </w:p>
        </w:tc>
        <w:tc>
          <w:tcPr>
            <w:tcW w:w="197" w:type="pct"/>
            <w:noWrap/>
            <w:vAlign w:val="center"/>
            <w:hideMark/>
          </w:tcPr>
          <w:p w14:paraId="5678B23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850</w:t>
            </w:r>
          </w:p>
        </w:tc>
        <w:tc>
          <w:tcPr>
            <w:tcW w:w="158" w:type="pct"/>
            <w:vAlign w:val="center"/>
            <w:hideMark/>
          </w:tcPr>
          <w:p w14:paraId="6F59449D"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11</w:t>
            </w:r>
          </w:p>
        </w:tc>
        <w:tc>
          <w:tcPr>
            <w:tcW w:w="181" w:type="pct"/>
            <w:vAlign w:val="center"/>
            <w:hideMark/>
          </w:tcPr>
          <w:p w14:paraId="4EAA1F10"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825</w:t>
            </w:r>
          </w:p>
        </w:tc>
        <w:tc>
          <w:tcPr>
            <w:tcW w:w="181" w:type="pct"/>
            <w:vAlign w:val="center"/>
            <w:hideMark/>
          </w:tcPr>
          <w:p w14:paraId="6F769588"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204" w:type="pct"/>
            <w:vAlign w:val="center"/>
            <w:hideMark/>
          </w:tcPr>
          <w:p w14:paraId="335371C0"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58" w:type="pct"/>
            <w:vAlign w:val="center"/>
            <w:hideMark/>
          </w:tcPr>
          <w:p w14:paraId="233FA998"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14</w:t>
            </w:r>
          </w:p>
        </w:tc>
        <w:tc>
          <w:tcPr>
            <w:tcW w:w="181" w:type="pct"/>
            <w:vAlign w:val="center"/>
            <w:hideMark/>
          </w:tcPr>
          <w:p w14:paraId="5C59F3B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654</w:t>
            </w:r>
          </w:p>
        </w:tc>
        <w:tc>
          <w:tcPr>
            <w:tcW w:w="159" w:type="pct"/>
            <w:vAlign w:val="center"/>
            <w:hideMark/>
          </w:tcPr>
          <w:p w14:paraId="01E6FEC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c>
          <w:tcPr>
            <w:tcW w:w="174" w:type="pct"/>
            <w:vAlign w:val="center"/>
            <w:hideMark/>
          </w:tcPr>
          <w:p w14:paraId="15CA0A71"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r>
      <w:tr w:rsidR="00CF76E6" w:rsidRPr="00CF76E6" w14:paraId="415C2726" w14:textId="77777777" w:rsidTr="00E93F24">
        <w:trPr>
          <w:trHeight w:val="1134"/>
        </w:trPr>
        <w:tc>
          <w:tcPr>
            <w:tcW w:w="344" w:type="pct"/>
            <w:textDirection w:val="btLr"/>
            <w:vAlign w:val="center"/>
          </w:tcPr>
          <w:p w14:paraId="6E9B4BAE" w14:textId="696B6F39" w:rsidR="00CF76E6" w:rsidRPr="00CF76E6" w:rsidRDefault="00CF76E6" w:rsidP="00E93F24">
            <w:pPr>
              <w:jc w:val="center"/>
              <w:rPr>
                <w:rFonts w:ascii="Arial" w:hAnsi="Arial" w:cs="Arial"/>
                <w:color w:val="000000" w:themeColor="text1"/>
                <w:sz w:val="20"/>
                <w:szCs w:val="20"/>
              </w:rPr>
            </w:pPr>
            <w:r w:rsidRPr="00CF76E6">
              <w:rPr>
                <w:rFonts w:ascii="Arial" w:hAnsi="Arial" w:cs="Arial"/>
                <w:b/>
                <w:bCs/>
                <w:color w:val="000000" w:themeColor="text1"/>
                <w:sz w:val="20"/>
                <w:szCs w:val="20"/>
              </w:rPr>
              <w:t>EURO VI</w:t>
            </w:r>
          </w:p>
        </w:tc>
        <w:tc>
          <w:tcPr>
            <w:tcW w:w="157" w:type="pct"/>
            <w:vAlign w:val="center"/>
            <w:hideMark/>
          </w:tcPr>
          <w:p w14:paraId="1FED051D" w14:textId="404D3FF4"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82</w:t>
            </w:r>
          </w:p>
        </w:tc>
        <w:tc>
          <w:tcPr>
            <w:tcW w:w="197" w:type="pct"/>
            <w:vAlign w:val="center"/>
            <w:hideMark/>
          </w:tcPr>
          <w:p w14:paraId="62E9FD4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9219</w:t>
            </w:r>
          </w:p>
        </w:tc>
        <w:tc>
          <w:tcPr>
            <w:tcW w:w="161" w:type="pct"/>
            <w:noWrap/>
            <w:vAlign w:val="center"/>
            <w:hideMark/>
          </w:tcPr>
          <w:p w14:paraId="45A77606"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54</w:t>
            </w:r>
          </w:p>
        </w:tc>
        <w:tc>
          <w:tcPr>
            <w:tcW w:w="197" w:type="pct"/>
            <w:noWrap/>
            <w:vAlign w:val="center"/>
            <w:hideMark/>
          </w:tcPr>
          <w:p w14:paraId="4467921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5133</w:t>
            </w:r>
          </w:p>
        </w:tc>
        <w:tc>
          <w:tcPr>
            <w:tcW w:w="161" w:type="pct"/>
            <w:noWrap/>
            <w:vAlign w:val="center"/>
            <w:hideMark/>
          </w:tcPr>
          <w:p w14:paraId="545CEC0D"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18</w:t>
            </w:r>
          </w:p>
        </w:tc>
        <w:tc>
          <w:tcPr>
            <w:tcW w:w="197" w:type="pct"/>
            <w:noWrap/>
            <w:vAlign w:val="center"/>
            <w:hideMark/>
          </w:tcPr>
          <w:p w14:paraId="0BD88B30"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1788</w:t>
            </w:r>
          </w:p>
        </w:tc>
        <w:tc>
          <w:tcPr>
            <w:tcW w:w="158" w:type="pct"/>
            <w:vAlign w:val="center"/>
            <w:hideMark/>
          </w:tcPr>
          <w:p w14:paraId="0D606976"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11</w:t>
            </w:r>
          </w:p>
        </w:tc>
        <w:tc>
          <w:tcPr>
            <w:tcW w:w="180" w:type="pct"/>
            <w:vAlign w:val="center"/>
            <w:hideMark/>
          </w:tcPr>
          <w:p w14:paraId="46BA901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658</w:t>
            </w:r>
          </w:p>
        </w:tc>
        <w:tc>
          <w:tcPr>
            <w:tcW w:w="158" w:type="pct"/>
            <w:vAlign w:val="center"/>
            <w:hideMark/>
          </w:tcPr>
          <w:p w14:paraId="7E375D82"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18</w:t>
            </w:r>
          </w:p>
        </w:tc>
        <w:tc>
          <w:tcPr>
            <w:tcW w:w="197" w:type="pct"/>
            <w:vAlign w:val="center"/>
            <w:hideMark/>
          </w:tcPr>
          <w:p w14:paraId="2D0B2E2D"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1466</w:t>
            </w:r>
          </w:p>
        </w:tc>
        <w:tc>
          <w:tcPr>
            <w:tcW w:w="176" w:type="pct"/>
            <w:vAlign w:val="center"/>
            <w:hideMark/>
          </w:tcPr>
          <w:p w14:paraId="20F74832"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97" w:type="pct"/>
            <w:vAlign w:val="center"/>
            <w:hideMark/>
          </w:tcPr>
          <w:p w14:paraId="49996375"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61" w:type="pct"/>
            <w:noWrap/>
            <w:vAlign w:val="center"/>
            <w:hideMark/>
          </w:tcPr>
          <w:p w14:paraId="1C894950"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10</w:t>
            </w:r>
          </w:p>
        </w:tc>
        <w:tc>
          <w:tcPr>
            <w:tcW w:w="197" w:type="pct"/>
            <w:noWrap/>
            <w:vAlign w:val="center"/>
            <w:hideMark/>
          </w:tcPr>
          <w:p w14:paraId="59CE3251"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1005</w:t>
            </w:r>
          </w:p>
        </w:tc>
        <w:tc>
          <w:tcPr>
            <w:tcW w:w="162" w:type="pct"/>
            <w:noWrap/>
            <w:vAlign w:val="center"/>
            <w:hideMark/>
          </w:tcPr>
          <w:p w14:paraId="566D265D"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w:t>
            </w:r>
          </w:p>
        </w:tc>
        <w:tc>
          <w:tcPr>
            <w:tcW w:w="252" w:type="pct"/>
            <w:noWrap/>
            <w:vAlign w:val="center"/>
            <w:hideMark/>
          </w:tcPr>
          <w:p w14:paraId="3465AEE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28</w:t>
            </w:r>
          </w:p>
        </w:tc>
        <w:tc>
          <w:tcPr>
            <w:tcW w:w="155" w:type="pct"/>
            <w:noWrap/>
            <w:vAlign w:val="center"/>
            <w:hideMark/>
          </w:tcPr>
          <w:p w14:paraId="3BF49E94"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21</w:t>
            </w:r>
          </w:p>
        </w:tc>
        <w:tc>
          <w:tcPr>
            <w:tcW w:w="197" w:type="pct"/>
            <w:noWrap/>
            <w:vAlign w:val="center"/>
            <w:hideMark/>
          </w:tcPr>
          <w:p w14:paraId="32745D7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1653</w:t>
            </w:r>
          </w:p>
        </w:tc>
        <w:tc>
          <w:tcPr>
            <w:tcW w:w="158" w:type="pct"/>
            <w:vAlign w:val="center"/>
            <w:hideMark/>
          </w:tcPr>
          <w:p w14:paraId="3533A0C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18AC1C15"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1DBE1C0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204" w:type="pct"/>
            <w:vAlign w:val="center"/>
            <w:hideMark/>
          </w:tcPr>
          <w:p w14:paraId="214646E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58" w:type="pct"/>
            <w:vAlign w:val="center"/>
            <w:hideMark/>
          </w:tcPr>
          <w:p w14:paraId="201B109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49594B2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9" w:type="pct"/>
            <w:vAlign w:val="center"/>
            <w:hideMark/>
          </w:tcPr>
          <w:p w14:paraId="01A5C5A8"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c>
          <w:tcPr>
            <w:tcW w:w="174" w:type="pct"/>
            <w:vAlign w:val="center"/>
            <w:hideMark/>
          </w:tcPr>
          <w:p w14:paraId="4F9C7C5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r>
      <w:tr w:rsidR="00CF76E6" w:rsidRPr="00CF76E6" w14:paraId="1958BED8" w14:textId="77777777" w:rsidTr="00E93F24">
        <w:trPr>
          <w:trHeight w:val="1134"/>
        </w:trPr>
        <w:tc>
          <w:tcPr>
            <w:tcW w:w="344" w:type="pct"/>
            <w:textDirection w:val="btLr"/>
            <w:vAlign w:val="center"/>
          </w:tcPr>
          <w:p w14:paraId="35234439" w14:textId="5996D045" w:rsidR="00CF76E6" w:rsidRPr="00CF76E6" w:rsidRDefault="00CF76E6" w:rsidP="00E93F24">
            <w:pPr>
              <w:jc w:val="center"/>
              <w:rPr>
                <w:rFonts w:ascii="Arial" w:hAnsi="Arial" w:cs="Arial"/>
                <w:color w:val="000000" w:themeColor="text1"/>
                <w:sz w:val="20"/>
                <w:szCs w:val="20"/>
              </w:rPr>
            </w:pPr>
            <w:r w:rsidRPr="00CF76E6">
              <w:rPr>
                <w:rFonts w:ascii="Arial" w:hAnsi="Arial" w:cs="Arial"/>
                <w:b/>
                <w:bCs/>
                <w:color w:val="000000" w:themeColor="text1"/>
                <w:sz w:val="20"/>
                <w:szCs w:val="20"/>
              </w:rPr>
              <w:t>BEV</w:t>
            </w:r>
          </w:p>
        </w:tc>
        <w:tc>
          <w:tcPr>
            <w:tcW w:w="157" w:type="pct"/>
            <w:vAlign w:val="center"/>
            <w:hideMark/>
          </w:tcPr>
          <w:p w14:paraId="23003CC1" w14:textId="56B33C75"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10</w:t>
            </w:r>
          </w:p>
        </w:tc>
        <w:tc>
          <w:tcPr>
            <w:tcW w:w="197" w:type="pct"/>
            <w:vAlign w:val="center"/>
            <w:hideMark/>
          </w:tcPr>
          <w:p w14:paraId="5B278D9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780</w:t>
            </w:r>
          </w:p>
        </w:tc>
        <w:tc>
          <w:tcPr>
            <w:tcW w:w="161" w:type="pct"/>
            <w:vAlign w:val="center"/>
            <w:hideMark/>
          </w:tcPr>
          <w:p w14:paraId="177056D1"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vAlign w:val="center"/>
            <w:hideMark/>
          </w:tcPr>
          <w:p w14:paraId="4BBF4BC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61" w:type="pct"/>
            <w:vAlign w:val="center"/>
            <w:hideMark/>
          </w:tcPr>
          <w:p w14:paraId="04CB899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vAlign w:val="center"/>
            <w:hideMark/>
          </w:tcPr>
          <w:p w14:paraId="0F6AD781"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8" w:type="pct"/>
            <w:vAlign w:val="center"/>
            <w:hideMark/>
          </w:tcPr>
          <w:p w14:paraId="10DA1B53"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10</w:t>
            </w:r>
          </w:p>
        </w:tc>
        <w:tc>
          <w:tcPr>
            <w:tcW w:w="180" w:type="pct"/>
            <w:vAlign w:val="center"/>
            <w:hideMark/>
          </w:tcPr>
          <w:p w14:paraId="1A57001E"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580</w:t>
            </w:r>
          </w:p>
        </w:tc>
        <w:tc>
          <w:tcPr>
            <w:tcW w:w="158" w:type="pct"/>
            <w:vAlign w:val="center"/>
            <w:hideMark/>
          </w:tcPr>
          <w:p w14:paraId="16AC44E2"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vAlign w:val="center"/>
            <w:hideMark/>
          </w:tcPr>
          <w:p w14:paraId="69DB5E9A"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76" w:type="pct"/>
            <w:vAlign w:val="center"/>
            <w:hideMark/>
          </w:tcPr>
          <w:p w14:paraId="1FC9253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97" w:type="pct"/>
            <w:vAlign w:val="center"/>
            <w:hideMark/>
          </w:tcPr>
          <w:p w14:paraId="02A69990"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61" w:type="pct"/>
            <w:noWrap/>
            <w:vAlign w:val="center"/>
            <w:hideMark/>
          </w:tcPr>
          <w:p w14:paraId="4C5DDB37"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noWrap/>
            <w:vAlign w:val="center"/>
            <w:hideMark/>
          </w:tcPr>
          <w:p w14:paraId="47AFA5C6"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62" w:type="pct"/>
            <w:noWrap/>
            <w:vAlign w:val="center"/>
            <w:hideMark/>
          </w:tcPr>
          <w:p w14:paraId="387770C6"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252" w:type="pct"/>
            <w:noWrap/>
            <w:vAlign w:val="center"/>
            <w:hideMark/>
          </w:tcPr>
          <w:p w14:paraId="592E3F95"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5" w:type="pct"/>
            <w:noWrap/>
            <w:vAlign w:val="center"/>
            <w:hideMark/>
          </w:tcPr>
          <w:p w14:paraId="5E4A274C"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97" w:type="pct"/>
            <w:noWrap/>
            <w:vAlign w:val="center"/>
            <w:hideMark/>
          </w:tcPr>
          <w:p w14:paraId="5DD2653A"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8" w:type="pct"/>
            <w:vAlign w:val="center"/>
            <w:hideMark/>
          </w:tcPr>
          <w:p w14:paraId="6B823B02"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7E1EACDD"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79DAA546"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204" w:type="pct"/>
            <w:vAlign w:val="center"/>
            <w:hideMark/>
          </w:tcPr>
          <w:p w14:paraId="54036C88"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n.d.</w:t>
            </w:r>
          </w:p>
        </w:tc>
        <w:tc>
          <w:tcPr>
            <w:tcW w:w="158" w:type="pct"/>
            <w:vAlign w:val="center"/>
            <w:hideMark/>
          </w:tcPr>
          <w:p w14:paraId="22679239"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81" w:type="pct"/>
            <w:vAlign w:val="center"/>
            <w:hideMark/>
          </w:tcPr>
          <w:p w14:paraId="7A614EFF"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0</w:t>
            </w:r>
          </w:p>
        </w:tc>
        <w:tc>
          <w:tcPr>
            <w:tcW w:w="159" w:type="pct"/>
            <w:vAlign w:val="center"/>
            <w:hideMark/>
          </w:tcPr>
          <w:p w14:paraId="022098FB"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c>
          <w:tcPr>
            <w:tcW w:w="174" w:type="pct"/>
            <w:vAlign w:val="center"/>
            <w:hideMark/>
          </w:tcPr>
          <w:p w14:paraId="379990E7" w14:textId="77777777" w:rsidR="00CF76E6" w:rsidRPr="00CF76E6" w:rsidRDefault="00CF76E6" w:rsidP="00E93F24">
            <w:pPr>
              <w:jc w:val="center"/>
              <w:rPr>
                <w:rFonts w:ascii="Arial" w:hAnsi="Arial" w:cs="Arial"/>
                <w:color w:val="000000" w:themeColor="text1"/>
                <w:sz w:val="20"/>
                <w:szCs w:val="20"/>
              </w:rPr>
            </w:pPr>
            <w:r w:rsidRPr="00CF76E6">
              <w:rPr>
                <w:rFonts w:ascii="Arial" w:hAnsi="Arial" w:cs="Arial"/>
                <w:color w:val="000000" w:themeColor="text1"/>
                <w:sz w:val="20"/>
                <w:szCs w:val="20"/>
              </w:rPr>
              <w:t>b.d.</w:t>
            </w:r>
          </w:p>
        </w:tc>
      </w:tr>
    </w:tbl>
    <w:p w14:paraId="7C9E358A" w14:textId="2180FC19" w:rsidR="00C22540" w:rsidRPr="009B78DA" w:rsidRDefault="00C22540" w:rsidP="00F216EA">
      <w:pPr>
        <w:spacing w:before="120" w:after="0" w:line="276" w:lineRule="auto"/>
        <w:jc w:val="both"/>
        <w:rPr>
          <w:rFonts w:ascii="Arial" w:hAnsi="Arial" w:cs="Arial"/>
          <w:color w:val="000000" w:themeColor="text1"/>
          <w:sz w:val="22"/>
          <w:szCs w:val="22"/>
        </w:rPr>
      </w:pPr>
      <w:r w:rsidRPr="00F216EA">
        <w:rPr>
          <w:rFonts w:ascii="Arial" w:hAnsi="Arial" w:cs="Arial"/>
          <w:b/>
          <w:color w:val="000000" w:themeColor="text1"/>
          <w:sz w:val="22"/>
          <w:szCs w:val="22"/>
        </w:rPr>
        <w:t>*</w:t>
      </w:r>
      <w:r w:rsidR="00F216EA">
        <w:rPr>
          <w:rFonts w:ascii="Arial" w:hAnsi="Arial" w:cs="Arial"/>
          <w:color w:val="000000" w:themeColor="text1"/>
          <w:sz w:val="22"/>
          <w:szCs w:val="22"/>
        </w:rPr>
        <w:t xml:space="preserve"> </w:t>
      </w:r>
      <w:r w:rsidRPr="009B78DA">
        <w:rPr>
          <w:rFonts w:ascii="Arial" w:hAnsi="Arial" w:cs="Arial"/>
          <w:color w:val="000000" w:themeColor="text1"/>
          <w:sz w:val="22"/>
          <w:szCs w:val="22"/>
        </w:rPr>
        <w:t>Miejskie Przedsiębiorstwo Komunikacyjne Sp.</w:t>
      </w:r>
      <w:r w:rsidR="00BA6E26" w:rsidRPr="009B78DA">
        <w:rPr>
          <w:rFonts w:ascii="Arial" w:hAnsi="Arial" w:cs="Arial"/>
          <w:color w:val="000000" w:themeColor="text1"/>
          <w:sz w:val="22"/>
          <w:szCs w:val="22"/>
        </w:rPr>
        <w:t xml:space="preserve"> z o.o. (komunikacja miejska).</w:t>
      </w:r>
    </w:p>
    <w:p w14:paraId="5C78DD80" w14:textId="42D6453A" w:rsidR="00C22540" w:rsidRPr="009B78DA" w:rsidRDefault="00C22540" w:rsidP="00F216EA">
      <w:pPr>
        <w:spacing w:before="120" w:after="0" w:line="276" w:lineRule="auto"/>
        <w:jc w:val="both"/>
        <w:rPr>
          <w:rFonts w:ascii="Arial" w:hAnsi="Arial" w:cs="Arial"/>
          <w:color w:val="000000" w:themeColor="text1"/>
          <w:sz w:val="22"/>
          <w:szCs w:val="22"/>
        </w:rPr>
      </w:pPr>
      <w:r w:rsidRPr="00F216EA">
        <w:rPr>
          <w:rFonts w:ascii="Arial" w:hAnsi="Arial" w:cs="Arial"/>
          <w:b/>
          <w:color w:val="000000" w:themeColor="text1"/>
          <w:sz w:val="22"/>
          <w:szCs w:val="22"/>
        </w:rPr>
        <w:t>**</w:t>
      </w:r>
      <w:r w:rsidR="00F216E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Komunikacja realizowana przez Związek Gmin </w:t>
      </w:r>
      <w:r w:rsidRPr="009B78DA">
        <w:rPr>
          <w:rFonts w:ascii="Arial" w:hAnsi="Arial" w:cs="Arial"/>
          <w:i/>
          <w:iCs/>
          <w:color w:val="000000" w:themeColor="text1"/>
          <w:sz w:val="22"/>
          <w:szCs w:val="22"/>
        </w:rPr>
        <w:t>Podkarpacka Komunikacja Samochodowa</w:t>
      </w:r>
      <w:r w:rsidRPr="009B78DA">
        <w:rPr>
          <w:rFonts w:ascii="Arial" w:hAnsi="Arial" w:cs="Arial"/>
          <w:color w:val="000000" w:themeColor="text1"/>
          <w:sz w:val="22"/>
          <w:szCs w:val="22"/>
        </w:rPr>
        <w:t xml:space="preserve"> - przewozy gminne (Miasto Rzeszów nie jest w związku).</w:t>
      </w:r>
    </w:p>
    <w:p w14:paraId="23D666C5" w14:textId="312A982A" w:rsidR="00C22540" w:rsidRPr="009B78DA" w:rsidRDefault="00C22540" w:rsidP="00F216EA">
      <w:pPr>
        <w:spacing w:before="120" w:after="0" w:line="276" w:lineRule="auto"/>
        <w:jc w:val="both"/>
        <w:rPr>
          <w:rFonts w:ascii="Arial" w:hAnsi="Arial" w:cs="Arial"/>
          <w:color w:val="000000" w:themeColor="text1"/>
          <w:sz w:val="22"/>
          <w:szCs w:val="22"/>
        </w:rPr>
      </w:pPr>
      <w:r w:rsidRPr="00F216EA">
        <w:rPr>
          <w:rFonts w:ascii="Arial" w:hAnsi="Arial" w:cs="Arial"/>
          <w:b/>
          <w:color w:val="000000" w:themeColor="text1"/>
          <w:sz w:val="22"/>
          <w:szCs w:val="22"/>
        </w:rPr>
        <w:t>***</w:t>
      </w:r>
      <w:r w:rsidR="00F216EA">
        <w:rPr>
          <w:rFonts w:ascii="Arial" w:hAnsi="Arial" w:cs="Arial"/>
          <w:color w:val="000000" w:themeColor="text1"/>
          <w:sz w:val="22"/>
          <w:szCs w:val="22"/>
        </w:rPr>
        <w:t xml:space="preserve"> </w:t>
      </w:r>
      <w:r w:rsidRPr="009B78DA">
        <w:rPr>
          <w:rFonts w:ascii="Arial" w:hAnsi="Arial" w:cs="Arial"/>
          <w:color w:val="000000" w:themeColor="text1"/>
          <w:sz w:val="22"/>
          <w:szCs w:val="22"/>
        </w:rPr>
        <w:t>Wartości łączne dla Miejskiej Komunikacji Samochodowej w Jaśle Sp. z o.o. oraz PGZK-Jasiel Sp. z o.o.</w:t>
      </w:r>
    </w:p>
    <w:p w14:paraId="7331634A" w14:textId="59363F92" w:rsidR="0063748C" w:rsidRPr="009B78DA" w:rsidRDefault="00C22540" w:rsidP="00F216EA">
      <w:pPr>
        <w:spacing w:before="120" w:after="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 xml:space="preserve">Źródło: Opracowanie własne na podstawie danych ankietowych pozyskanych w ramach kwerendy przeprowadzanej na rzecz przygotowania </w:t>
      </w:r>
      <w:r w:rsidR="00EE6369" w:rsidRPr="009B78DA">
        <w:rPr>
          <w:rFonts w:ascii="Arial" w:hAnsi="Arial" w:cs="Arial"/>
          <w:color w:val="000000" w:themeColor="text1"/>
          <w:sz w:val="22"/>
          <w:szCs w:val="22"/>
        </w:rPr>
        <w:t xml:space="preserve">Programu </w:t>
      </w:r>
      <w:r w:rsidR="00EE6369" w:rsidRPr="009B78DA">
        <w:rPr>
          <w:rFonts w:ascii="Arial" w:hAnsi="Arial" w:cs="Arial"/>
          <w:i/>
          <w:iCs/>
          <w:color w:val="000000" w:themeColor="text1"/>
          <w:sz w:val="22"/>
          <w:szCs w:val="22"/>
        </w:rPr>
        <w:t>Fundusze Europejskie dla Polski Wschodniej</w:t>
      </w:r>
      <w:r w:rsidR="00EE6369" w:rsidRPr="009B78DA">
        <w:rPr>
          <w:rFonts w:ascii="Arial" w:hAnsi="Arial" w:cs="Arial"/>
          <w:i/>
          <w:color w:val="000000" w:themeColor="text1"/>
          <w:sz w:val="22"/>
          <w:szCs w:val="22"/>
        </w:rPr>
        <w:t xml:space="preserve"> na lata 2021 – 2027</w:t>
      </w:r>
      <w:r w:rsidR="00EE6369"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przez Ministerstwo Funduszy i Polityki Regionalnej (wg stanu na 31.12.2020).</w:t>
      </w:r>
    </w:p>
    <w:p w14:paraId="48BAF1E9" w14:textId="14D9FD28" w:rsidR="00BA6E26" w:rsidRPr="009B78DA" w:rsidRDefault="00C22540" w:rsidP="00F216EA">
      <w:pPr>
        <w:spacing w:before="120" w:after="0" w:line="276" w:lineRule="auto"/>
        <w:jc w:val="both"/>
        <w:rPr>
          <w:rFonts w:ascii="Arial" w:hAnsi="Arial" w:cs="Arial"/>
          <w:b/>
          <w:bCs/>
          <w:color w:val="000000" w:themeColor="text1"/>
          <w:sz w:val="22"/>
          <w:szCs w:val="22"/>
        </w:rPr>
      </w:pPr>
      <w:r w:rsidRPr="009B78DA">
        <w:rPr>
          <w:rFonts w:ascii="Arial" w:hAnsi="Arial" w:cs="Arial"/>
          <w:b/>
          <w:bCs/>
          <w:color w:val="000000" w:themeColor="text1"/>
          <w:sz w:val="22"/>
          <w:szCs w:val="22"/>
        </w:rPr>
        <w:t>Plany zakupowe w zakresie autobusów elektrycznych dla transportu miejskiego w ROF oraz wybranych MOF województwa podkarpackiego</w:t>
      </w:r>
    </w:p>
    <w:tbl>
      <w:tblPr>
        <w:tblStyle w:val="Tabela-Siatka"/>
        <w:tblW w:w="15362" w:type="dxa"/>
        <w:tblLook w:val="04A0" w:firstRow="1" w:lastRow="0" w:firstColumn="1" w:lastColumn="0" w:noHBand="0" w:noVBand="1"/>
        <w:tblCaption w:val="Plany zakupowe w zakresie autobusów elektrycznych dla transportu miejskiego w ROF oraz wybranych MOF województwa podkarpackiego"/>
        <w:tblDescription w:val="Tabela zawiera Miasto, Rzeszów i ROF (MPK*), Rzeszów i ROF (PKS**), Przemyśl, Stalowa Wola, Mielec, Lubaczów, Dębica, Tarnobrzeg, Krosno, Jarosław, Przeworsk, Jasło, Sanok"/>
      </w:tblPr>
      <w:tblGrid>
        <w:gridCol w:w="864"/>
        <w:gridCol w:w="1442"/>
        <w:gridCol w:w="1689"/>
        <w:gridCol w:w="1121"/>
        <w:gridCol w:w="1132"/>
        <w:gridCol w:w="852"/>
        <w:gridCol w:w="1207"/>
        <w:gridCol w:w="901"/>
        <w:gridCol w:w="1342"/>
        <w:gridCol w:w="914"/>
        <w:gridCol w:w="1085"/>
        <w:gridCol w:w="1243"/>
        <w:gridCol w:w="730"/>
        <w:gridCol w:w="840"/>
      </w:tblGrid>
      <w:tr w:rsidR="006F4FD2" w:rsidRPr="009B78DA" w14:paraId="0763D3E4" w14:textId="77777777" w:rsidTr="00F216EA">
        <w:trPr>
          <w:tblHeader/>
        </w:trPr>
        <w:tc>
          <w:tcPr>
            <w:tcW w:w="0" w:type="auto"/>
            <w:shd w:val="clear" w:color="auto" w:fill="DEEAF6" w:themeFill="accent1" w:themeFillTint="33"/>
            <w:vAlign w:val="center"/>
          </w:tcPr>
          <w:p w14:paraId="46DF645E"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Miasto</w:t>
            </w:r>
          </w:p>
        </w:tc>
        <w:tc>
          <w:tcPr>
            <w:tcW w:w="0" w:type="auto"/>
            <w:shd w:val="clear" w:color="auto" w:fill="DEEAF6" w:themeFill="accent1" w:themeFillTint="33"/>
            <w:vAlign w:val="center"/>
          </w:tcPr>
          <w:p w14:paraId="031A3322"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Rzeszów i ROF (MPK*)</w:t>
            </w:r>
          </w:p>
        </w:tc>
        <w:tc>
          <w:tcPr>
            <w:tcW w:w="1689" w:type="dxa"/>
            <w:shd w:val="clear" w:color="auto" w:fill="DEEAF6" w:themeFill="accent1" w:themeFillTint="33"/>
            <w:vAlign w:val="center"/>
          </w:tcPr>
          <w:p w14:paraId="1F284FAF"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Rzeszów i ROF (PKS**)</w:t>
            </w:r>
          </w:p>
        </w:tc>
        <w:tc>
          <w:tcPr>
            <w:tcW w:w="0" w:type="auto"/>
            <w:shd w:val="clear" w:color="auto" w:fill="DEEAF6" w:themeFill="accent1" w:themeFillTint="33"/>
            <w:vAlign w:val="center"/>
          </w:tcPr>
          <w:p w14:paraId="6885A61F"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Przemyśl</w:t>
            </w:r>
          </w:p>
        </w:tc>
        <w:tc>
          <w:tcPr>
            <w:tcW w:w="0" w:type="auto"/>
            <w:shd w:val="clear" w:color="auto" w:fill="DEEAF6" w:themeFill="accent1" w:themeFillTint="33"/>
            <w:vAlign w:val="center"/>
          </w:tcPr>
          <w:p w14:paraId="6A42D0EB"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Stalowa Wola</w:t>
            </w:r>
          </w:p>
        </w:tc>
        <w:tc>
          <w:tcPr>
            <w:tcW w:w="0" w:type="auto"/>
            <w:shd w:val="clear" w:color="auto" w:fill="DEEAF6" w:themeFill="accent1" w:themeFillTint="33"/>
            <w:vAlign w:val="center"/>
          </w:tcPr>
          <w:p w14:paraId="2055C986"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Mielec</w:t>
            </w:r>
          </w:p>
        </w:tc>
        <w:tc>
          <w:tcPr>
            <w:tcW w:w="0" w:type="auto"/>
            <w:shd w:val="clear" w:color="auto" w:fill="DEEAF6" w:themeFill="accent1" w:themeFillTint="33"/>
            <w:vAlign w:val="center"/>
          </w:tcPr>
          <w:p w14:paraId="1620E0B7"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Lubaczów</w:t>
            </w:r>
          </w:p>
        </w:tc>
        <w:tc>
          <w:tcPr>
            <w:tcW w:w="0" w:type="auto"/>
            <w:shd w:val="clear" w:color="auto" w:fill="DEEAF6" w:themeFill="accent1" w:themeFillTint="33"/>
            <w:vAlign w:val="center"/>
          </w:tcPr>
          <w:p w14:paraId="06598774"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Dębica</w:t>
            </w:r>
          </w:p>
        </w:tc>
        <w:tc>
          <w:tcPr>
            <w:tcW w:w="0" w:type="auto"/>
            <w:shd w:val="clear" w:color="auto" w:fill="DEEAF6" w:themeFill="accent1" w:themeFillTint="33"/>
            <w:vAlign w:val="center"/>
          </w:tcPr>
          <w:p w14:paraId="33AE1EBF"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Tarnobrzeg</w:t>
            </w:r>
          </w:p>
        </w:tc>
        <w:tc>
          <w:tcPr>
            <w:tcW w:w="0" w:type="auto"/>
            <w:shd w:val="clear" w:color="auto" w:fill="DEEAF6" w:themeFill="accent1" w:themeFillTint="33"/>
            <w:vAlign w:val="center"/>
          </w:tcPr>
          <w:p w14:paraId="39DE424E"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Krosno</w:t>
            </w:r>
          </w:p>
        </w:tc>
        <w:tc>
          <w:tcPr>
            <w:tcW w:w="0" w:type="auto"/>
            <w:shd w:val="clear" w:color="auto" w:fill="DEEAF6" w:themeFill="accent1" w:themeFillTint="33"/>
            <w:vAlign w:val="center"/>
          </w:tcPr>
          <w:p w14:paraId="1EA277AA"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Jarosław</w:t>
            </w:r>
          </w:p>
        </w:tc>
        <w:tc>
          <w:tcPr>
            <w:tcW w:w="0" w:type="auto"/>
            <w:shd w:val="clear" w:color="auto" w:fill="DEEAF6" w:themeFill="accent1" w:themeFillTint="33"/>
            <w:vAlign w:val="center"/>
          </w:tcPr>
          <w:p w14:paraId="59D5799E"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Przeworsk</w:t>
            </w:r>
          </w:p>
        </w:tc>
        <w:tc>
          <w:tcPr>
            <w:tcW w:w="0" w:type="auto"/>
            <w:shd w:val="clear" w:color="auto" w:fill="DEEAF6" w:themeFill="accent1" w:themeFillTint="33"/>
            <w:vAlign w:val="center"/>
          </w:tcPr>
          <w:p w14:paraId="6DA77976"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Jasło</w:t>
            </w:r>
          </w:p>
        </w:tc>
        <w:tc>
          <w:tcPr>
            <w:tcW w:w="0" w:type="auto"/>
            <w:shd w:val="clear" w:color="auto" w:fill="DEEAF6" w:themeFill="accent1" w:themeFillTint="33"/>
            <w:vAlign w:val="center"/>
          </w:tcPr>
          <w:p w14:paraId="4CEBA69E"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Sanok</w:t>
            </w:r>
          </w:p>
        </w:tc>
      </w:tr>
      <w:tr w:rsidR="006F4FD2" w:rsidRPr="009B78DA" w14:paraId="22F156A4" w14:textId="77777777" w:rsidTr="00F216EA">
        <w:trPr>
          <w:trHeight w:val="338"/>
        </w:trPr>
        <w:tc>
          <w:tcPr>
            <w:tcW w:w="0" w:type="auto"/>
            <w:vAlign w:val="center"/>
          </w:tcPr>
          <w:p w14:paraId="1BC4992A"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Liczba</w:t>
            </w:r>
          </w:p>
        </w:tc>
        <w:tc>
          <w:tcPr>
            <w:tcW w:w="0" w:type="auto"/>
            <w:vAlign w:val="center"/>
          </w:tcPr>
          <w:p w14:paraId="603490BC"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40</w:t>
            </w:r>
          </w:p>
        </w:tc>
        <w:tc>
          <w:tcPr>
            <w:tcW w:w="1689" w:type="dxa"/>
            <w:vAlign w:val="center"/>
          </w:tcPr>
          <w:p w14:paraId="5BA16A24"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12</w:t>
            </w:r>
          </w:p>
        </w:tc>
        <w:tc>
          <w:tcPr>
            <w:tcW w:w="0" w:type="auto"/>
            <w:vAlign w:val="center"/>
          </w:tcPr>
          <w:p w14:paraId="5A71CBDB"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11</w:t>
            </w:r>
          </w:p>
        </w:tc>
        <w:tc>
          <w:tcPr>
            <w:tcW w:w="0" w:type="auto"/>
            <w:vAlign w:val="center"/>
          </w:tcPr>
          <w:p w14:paraId="5AA67629"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6</w:t>
            </w:r>
          </w:p>
        </w:tc>
        <w:tc>
          <w:tcPr>
            <w:tcW w:w="0" w:type="auto"/>
            <w:vAlign w:val="center"/>
          </w:tcPr>
          <w:p w14:paraId="3F0FE86C"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b.d.</w:t>
            </w:r>
          </w:p>
        </w:tc>
        <w:tc>
          <w:tcPr>
            <w:tcW w:w="0" w:type="auto"/>
            <w:vAlign w:val="center"/>
          </w:tcPr>
          <w:p w14:paraId="605455CB"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10</w:t>
            </w:r>
          </w:p>
        </w:tc>
        <w:tc>
          <w:tcPr>
            <w:tcW w:w="0" w:type="auto"/>
            <w:vAlign w:val="center"/>
          </w:tcPr>
          <w:p w14:paraId="1E6C2F6E"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10</w:t>
            </w:r>
          </w:p>
        </w:tc>
        <w:tc>
          <w:tcPr>
            <w:tcW w:w="0" w:type="auto"/>
            <w:vAlign w:val="center"/>
          </w:tcPr>
          <w:p w14:paraId="37644AE8"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1D9A65BF"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10</w:t>
            </w:r>
          </w:p>
        </w:tc>
        <w:tc>
          <w:tcPr>
            <w:tcW w:w="0" w:type="auto"/>
            <w:vAlign w:val="center"/>
          </w:tcPr>
          <w:p w14:paraId="473E2475"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14</w:t>
            </w:r>
          </w:p>
        </w:tc>
        <w:tc>
          <w:tcPr>
            <w:tcW w:w="0" w:type="auto"/>
            <w:vAlign w:val="center"/>
          </w:tcPr>
          <w:p w14:paraId="36096EB4"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n.d.</w:t>
            </w:r>
          </w:p>
        </w:tc>
        <w:tc>
          <w:tcPr>
            <w:tcW w:w="0" w:type="auto"/>
            <w:vAlign w:val="center"/>
          </w:tcPr>
          <w:p w14:paraId="22E8ACD5"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0</w:t>
            </w:r>
          </w:p>
        </w:tc>
        <w:tc>
          <w:tcPr>
            <w:tcW w:w="0" w:type="auto"/>
            <w:vAlign w:val="center"/>
          </w:tcPr>
          <w:p w14:paraId="533B3F1E" w14:textId="77777777" w:rsidR="00BA6E26" w:rsidRPr="009B78DA" w:rsidRDefault="00BA6E26" w:rsidP="00F216EA">
            <w:pPr>
              <w:spacing w:line="276" w:lineRule="auto"/>
              <w:jc w:val="center"/>
              <w:rPr>
                <w:rFonts w:ascii="Arial" w:hAnsi="Arial" w:cs="Arial"/>
                <w:b/>
                <w:bCs/>
                <w:color w:val="000000" w:themeColor="text1"/>
                <w:sz w:val="22"/>
                <w:szCs w:val="22"/>
              </w:rPr>
            </w:pPr>
            <w:r w:rsidRPr="009B78DA">
              <w:rPr>
                <w:rFonts w:ascii="Arial" w:hAnsi="Arial" w:cs="Arial"/>
                <w:color w:val="000000" w:themeColor="text1"/>
                <w:sz w:val="22"/>
                <w:szCs w:val="22"/>
              </w:rPr>
              <w:t>8</w:t>
            </w:r>
          </w:p>
        </w:tc>
      </w:tr>
    </w:tbl>
    <w:p w14:paraId="1F9584E8" w14:textId="4E2B3DEA" w:rsidR="00C22540" w:rsidRPr="009B78DA" w:rsidRDefault="00C22540" w:rsidP="00F216EA">
      <w:pPr>
        <w:spacing w:before="120" w:after="0" w:line="276" w:lineRule="auto"/>
        <w:jc w:val="both"/>
        <w:rPr>
          <w:rFonts w:ascii="Arial" w:hAnsi="Arial" w:cs="Arial"/>
          <w:color w:val="000000" w:themeColor="text1"/>
          <w:sz w:val="22"/>
          <w:szCs w:val="22"/>
        </w:rPr>
      </w:pPr>
      <w:r w:rsidRPr="00F216EA">
        <w:rPr>
          <w:rFonts w:ascii="Arial" w:hAnsi="Arial" w:cs="Arial"/>
          <w:b/>
          <w:color w:val="000000" w:themeColor="text1"/>
          <w:sz w:val="22"/>
          <w:szCs w:val="22"/>
        </w:rPr>
        <w:t>**</w:t>
      </w:r>
      <w:r w:rsidR="00F216E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Komunikacja realizowana przez Związek Gmin </w:t>
      </w:r>
      <w:r w:rsidRPr="009B78DA">
        <w:rPr>
          <w:rFonts w:ascii="Arial" w:hAnsi="Arial" w:cs="Arial"/>
          <w:i/>
          <w:iCs/>
          <w:color w:val="000000" w:themeColor="text1"/>
          <w:sz w:val="22"/>
          <w:szCs w:val="22"/>
        </w:rPr>
        <w:t>Podkarpacka Komunikacja Samochodowa</w:t>
      </w:r>
      <w:r w:rsidRPr="009B78DA">
        <w:rPr>
          <w:rFonts w:ascii="Arial" w:hAnsi="Arial" w:cs="Arial"/>
          <w:color w:val="000000" w:themeColor="text1"/>
          <w:sz w:val="22"/>
          <w:szCs w:val="22"/>
        </w:rPr>
        <w:t xml:space="preserve"> - przewozy gminne (Miasto Rzeszów nie jest w związku).</w:t>
      </w:r>
    </w:p>
    <w:p w14:paraId="746602C8" w14:textId="5DF3A503" w:rsidR="00F216EA" w:rsidRDefault="00C22540" w:rsidP="00F216EA">
      <w:pPr>
        <w:spacing w:before="120" w:after="0" w:line="276" w:lineRule="auto"/>
        <w:jc w:val="both"/>
        <w:rPr>
          <w:rFonts w:ascii="Arial" w:hAnsi="Arial" w:cs="Arial"/>
          <w:color w:val="000000" w:themeColor="text1"/>
          <w:sz w:val="22"/>
          <w:szCs w:val="22"/>
        </w:rPr>
      </w:pPr>
      <w:r w:rsidRPr="009B78DA">
        <w:rPr>
          <w:rFonts w:ascii="Arial" w:hAnsi="Arial" w:cs="Arial"/>
          <w:color w:val="000000" w:themeColor="text1"/>
          <w:sz w:val="22"/>
          <w:szCs w:val="22"/>
        </w:rPr>
        <w:t xml:space="preserve">Źródło: Opracowanie własne na podstawie danych ankietowych pozyskanych w ramach kwerendy przeprowadzanej na rzecz przygotowania </w:t>
      </w:r>
      <w:r w:rsidR="00EE6369" w:rsidRPr="009B78DA">
        <w:rPr>
          <w:rFonts w:ascii="Arial" w:hAnsi="Arial" w:cs="Arial"/>
          <w:color w:val="000000" w:themeColor="text1"/>
          <w:sz w:val="22"/>
          <w:szCs w:val="22"/>
        </w:rPr>
        <w:t xml:space="preserve">Programu </w:t>
      </w:r>
      <w:r w:rsidR="00EE6369" w:rsidRPr="009B78DA">
        <w:rPr>
          <w:rFonts w:ascii="Arial" w:hAnsi="Arial" w:cs="Arial"/>
          <w:i/>
          <w:iCs/>
          <w:color w:val="000000" w:themeColor="text1"/>
          <w:sz w:val="22"/>
          <w:szCs w:val="22"/>
        </w:rPr>
        <w:t>Fundusze Europejskie dla Polski Wschodniej</w:t>
      </w:r>
      <w:r w:rsidR="00EE6369" w:rsidRPr="009B78DA">
        <w:rPr>
          <w:rFonts w:ascii="Arial" w:hAnsi="Arial" w:cs="Arial"/>
          <w:i/>
          <w:color w:val="000000" w:themeColor="text1"/>
          <w:sz w:val="22"/>
          <w:szCs w:val="22"/>
        </w:rPr>
        <w:t xml:space="preserve"> na lata 2021 – 2027</w:t>
      </w:r>
      <w:r w:rsidR="00EE6369"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przez Ministerstwo Funduszy i Polityki Regionalnej.</w:t>
      </w:r>
    </w:p>
    <w:p w14:paraId="670E4678" w14:textId="77777777" w:rsidR="00F216EA" w:rsidRDefault="00F216EA">
      <w:pPr>
        <w:rPr>
          <w:rFonts w:ascii="Arial" w:hAnsi="Arial" w:cs="Arial"/>
          <w:color w:val="000000" w:themeColor="text1"/>
          <w:sz w:val="22"/>
          <w:szCs w:val="22"/>
        </w:rPr>
      </w:pPr>
      <w:r>
        <w:rPr>
          <w:rFonts w:ascii="Arial" w:hAnsi="Arial" w:cs="Arial"/>
          <w:color w:val="000000" w:themeColor="text1"/>
          <w:sz w:val="22"/>
          <w:szCs w:val="22"/>
        </w:rPr>
        <w:br w:type="page"/>
      </w:r>
    </w:p>
    <w:p w14:paraId="7B27E438" w14:textId="56A3F0C3" w:rsidR="00D62524" w:rsidRPr="009B78DA" w:rsidRDefault="00441DCE" w:rsidP="00A339F0">
      <w:pPr>
        <w:pStyle w:val="Nagwek1"/>
        <w:ind w:left="284"/>
        <w:rPr>
          <w:rFonts w:cs="Arial"/>
          <w:b/>
          <w:bCs/>
          <w:color w:val="000000" w:themeColor="text1"/>
          <w:sz w:val="26"/>
        </w:rPr>
      </w:pPr>
      <w:bookmarkStart w:id="451" w:name="_Toc100335094"/>
      <w:bookmarkStart w:id="452" w:name="_Toc146785819"/>
      <w:r w:rsidRPr="009B78DA">
        <w:rPr>
          <w:rFonts w:cs="Arial"/>
          <w:b/>
          <w:bCs/>
          <w:color w:val="000000" w:themeColor="text1"/>
          <w:sz w:val="26"/>
        </w:rPr>
        <w:t>Załącznik</w:t>
      </w:r>
      <w:r w:rsidR="00284B82" w:rsidRPr="009B78DA">
        <w:rPr>
          <w:rFonts w:cs="Arial"/>
          <w:b/>
          <w:bCs/>
          <w:color w:val="000000" w:themeColor="text1"/>
          <w:sz w:val="26"/>
        </w:rPr>
        <w:t>i</w:t>
      </w:r>
      <w:r w:rsidRPr="009B78DA">
        <w:rPr>
          <w:rFonts w:cs="Arial"/>
          <w:b/>
          <w:bCs/>
          <w:color w:val="000000" w:themeColor="text1"/>
          <w:sz w:val="26"/>
        </w:rPr>
        <w:t xml:space="preserve"> do Programu Strategicznego Rozwoju Transportu Województwa Podkarpackiego do roku 2030</w:t>
      </w:r>
      <w:bookmarkEnd w:id="451"/>
      <w:bookmarkEnd w:id="452"/>
    </w:p>
    <w:p w14:paraId="0FA4E64F" w14:textId="45BADC8D" w:rsidR="00BA00A8" w:rsidRPr="009B78DA" w:rsidRDefault="00441DCE" w:rsidP="00A339F0">
      <w:pPr>
        <w:pStyle w:val="Nagwek2"/>
        <w:numPr>
          <w:ilvl w:val="0"/>
          <w:numId w:val="269"/>
        </w:numPr>
        <w:ind w:left="357" w:hanging="357"/>
        <w:rPr>
          <w:rFonts w:cs="Arial"/>
          <w:b w:val="0"/>
          <w:sz w:val="24"/>
          <w:szCs w:val="24"/>
        </w:rPr>
      </w:pPr>
      <w:bookmarkStart w:id="453" w:name="_Toc100335095"/>
      <w:bookmarkStart w:id="454" w:name="_Toc146785820"/>
      <w:bookmarkStart w:id="455" w:name="_Hlk101881258"/>
      <w:r w:rsidRPr="009B78DA">
        <w:rPr>
          <w:rFonts w:cs="Arial"/>
          <w:b w:val="0"/>
          <w:sz w:val="24"/>
          <w:szCs w:val="24"/>
        </w:rPr>
        <w:t>Spriorytetyzowane listy kluczowych projektów</w:t>
      </w:r>
      <w:bookmarkEnd w:id="453"/>
      <w:bookmarkEnd w:id="454"/>
    </w:p>
    <w:bookmarkEnd w:id="455"/>
    <w:p w14:paraId="6F9271DE" w14:textId="28CA733C" w:rsidR="00732002" w:rsidRPr="009B78DA" w:rsidRDefault="00732002" w:rsidP="00A339F0">
      <w:pPr>
        <w:pStyle w:val="Akapitzlist"/>
        <w:spacing w:before="120" w:after="120" w:line="288" w:lineRule="auto"/>
        <w:ind w:left="0" w:firstLine="556"/>
        <w:contextualSpacing w:val="0"/>
        <w:rPr>
          <w:rFonts w:ascii="Arial" w:hAnsi="Arial" w:cs="Arial"/>
          <w:color w:val="000000" w:themeColor="text1"/>
          <w:sz w:val="22"/>
          <w:szCs w:val="22"/>
        </w:rPr>
      </w:pPr>
      <w:r w:rsidRPr="009B78DA">
        <w:rPr>
          <w:rFonts w:ascii="Arial" w:hAnsi="Arial" w:cs="Arial"/>
          <w:color w:val="000000" w:themeColor="text1"/>
          <w:sz w:val="22"/>
          <w:szCs w:val="22"/>
        </w:rPr>
        <w:t xml:space="preserve">Na podstawie przygotowanych w rozdziale IV kryteriów, dokonano identyfikacji kluczowych/strategicznych projektów (inwestycji) w ramach PSRT WP, które będą mogły otrzymać dofinansowanie m. in. w ramach </w:t>
      </w:r>
      <w:bookmarkStart w:id="456" w:name="_Hlk92545838"/>
      <w:r w:rsidR="00B26A64" w:rsidRPr="009B78DA">
        <w:rPr>
          <w:rFonts w:ascii="Arial" w:hAnsi="Arial" w:cs="Arial"/>
          <w:color w:val="000000" w:themeColor="text1"/>
          <w:sz w:val="22"/>
          <w:szCs w:val="22"/>
        </w:rPr>
        <w:t xml:space="preserve">Programu </w:t>
      </w:r>
      <w:r w:rsidRPr="009B78DA">
        <w:rPr>
          <w:rFonts w:ascii="Arial" w:hAnsi="Arial" w:cs="Arial"/>
          <w:color w:val="000000" w:themeColor="text1"/>
          <w:sz w:val="22"/>
          <w:szCs w:val="22"/>
        </w:rPr>
        <w:t>Fundusz</w:t>
      </w:r>
      <w:r w:rsidR="00B26A64"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Europejski</w:t>
      </w:r>
      <w:r w:rsidR="00B26A64" w:rsidRPr="009B78DA">
        <w:rPr>
          <w:rFonts w:ascii="Arial" w:hAnsi="Arial" w:cs="Arial"/>
          <w:color w:val="000000" w:themeColor="text1"/>
          <w:sz w:val="22"/>
          <w:szCs w:val="22"/>
        </w:rPr>
        <w:t>e</w:t>
      </w:r>
      <w:r w:rsidRPr="009B78DA">
        <w:rPr>
          <w:rFonts w:ascii="Arial" w:hAnsi="Arial" w:cs="Arial"/>
          <w:color w:val="000000" w:themeColor="text1"/>
          <w:sz w:val="22"/>
          <w:szCs w:val="22"/>
        </w:rPr>
        <w:t xml:space="preserve"> dla Podkarpacia </w:t>
      </w:r>
      <w:bookmarkEnd w:id="456"/>
      <w:r w:rsidRPr="009B78DA">
        <w:rPr>
          <w:rFonts w:ascii="Arial" w:hAnsi="Arial" w:cs="Arial"/>
          <w:color w:val="000000" w:themeColor="text1"/>
          <w:sz w:val="22"/>
          <w:szCs w:val="22"/>
        </w:rPr>
        <w:t xml:space="preserve">2021-2027 i Programu </w:t>
      </w:r>
      <w:r w:rsidR="009351D1" w:rsidRPr="009B78DA">
        <w:rPr>
          <w:rFonts w:ascii="Arial" w:hAnsi="Arial" w:cs="Arial"/>
          <w:color w:val="000000" w:themeColor="text1"/>
          <w:sz w:val="22"/>
          <w:szCs w:val="22"/>
        </w:rPr>
        <w:t>Fundusze Europejskie dla Polski Wschodniej 2021-2027</w:t>
      </w:r>
      <w:r w:rsidRPr="009B78DA">
        <w:rPr>
          <w:rFonts w:ascii="Arial" w:hAnsi="Arial" w:cs="Arial"/>
          <w:color w:val="000000" w:themeColor="text1"/>
          <w:sz w:val="22"/>
          <w:szCs w:val="22"/>
        </w:rPr>
        <w:t>. Część inwestycji realizowana będzi</w:t>
      </w:r>
      <w:r w:rsidR="002E1D81">
        <w:rPr>
          <w:rFonts w:ascii="Arial" w:hAnsi="Arial" w:cs="Arial"/>
          <w:color w:val="000000" w:themeColor="text1"/>
          <w:sz w:val="22"/>
          <w:szCs w:val="22"/>
        </w:rPr>
        <w:t>e z innych źródeł finansowania.</w:t>
      </w:r>
    </w:p>
    <w:p w14:paraId="1C615219" w14:textId="370E3167" w:rsidR="00F86A0D" w:rsidRPr="009B78DA" w:rsidRDefault="00EB40B3" w:rsidP="00A339F0">
      <w:pPr>
        <w:pStyle w:val="Akapitzlist"/>
        <w:ind w:left="0"/>
        <w:rPr>
          <w:rFonts w:ascii="Arial" w:hAnsi="Arial" w:cs="Arial"/>
          <w:b/>
          <w:bCs/>
          <w:color w:val="000000" w:themeColor="text1"/>
          <w:sz w:val="22"/>
          <w:szCs w:val="22"/>
        </w:rPr>
      </w:pPr>
      <w:bookmarkStart w:id="457" w:name="_Hlk91845332"/>
      <w:r w:rsidRPr="009B78DA">
        <w:rPr>
          <w:rFonts w:ascii="Arial" w:hAnsi="Arial" w:cs="Arial"/>
          <w:b/>
          <w:bCs/>
          <w:color w:val="000000" w:themeColor="text1"/>
          <w:sz w:val="22"/>
          <w:szCs w:val="22"/>
        </w:rPr>
        <w:t>Inwestycje dotyczące dróg wojewódzkich i podległej infrastruktury drogowej w ramach PSRT WP do roku 2030</w:t>
      </w:r>
    </w:p>
    <w:tbl>
      <w:tblPr>
        <w:tblStyle w:val="Tabela-Siatka1"/>
        <w:tblW w:w="5000" w:type="pct"/>
        <w:tblLayout w:type="fixed"/>
        <w:tblLook w:val="04A0" w:firstRow="1" w:lastRow="0" w:firstColumn="1" w:lastColumn="0" w:noHBand="0" w:noVBand="1"/>
        <w:tblCaption w:val="Inwestycje dotyczące dróg wojewódzkich i podległej infrastruktury drogowej w ramach PSRT WP do roku 2030"/>
        <w:tblDescription w:val="Tabela zawiera L.p., Nazwa zadania (nr drogi; typ inwestycji: budowa/przebudowa/zmiana przebiegu; nazwa odcinka), Łączna długość inwestycji [km], Koszt całkowity [roboty budowlane + nadzór w [mln zł], 1. Połączenie do sieci TEN-T, 2. Poprawa połączeń obszarów słabo skomunikowanych, 3. Przepustowość drogi a środowisko, 4. Kontynuacja projektów, 5. Spójność transportowa, 6. Publiczny Transport Drogowy, 7. Bezpieczeństwo ruchu drogowego, 8. Dostosowanie drogi do transportu zbiorowego, Suma punktów, Propozycja źródła finansowania &#10;         &#10;&#10;  &#10;"/>
      </w:tblPr>
      <w:tblGrid>
        <w:gridCol w:w="422"/>
        <w:gridCol w:w="575"/>
        <w:gridCol w:w="453"/>
        <w:gridCol w:w="4485"/>
        <w:gridCol w:w="891"/>
        <w:gridCol w:w="1350"/>
        <w:gridCol w:w="621"/>
        <w:gridCol w:w="706"/>
        <w:gridCol w:w="665"/>
        <w:gridCol w:w="621"/>
        <w:gridCol w:w="578"/>
        <w:gridCol w:w="559"/>
        <w:gridCol w:w="621"/>
        <w:gridCol w:w="621"/>
        <w:gridCol w:w="643"/>
        <w:gridCol w:w="1883"/>
      </w:tblGrid>
      <w:tr w:rsidR="00070C2E" w:rsidRPr="00070C2E" w14:paraId="5DA9B10F" w14:textId="77777777" w:rsidTr="00800B85">
        <w:trPr>
          <w:trHeight w:val="1530"/>
          <w:tblHeader/>
        </w:trPr>
        <w:tc>
          <w:tcPr>
            <w:tcW w:w="317" w:type="pct"/>
            <w:gridSpan w:val="2"/>
            <w:vMerge w:val="restart"/>
            <w:shd w:val="clear" w:color="auto" w:fill="D5DCE4" w:themeFill="text2" w:themeFillTint="33"/>
            <w:textDirection w:val="btLr"/>
            <w:vAlign w:val="center"/>
            <w:hideMark/>
          </w:tcPr>
          <w:p w14:paraId="73AA2E81" w14:textId="31AFF934" w:rsidR="00FE54FA" w:rsidRPr="00070C2E" w:rsidRDefault="00FE54FA" w:rsidP="00800B85">
            <w:pPr>
              <w:jc w:val="center"/>
              <w:rPr>
                <w:rFonts w:ascii="Arial" w:hAnsi="Arial" w:cs="Arial"/>
                <w:b/>
                <w:bCs/>
                <w:color w:val="000000" w:themeColor="text1"/>
                <w:sz w:val="20"/>
                <w:szCs w:val="20"/>
              </w:rPr>
            </w:pPr>
            <w:bookmarkStart w:id="458" w:name="RANGE!A1:N56"/>
            <w:bookmarkEnd w:id="457"/>
            <w:bookmarkEnd w:id="458"/>
          </w:p>
        </w:tc>
        <w:tc>
          <w:tcPr>
            <w:tcW w:w="144" w:type="pct"/>
            <w:vMerge w:val="restart"/>
            <w:shd w:val="clear" w:color="auto" w:fill="D5DCE4" w:themeFill="text2" w:themeFillTint="33"/>
            <w:textDirection w:val="btLr"/>
            <w:vAlign w:val="center"/>
            <w:hideMark/>
          </w:tcPr>
          <w:p w14:paraId="62C6FF60"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L.p.</w:t>
            </w:r>
          </w:p>
        </w:tc>
        <w:tc>
          <w:tcPr>
            <w:tcW w:w="1429" w:type="pct"/>
            <w:vMerge w:val="restart"/>
            <w:shd w:val="clear" w:color="auto" w:fill="D5DCE4" w:themeFill="text2" w:themeFillTint="33"/>
            <w:textDirection w:val="btLr"/>
            <w:vAlign w:val="center"/>
            <w:hideMark/>
          </w:tcPr>
          <w:p w14:paraId="073FF11A"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 xml:space="preserve">Nazwa zadania </w:t>
            </w:r>
            <w:r w:rsidRPr="00070C2E">
              <w:rPr>
                <w:rFonts w:ascii="Arial" w:hAnsi="Arial" w:cs="Arial"/>
                <w:b/>
                <w:bCs/>
                <w:color w:val="000000" w:themeColor="text1"/>
                <w:sz w:val="20"/>
                <w:szCs w:val="20"/>
              </w:rPr>
              <w:br/>
              <w:t>(nr drogi; typ inwestycji: budowa/przebudowa/zmiana przebiegu; nazwa odcinka)</w:t>
            </w:r>
          </w:p>
        </w:tc>
        <w:tc>
          <w:tcPr>
            <w:tcW w:w="284" w:type="pct"/>
            <w:vMerge w:val="restart"/>
            <w:shd w:val="clear" w:color="auto" w:fill="D5DCE4" w:themeFill="text2" w:themeFillTint="33"/>
            <w:textDirection w:val="btLr"/>
            <w:vAlign w:val="center"/>
            <w:hideMark/>
          </w:tcPr>
          <w:p w14:paraId="3B112326"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Łączna długość inwestycji [km]</w:t>
            </w:r>
          </w:p>
        </w:tc>
        <w:tc>
          <w:tcPr>
            <w:tcW w:w="430" w:type="pct"/>
            <w:shd w:val="clear" w:color="auto" w:fill="D5DCE4" w:themeFill="text2" w:themeFillTint="33"/>
            <w:textDirection w:val="btLr"/>
            <w:vAlign w:val="center"/>
            <w:hideMark/>
          </w:tcPr>
          <w:p w14:paraId="1B7E4532" w14:textId="46F80B8F"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Koszt całkowity [roboty budowlane + nadzór]</w:t>
            </w:r>
          </w:p>
        </w:tc>
        <w:tc>
          <w:tcPr>
            <w:tcW w:w="198" w:type="pct"/>
            <w:vMerge w:val="restart"/>
            <w:shd w:val="clear" w:color="auto" w:fill="FFF2CC" w:themeFill="accent4" w:themeFillTint="33"/>
            <w:textDirection w:val="btLr"/>
            <w:vAlign w:val="center"/>
            <w:hideMark/>
          </w:tcPr>
          <w:p w14:paraId="56314137"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1. Połączenie do sieci TEN-T</w:t>
            </w:r>
          </w:p>
        </w:tc>
        <w:tc>
          <w:tcPr>
            <w:tcW w:w="225" w:type="pct"/>
            <w:vMerge w:val="restart"/>
            <w:shd w:val="clear" w:color="auto" w:fill="FFF2CC" w:themeFill="accent4" w:themeFillTint="33"/>
            <w:textDirection w:val="btLr"/>
            <w:vAlign w:val="center"/>
            <w:hideMark/>
          </w:tcPr>
          <w:p w14:paraId="3A9FC1B5" w14:textId="34E04913"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2. Poprawa połączeń obszarów słabo skomunikowanych</w:t>
            </w:r>
          </w:p>
        </w:tc>
        <w:tc>
          <w:tcPr>
            <w:tcW w:w="212" w:type="pct"/>
            <w:vMerge w:val="restart"/>
            <w:shd w:val="clear" w:color="auto" w:fill="FFF2CC" w:themeFill="accent4" w:themeFillTint="33"/>
            <w:textDirection w:val="btLr"/>
            <w:vAlign w:val="center"/>
            <w:hideMark/>
          </w:tcPr>
          <w:p w14:paraId="1DD717B8" w14:textId="1B603113"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3. Przepustowość drogi a środowisko</w:t>
            </w:r>
          </w:p>
        </w:tc>
        <w:tc>
          <w:tcPr>
            <w:tcW w:w="198" w:type="pct"/>
            <w:vMerge w:val="restart"/>
            <w:shd w:val="clear" w:color="auto" w:fill="FFF2CC" w:themeFill="accent4" w:themeFillTint="33"/>
            <w:textDirection w:val="btLr"/>
            <w:vAlign w:val="center"/>
            <w:hideMark/>
          </w:tcPr>
          <w:p w14:paraId="5FB5B4F3" w14:textId="54477134"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4. Kontynuacja projektów</w:t>
            </w:r>
          </w:p>
        </w:tc>
        <w:tc>
          <w:tcPr>
            <w:tcW w:w="184" w:type="pct"/>
            <w:vMerge w:val="restart"/>
            <w:shd w:val="clear" w:color="auto" w:fill="FFF2CC" w:themeFill="accent4" w:themeFillTint="33"/>
            <w:textDirection w:val="btLr"/>
            <w:vAlign w:val="center"/>
            <w:hideMark/>
          </w:tcPr>
          <w:p w14:paraId="58EBB694" w14:textId="53CEC6C9"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5. Spójność transportowa</w:t>
            </w:r>
          </w:p>
        </w:tc>
        <w:tc>
          <w:tcPr>
            <w:tcW w:w="178" w:type="pct"/>
            <w:vMerge w:val="restart"/>
            <w:shd w:val="clear" w:color="auto" w:fill="FFF2CC" w:themeFill="accent4" w:themeFillTint="33"/>
            <w:textDirection w:val="btLr"/>
            <w:vAlign w:val="center"/>
            <w:hideMark/>
          </w:tcPr>
          <w:p w14:paraId="65C81F9C"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6. Publiczny Transport Drogowy</w:t>
            </w:r>
          </w:p>
        </w:tc>
        <w:tc>
          <w:tcPr>
            <w:tcW w:w="198" w:type="pct"/>
            <w:vMerge w:val="restart"/>
            <w:shd w:val="clear" w:color="auto" w:fill="FFF2CC" w:themeFill="accent4" w:themeFillTint="33"/>
            <w:textDirection w:val="btLr"/>
            <w:vAlign w:val="center"/>
            <w:hideMark/>
          </w:tcPr>
          <w:p w14:paraId="49718754" w14:textId="3EACE044"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7. Bezpieczeństwo ruchu drogowego</w:t>
            </w:r>
          </w:p>
        </w:tc>
        <w:tc>
          <w:tcPr>
            <w:tcW w:w="198" w:type="pct"/>
            <w:vMerge w:val="restart"/>
            <w:shd w:val="clear" w:color="auto" w:fill="FFF2CC" w:themeFill="accent4" w:themeFillTint="33"/>
            <w:textDirection w:val="btLr"/>
            <w:vAlign w:val="center"/>
            <w:hideMark/>
          </w:tcPr>
          <w:p w14:paraId="23616B52" w14:textId="092462FA"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8. Dostosowanie drogi do transportu zbiorowego</w:t>
            </w:r>
          </w:p>
        </w:tc>
        <w:tc>
          <w:tcPr>
            <w:tcW w:w="205" w:type="pct"/>
            <w:vMerge w:val="restart"/>
            <w:shd w:val="clear" w:color="auto" w:fill="FFF2CC" w:themeFill="accent4" w:themeFillTint="33"/>
            <w:textDirection w:val="btLr"/>
            <w:vAlign w:val="center"/>
            <w:hideMark/>
          </w:tcPr>
          <w:p w14:paraId="6B5EFF67"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Suma punktów</w:t>
            </w:r>
          </w:p>
        </w:tc>
        <w:tc>
          <w:tcPr>
            <w:tcW w:w="601" w:type="pct"/>
            <w:vMerge w:val="restart"/>
            <w:shd w:val="clear" w:color="auto" w:fill="FFF2CC" w:themeFill="accent4" w:themeFillTint="33"/>
            <w:textDirection w:val="btLr"/>
            <w:vAlign w:val="center"/>
            <w:hideMark/>
          </w:tcPr>
          <w:p w14:paraId="367911B9" w14:textId="53F5D53B"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Propozycja źródła finansowania</w:t>
            </w:r>
          </w:p>
        </w:tc>
      </w:tr>
      <w:tr w:rsidR="00FE54FA" w:rsidRPr="00070C2E" w14:paraId="59D069D4" w14:textId="77777777" w:rsidTr="00800B85">
        <w:trPr>
          <w:trHeight w:val="1425"/>
          <w:tblHeader/>
        </w:trPr>
        <w:tc>
          <w:tcPr>
            <w:tcW w:w="317" w:type="pct"/>
            <w:gridSpan w:val="2"/>
            <w:vMerge/>
            <w:shd w:val="clear" w:color="auto" w:fill="D5DCE4" w:themeFill="text2" w:themeFillTint="33"/>
            <w:vAlign w:val="center"/>
            <w:hideMark/>
          </w:tcPr>
          <w:p w14:paraId="51FA77E5" w14:textId="77777777" w:rsidR="00FE54FA" w:rsidRPr="00070C2E" w:rsidRDefault="00FE54FA" w:rsidP="00800B85">
            <w:pPr>
              <w:jc w:val="center"/>
              <w:rPr>
                <w:rFonts w:ascii="Arial" w:hAnsi="Arial" w:cs="Arial"/>
                <w:b/>
                <w:bCs/>
                <w:color w:val="000000" w:themeColor="text1"/>
                <w:sz w:val="20"/>
                <w:szCs w:val="20"/>
              </w:rPr>
            </w:pPr>
          </w:p>
        </w:tc>
        <w:tc>
          <w:tcPr>
            <w:tcW w:w="144" w:type="pct"/>
            <w:vMerge/>
            <w:shd w:val="clear" w:color="auto" w:fill="D5DCE4" w:themeFill="text2" w:themeFillTint="33"/>
            <w:vAlign w:val="center"/>
            <w:hideMark/>
          </w:tcPr>
          <w:p w14:paraId="10D6782B" w14:textId="77777777" w:rsidR="00FE54FA" w:rsidRPr="00070C2E" w:rsidRDefault="00FE54FA" w:rsidP="00800B85">
            <w:pPr>
              <w:jc w:val="center"/>
              <w:rPr>
                <w:rFonts w:ascii="Arial" w:hAnsi="Arial" w:cs="Arial"/>
                <w:b/>
                <w:bCs/>
                <w:color w:val="000000" w:themeColor="text1"/>
                <w:sz w:val="20"/>
                <w:szCs w:val="20"/>
              </w:rPr>
            </w:pPr>
          </w:p>
        </w:tc>
        <w:tc>
          <w:tcPr>
            <w:tcW w:w="1429" w:type="pct"/>
            <w:vMerge/>
            <w:shd w:val="clear" w:color="auto" w:fill="D5DCE4" w:themeFill="text2" w:themeFillTint="33"/>
            <w:vAlign w:val="center"/>
            <w:hideMark/>
          </w:tcPr>
          <w:p w14:paraId="0ECCB349" w14:textId="77777777" w:rsidR="00FE54FA" w:rsidRPr="00070C2E" w:rsidRDefault="00FE54FA" w:rsidP="00800B85">
            <w:pPr>
              <w:jc w:val="center"/>
              <w:rPr>
                <w:rFonts w:ascii="Arial" w:hAnsi="Arial" w:cs="Arial"/>
                <w:b/>
                <w:bCs/>
                <w:color w:val="000000" w:themeColor="text1"/>
                <w:sz w:val="20"/>
                <w:szCs w:val="20"/>
              </w:rPr>
            </w:pPr>
          </w:p>
        </w:tc>
        <w:tc>
          <w:tcPr>
            <w:tcW w:w="284" w:type="pct"/>
            <w:vMerge/>
            <w:shd w:val="clear" w:color="auto" w:fill="D5DCE4" w:themeFill="text2" w:themeFillTint="33"/>
            <w:vAlign w:val="center"/>
            <w:hideMark/>
          </w:tcPr>
          <w:p w14:paraId="5E06AAB2" w14:textId="77777777" w:rsidR="00FE54FA" w:rsidRPr="00070C2E" w:rsidRDefault="00FE54FA" w:rsidP="00800B85">
            <w:pPr>
              <w:jc w:val="center"/>
              <w:rPr>
                <w:rFonts w:ascii="Arial" w:hAnsi="Arial" w:cs="Arial"/>
                <w:b/>
                <w:bCs/>
                <w:color w:val="000000" w:themeColor="text1"/>
                <w:sz w:val="20"/>
                <w:szCs w:val="20"/>
              </w:rPr>
            </w:pPr>
          </w:p>
        </w:tc>
        <w:tc>
          <w:tcPr>
            <w:tcW w:w="430" w:type="pct"/>
            <w:shd w:val="clear" w:color="auto" w:fill="D5DCE4" w:themeFill="text2" w:themeFillTint="33"/>
            <w:textDirection w:val="btLr"/>
            <w:vAlign w:val="center"/>
            <w:hideMark/>
          </w:tcPr>
          <w:p w14:paraId="40CF4AD3"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[mln zł]</w:t>
            </w:r>
          </w:p>
        </w:tc>
        <w:tc>
          <w:tcPr>
            <w:tcW w:w="198" w:type="pct"/>
            <w:vMerge/>
            <w:shd w:val="clear" w:color="auto" w:fill="FFF2CC" w:themeFill="accent4" w:themeFillTint="33"/>
            <w:vAlign w:val="center"/>
            <w:hideMark/>
          </w:tcPr>
          <w:p w14:paraId="6B766A86" w14:textId="77777777" w:rsidR="00FE54FA" w:rsidRPr="00070C2E" w:rsidRDefault="00FE54FA" w:rsidP="00800B85">
            <w:pPr>
              <w:jc w:val="center"/>
              <w:rPr>
                <w:rFonts w:ascii="Arial" w:hAnsi="Arial" w:cs="Arial"/>
                <w:b/>
                <w:bCs/>
                <w:color w:val="000000" w:themeColor="text1"/>
                <w:sz w:val="20"/>
                <w:szCs w:val="20"/>
              </w:rPr>
            </w:pPr>
          </w:p>
        </w:tc>
        <w:tc>
          <w:tcPr>
            <w:tcW w:w="225" w:type="pct"/>
            <w:vMerge/>
            <w:shd w:val="clear" w:color="auto" w:fill="FFF2CC" w:themeFill="accent4" w:themeFillTint="33"/>
            <w:vAlign w:val="center"/>
            <w:hideMark/>
          </w:tcPr>
          <w:p w14:paraId="38E189C5" w14:textId="77777777" w:rsidR="00FE54FA" w:rsidRPr="00070C2E" w:rsidRDefault="00FE54FA" w:rsidP="00800B85">
            <w:pPr>
              <w:jc w:val="center"/>
              <w:rPr>
                <w:rFonts w:ascii="Arial" w:hAnsi="Arial" w:cs="Arial"/>
                <w:b/>
                <w:bCs/>
                <w:color w:val="000000" w:themeColor="text1"/>
                <w:sz w:val="20"/>
                <w:szCs w:val="20"/>
              </w:rPr>
            </w:pPr>
          </w:p>
        </w:tc>
        <w:tc>
          <w:tcPr>
            <w:tcW w:w="212" w:type="pct"/>
            <w:vMerge/>
            <w:shd w:val="clear" w:color="auto" w:fill="FFF2CC" w:themeFill="accent4" w:themeFillTint="33"/>
            <w:vAlign w:val="center"/>
            <w:hideMark/>
          </w:tcPr>
          <w:p w14:paraId="3F6F2468" w14:textId="77777777" w:rsidR="00FE54FA" w:rsidRPr="00070C2E" w:rsidRDefault="00FE54FA" w:rsidP="00800B85">
            <w:pPr>
              <w:jc w:val="center"/>
              <w:rPr>
                <w:rFonts w:ascii="Arial" w:hAnsi="Arial" w:cs="Arial"/>
                <w:b/>
                <w:bCs/>
                <w:color w:val="000000" w:themeColor="text1"/>
                <w:sz w:val="20"/>
                <w:szCs w:val="20"/>
              </w:rPr>
            </w:pPr>
          </w:p>
        </w:tc>
        <w:tc>
          <w:tcPr>
            <w:tcW w:w="198" w:type="pct"/>
            <w:vMerge/>
            <w:shd w:val="clear" w:color="auto" w:fill="FFF2CC" w:themeFill="accent4" w:themeFillTint="33"/>
            <w:vAlign w:val="center"/>
            <w:hideMark/>
          </w:tcPr>
          <w:p w14:paraId="25D47B74" w14:textId="77777777" w:rsidR="00FE54FA" w:rsidRPr="00070C2E" w:rsidRDefault="00FE54FA" w:rsidP="00800B85">
            <w:pPr>
              <w:jc w:val="center"/>
              <w:rPr>
                <w:rFonts w:ascii="Arial" w:hAnsi="Arial" w:cs="Arial"/>
                <w:b/>
                <w:bCs/>
                <w:color w:val="000000" w:themeColor="text1"/>
                <w:sz w:val="20"/>
                <w:szCs w:val="20"/>
              </w:rPr>
            </w:pPr>
          </w:p>
        </w:tc>
        <w:tc>
          <w:tcPr>
            <w:tcW w:w="184" w:type="pct"/>
            <w:vMerge/>
            <w:shd w:val="clear" w:color="auto" w:fill="FFF2CC" w:themeFill="accent4" w:themeFillTint="33"/>
            <w:vAlign w:val="center"/>
            <w:hideMark/>
          </w:tcPr>
          <w:p w14:paraId="6390EA87" w14:textId="77777777" w:rsidR="00FE54FA" w:rsidRPr="00070C2E" w:rsidRDefault="00FE54FA" w:rsidP="00800B85">
            <w:pPr>
              <w:jc w:val="center"/>
              <w:rPr>
                <w:rFonts w:ascii="Arial" w:hAnsi="Arial" w:cs="Arial"/>
                <w:b/>
                <w:bCs/>
                <w:color w:val="000000" w:themeColor="text1"/>
                <w:sz w:val="20"/>
                <w:szCs w:val="20"/>
              </w:rPr>
            </w:pPr>
          </w:p>
        </w:tc>
        <w:tc>
          <w:tcPr>
            <w:tcW w:w="178" w:type="pct"/>
            <w:vMerge/>
            <w:shd w:val="clear" w:color="auto" w:fill="FFF2CC" w:themeFill="accent4" w:themeFillTint="33"/>
            <w:vAlign w:val="center"/>
            <w:hideMark/>
          </w:tcPr>
          <w:p w14:paraId="498231A2" w14:textId="77777777" w:rsidR="00FE54FA" w:rsidRPr="00070C2E" w:rsidRDefault="00FE54FA" w:rsidP="00800B85">
            <w:pPr>
              <w:jc w:val="center"/>
              <w:rPr>
                <w:rFonts w:ascii="Arial" w:hAnsi="Arial" w:cs="Arial"/>
                <w:b/>
                <w:bCs/>
                <w:color w:val="000000" w:themeColor="text1"/>
                <w:sz w:val="20"/>
                <w:szCs w:val="20"/>
              </w:rPr>
            </w:pPr>
          </w:p>
        </w:tc>
        <w:tc>
          <w:tcPr>
            <w:tcW w:w="198" w:type="pct"/>
            <w:vMerge/>
            <w:shd w:val="clear" w:color="auto" w:fill="FFF2CC" w:themeFill="accent4" w:themeFillTint="33"/>
            <w:vAlign w:val="center"/>
            <w:hideMark/>
          </w:tcPr>
          <w:p w14:paraId="22B6DF9B" w14:textId="77777777" w:rsidR="00FE54FA" w:rsidRPr="00070C2E" w:rsidRDefault="00FE54FA" w:rsidP="00800B85">
            <w:pPr>
              <w:jc w:val="center"/>
              <w:rPr>
                <w:rFonts w:ascii="Arial" w:hAnsi="Arial" w:cs="Arial"/>
                <w:b/>
                <w:bCs/>
                <w:color w:val="000000" w:themeColor="text1"/>
                <w:sz w:val="20"/>
                <w:szCs w:val="20"/>
              </w:rPr>
            </w:pPr>
          </w:p>
        </w:tc>
        <w:tc>
          <w:tcPr>
            <w:tcW w:w="198" w:type="pct"/>
            <w:vMerge/>
            <w:shd w:val="clear" w:color="auto" w:fill="FFF2CC" w:themeFill="accent4" w:themeFillTint="33"/>
            <w:vAlign w:val="center"/>
            <w:hideMark/>
          </w:tcPr>
          <w:p w14:paraId="5CAD0949" w14:textId="77777777" w:rsidR="00FE54FA" w:rsidRPr="00070C2E" w:rsidRDefault="00FE54FA" w:rsidP="00800B85">
            <w:pPr>
              <w:jc w:val="center"/>
              <w:rPr>
                <w:rFonts w:ascii="Arial" w:hAnsi="Arial" w:cs="Arial"/>
                <w:b/>
                <w:bCs/>
                <w:color w:val="000000" w:themeColor="text1"/>
                <w:sz w:val="20"/>
                <w:szCs w:val="20"/>
              </w:rPr>
            </w:pPr>
          </w:p>
        </w:tc>
        <w:tc>
          <w:tcPr>
            <w:tcW w:w="205" w:type="pct"/>
            <w:vMerge/>
            <w:shd w:val="clear" w:color="auto" w:fill="FFF2CC" w:themeFill="accent4" w:themeFillTint="33"/>
            <w:vAlign w:val="center"/>
            <w:hideMark/>
          </w:tcPr>
          <w:p w14:paraId="754A1666" w14:textId="77777777" w:rsidR="00FE54FA" w:rsidRPr="00070C2E" w:rsidRDefault="00FE54FA" w:rsidP="00800B85">
            <w:pPr>
              <w:jc w:val="center"/>
              <w:rPr>
                <w:rFonts w:ascii="Arial" w:hAnsi="Arial" w:cs="Arial"/>
                <w:b/>
                <w:bCs/>
                <w:color w:val="000000" w:themeColor="text1"/>
                <w:sz w:val="20"/>
                <w:szCs w:val="20"/>
              </w:rPr>
            </w:pPr>
          </w:p>
        </w:tc>
        <w:tc>
          <w:tcPr>
            <w:tcW w:w="601" w:type="pct"/>
            <w:vMerge/>
            <w:shd w:val="clear" w:color="auto" w:fill="FFF2CC" w:themeFill="accent4" w:themeFillTint="33"/>
            <w:vAlign w:val="center"/>
            <w:hideMark/>
          </w:tcPr>
          <w:p w14:paraId="364A41F0" w14:textId="77777777" w:rsidR="00FE54FA" w:rsidRPr="00070C2E" w:rsidRDefault="00FE54FA" w:rsidP="00800B85">
            <w:pPr>
              <w:jc w:val="center"/>
              <w:rPr>
                <w:rFonts w:ascii="Arial" w:hAnsi="Arial" w:cs="Arial"/>
                <w:b/>
                <w:bCs/>
                <w:color w:val="000000" w:themeColor="text1"/>
                <w:sz w:val="20"/>
                <w:szCs w:val="20"/>
              </w:rPr>
            </w:pPr>
          </w:p>
        </w:tc>
      </w:tr>
      <w:tr w:rsidR="00FE54FA" w:rsidRPr="00070C2E" w14:paraId="5687F17E" w14:textId="77777777" w:rsidTr="00800B85">
        <w:trPr>
          <w:trHeight w:val="480"/>
        </w:trPr>
        <w:tc>
          <w:tcPr>
            <w:tcW w:w="5000" w:type="pct"/>
            <w:gridSpan w:val="16"/>
            <w:vAlign w:val="center"/>
            <w:hideMark/>
          </w:tcPr>
          <w:p w14:paraId="2B78DB75"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Inwestycje dotyczące dróg wojewódzkich i podległej infrastruktury drogowej</w:t>
            </w:r>
          </w:p>
        </w:tc>
      </w:tr>
      <w:tr w:rsidR="00070C2E" w:rsidRPr="00070C2E" w14:paraId="08715D6A" w14:textId="77777777" w:rsidTr="00800B85">
        <w:trPr>
          <w:trHeight w:val="870"/>
        </w:trPr>
        <w:tc>
          <w:tcPr>
            <w:tcW w:w="134" w:type="pct"/>
            <w:vMerge w:val="restart"/>
            <w:noWrap/>
            <w:textDirection w:val="btLr"/>
            <w:vAlign w:val="center"/>
            <w:hideMark/>
          </w:tcPr>
          <w:p w14:paraId="38484E62" w14:textId="19020C0E"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Priorytet A</w:t>
            </w:r>
          </w:p>
        </w:tc>
        <w:tc>
          <w:tcPr>
            <w:tcW w:w="183" w:type="pct"/>
            <w:vMerge w:val="restart"/>
            <w:noWrap/>
            <w:textDirection w:val="btLr"/>
            <w:vAlign w:val="center"/>
            <w:hideMark/>
          </w:tcPr>
          <w:p w14:paraId="48F3D6C0"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FE PW 2021 - 2027</w:t>
            </w:r>
          </w:p>
        </w:tc>
        <w:tc>
          <w:tcPr>
            <w:tcW w:w="144" w:type="pct"/>
            <w:vAlign w:val="center"/>
            <w:hideMark/>
          </w:tcPr>
          <w:p w14:paraId="4D8252B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w:t>
            </w:r>
          </w:p>
        </w:tc>
        <w:tc>
          <w:tcPr>
            <w:tcW w:w="1429" w:type="pct"/>
            <w:vAlign w:val="center"/>
            <w:hideMark/>
          </w:tcPr>
          <w:p w14:paraId="1BAC6E48" w14:textId="7E9543D5"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Budowa nowego odcinka drogi wojewódzkiej nr 865 Sobiecin – Koniaczów.</w:t>
            </w:r>
          </w:p>
        </w:tc>
        <w:tc>
          <w:tcPr>
            <w:tcW w:w="284" w:type="pct"/>
            <w:noWrap/>
            <w:vAlign w:val="center"/>
            <w:hideMark/>
          </w:tcPr>
          <w:p w14:paraId="410F894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2,23</w:t>
            </w:r>
          </w:p>
        </w:tc>
        <w:tc>
          <w:tcPr>
            <w:tcW w:w="430" w:type="pct"/>
            <w:noWrap/>
            <w:vAlign w:val="center"/>
            <w:hideMark/>
          </w:tcPr>
          <w:p w14:paraId="0C129A27" w14:textId="653581ED"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34,</w:t>
            </w:r>
            <w:r w:rsidR="0082590A" w:rsidRPr="00070C2E">
              <w:rPr>
                <w:rFonts w:ascii="Arial" w:hAnsi="Arial" w:cs="Arial"/>
                <w:color w:val="000000" w:themeColor="text1"/>
                <w:sz w:val="20"/>
                <w:szCs w:val="20"/>
              </w:rPr>
              <w:t>00</w:t>
            </w:r>
          </w:p>
        </w:tc>
        <w:tc>
          <w:tcPr>
            <w:tcW w:w="198" w:type="pct"/>
            <w:noWrap/>
            <w:vAlign w:val="center"/>
            <w:hideMark/>
          </w:tcPr>
          <w:p w14:paraId="40B07B7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4D7D985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664B059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672281F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184" w:type="pct"/>
            <w:noWrap/>
            <w:vAlign w:val="center"/>
            <w:hideMark/>
          </w:tcPr>
          <w:p w14:paraId="31DFDFB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78" w:type="pct"/>
            <w:noWrap/>
            <w:vAlign w:val="center"/>
            <w:hideMark/>
          </w:tcPr>
          <w:p w14:paraId="7495DE7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348498E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5DE9D02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6DE3F90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87</w:t>
            </w:r>
          </w:p>
        </w:tc>
        <w:tc>
          <w:tcPr>
            <w:tcW w:w="601" w:type="pct"/>
            <w:shd w:val="clear" w:color="auto" w:fill="E2EFD9" w:themeFill="accent6" w:themeFillTint="33"/>
            <w:vAlign w:val="center"/>
            <w:hideMark/>
          </w:tcPr>
          <w:p w14:paraId="5DD67C7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 PW 2021 - 2027</w:t>
            </w:r>
          </w:p>
        </w:tc>
      </w:tr>
      <w:tr w:rsidR="00070C2E" w:rsidRPr="00070C2E" w14:paraId="2A9BA5A7" w14:textId="77777777" w:rsidTr="00800B85">
        <w:trPr>
          <w:trHeight w:val="870"/>
        </w:trPr>
        <w:tc>
          <w:tcPr>
            <w:tcW w:w="134" w:type="pct"/>
            <w:vMerge/>
            <w:vAlign w:val="center"/>
            <w:hideMark/>
          </w:tcPr>
          <w:p w14:paraId="001954DF"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66D9ACAD"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47C2557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w:t>
            </w:r>
          </w:p>
        </w:tc>
        <w:tc>
          <w:tcPr>
            <w:tcW w:w="1429" w:type="pct"/>
            <w:vAlign w:val="center"/>
            <w:hideMark/>
          </w:tcPr>
          <w:p w14:paraId="0556B8C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865 na odcinku od m. Zapałów do m. Oleszyce (Etap II Zapałów-Lipina).</w:t>
            </w:r>
          </w:p>
        </w:tc>
        <w:tc>
          <w:tcPr>
            <w:tcW w:w="284" w:type="pct"/>
            <w:noWrap/>
            <w:vAlign w:val="center"/>
            <w:hideMark/>
          </w:tcPr>
          <w:p w14:paraId="6AFBD41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7,57</w:t>
            </w:r>
          </w:p>
        </w:tc>
        <w:tc>
          <w:tcPr>
            <w:tcW w:w="430" w:type="pct"/>
            <w:noWrap/>
            <w:vAlign w:val="center"/>
            <w:hideMark/>
          </w:tcPr>
          <w:p w14:paraId="5A03F408" w14:textId="5C457B6C" w:rsidR="00FE54FA" w:rsidRPr="00070C2E" w:rsidRDefault="0082590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44,82</w:t>
            </w:r>
          </w:p>
        </w:tc>
        <w:tc>
          <w:tcPr>
            <w:tcW w:w="198" w:type="pct"/>
            <w:noWrap/>
            <w:vAlign w:val="center"/>
            <w:hideMark/>
          </w:tcPr>
          <w:p w14:paraId="64B5BEF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2B6C887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7DBCED1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53DF6DD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184" w:type="pct"/>
            <w:noWrap/>
            <w:vAlign w:val="center"/>
            <w:hideMark/>
          </w:tcPr>
          <w:p w14:paraId="3D864BE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78" w:type="pct"/>
            <w:noWrap/>
            <w:vAlign w:val="center"/>
            <w:hideMark/>
          </w:tcPr>
          <w:p w14:paraId="641A41C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5E5AEC0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611D95D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470B50D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77</w:t>
            </w:r>
          </w:p>
        </w:tc>
        <w:tc>
          <w:tcPr>
            <w:tcW w:w="601" w:type="pct"/>
            <w:shd w:val="clear" w:color="auto" w:fill="E2EFD9" w:themeFill="accent6" w:themeFillTint="33"/>
            <w:vAlign w:val="center"/>
            <w:hideMark/>
          </w:tcPr>
          <w:p w14:paraId="182A521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 PW 2021 - 2027</w:t>
            </w:r>
          </w:p>
        </w:tc>
      </w:tr>
      <w:tr w:rsidR="00070C2E" w:rsidRPr="00070C2E" w14:paraId="05D4F0E8" w14:textId="77777777" w:rsidTr="00800B85">
        <w:trPr>
          <w:trHeight w:val="870"/>
        </w:trPr>
        <w:tc>
          <w:tcPr>
            <w:tcW w:w="134" w:type="pct"/>
            <w:vMerge/>
            <w:vAlign w:val="center"/>
            <w:hideMark/>
          </w:tcPr>
          <w:p w14:paraId="302ED016"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0EF19C5C"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66082A0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429" w:type="pct"/>
            <w:vAlign w:val="center"/>
            <w:hideMark/>
          </w:tcPr>
          <w:p w14:paraId="6240EF4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 i rozbudowa drogi wojewódzkiej nr 865 na odcinku Koniaczów – Zapałów.</w:t>
            </w:r>
          </w:p>
        </w:tc>
        <w:tc>
          <w:tcPr>
            <w:tcW w:w="284" w:type="pct"/>
            <w:noWrap/>
            <w:vAlign w:val="center"/>
            <w:hideMark/>
          </w:tcPr>
          <w:p w14:paraId="7028ABD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12,00</w:t>
            </w:r>
          </w:p>
        </w:tc>
        <w:tc>
          <w:tcPr>
            <w:tcW w:w="430" w:type="pct"/>
            <w:noWrap/>
            <w:vAlign w:val="center"/>
            <w:hideMark/>
          </w:tcPr>
          <w:p w14:paraId="63546B22" w14:textId="2D228DEE" w:rsidR="00FE54FA" w:rsidRPr="00070C2E" w:rsidRDefault="0082590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88,32</w:t>
            </w:r>
          </w:p>
        </w:tc>
        <w:tc>
          <w:tcPr>
            <w:tcW w:w="198" w:type="pct"/>
            <w:noWrap/>
            <w:vAlign w:val="center"/>
            <w:hideMark/>
          </w:tcPr>
          <w:p w14:paraId="389EDB1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4147856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6FD592E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6F71F45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184" w:type="pct"/>
            <w:noWrap/>
            <w:vAlign w:val="center"/>
            <w:hideMark/>
          </w:tcPr>
          <w:p w14:paraId="01B6DB6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78" w:type="pct"/>
            <w:noWrap/>
            <w:vAlign w:val="center"/>
            <w:hideMark/>
          </w:tcPr>
          <w:p w14:paraId="5F0C1B1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6E783A4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1561202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4A1BF20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77</w:t>
            </w:r>
          </w:p>
        </w:tc>
        <w:tc>
          <w:tcPr>
            <w:tcW w:w="601" w:type="pct"/>
            <w:shd w:val="clear" w:color="auto" w:fill="E2EFD9" w:themeFill="accent6" w:themeFillTint="33"/>
            <w:vAlign w:val="center"/>
            <w:hideMark/>
          </w:tcPr>
          <w:p w14:paraId="2D21D42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 PW 2021 - 2027</w:t>
            </w:r>
          </w:p>
        </w:tc>
      </w:tr>
      <w:tr w:rsidR="00070C2E" w:rsidRPr="00070C2E" w14:paraId="789E578E" w14:textId="77777777" w:rsidTr="00800B85">
        <w:trPr>
          <w:trHeight w:val="870"/>
        </w:trPr>
        <w:tc>
          <w:tcPr>
            <w:tcW w:w="134" w:type="pct"/>
            <w:vMerge/>
            <w:vAlign w:val="center"/>
            <w:hideMark/>
          </w:tcPr>
          <w:p w14:paraId="552A96BF"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5DE60C81"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5D7A990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w:t>
            </w:r>
          </w:p>
        </w:tc>
        <w:tc>
          <w:tcPr>
            <w:tcW w:w="1429" w:type="pct"/>
            <w:vAlign w:val="center"/>
            <w:hideMark/>
          </w:tcPr>
          <w:p w14:paraId="434CF45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 i rozbudowa drogi wojewódzkiej nr 865 na odcinku Oleszyce – Cieszanów.</w:t>
            </w:r>
          </w:p>
        </w:tc>
        <w:tc>
          <w:tcPr>
            <w:tcW w:w="284" w:type="pct"/>
            <w:noWrap/>
            <w:vAlign w:val="center"/>
            <w:hideMark/>
          </w:tcPr>
          <w:p w14:paraId="7A47595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10,30</w:t>
            </w:r>
          </w:p>
        </w:tc>
        <w:tc>
          <w:tcPr>
            <w:tcW w:w="430" w:type="pct"/>
            <w:noWrap/>
            <w:vAlign w:val="center"/>
            <w:hideMark/>
          </w:tcPr>
          <w:p w14:paraId="1E3A67D9" w14:textId="4AD01A63" w:rsidR="00FE54FA" w:rsidRPr="00070C2E" w:rsidRDefault="0082590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146,86</w:t>
            </w:r>
          </w:p>
        </w:tc>
        <w:tc>
          <w:tcPr>
            <w:tcW w:w="198" w:type="pct"/>
            <w:noWrap/>
            <w:vAlign w:val="center"/>
            <w:hideMark/>
          </w:tcPr>
          <w:p w14:paraId="41AEA73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645158A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1FC29B3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07C96EB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w:t>
            </w:r>
          </w:p>
        </w:tc>
        <w:tc>
          <w:tcPr>
            <w:tcW w:w="184" w:type="pct"/>
            <w:noWrap/>
            <w:vAlign w:val="center"/>
            <w:hideMark/>
          </w:tcPr>
          <w:p w14:paraId="55A82A6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78" w:type="pct"/>
            <w:noWrap/>
            <w:vAlign w:val="center"/>
            <w:hideMark/>
          </w:tcPr>
          <w:p w14:paraId="2F6EC04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46D332F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2F5813E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60FFCE9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72</w:t>
            </w:r>
          </w:p>
        </w:tc>
        <w:tc>
          <w:tcPr>
            <w:tcW w:w="601" w:type="pct"/>
            <w:shd w:val="clear" w:color="auto" w:fill="E2EFD9" w:themeFill="accent6" w:themeFillTint="33"/>
            <w:vAlign w:val="center"/>
            <w:hideMark/>
          </w:tcPr>
          <w:p w14:paraId="50A582F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 PW 2021 - 2027</w:t>
            </w:r>
          </w:p>
        </w:tc>
      </w:tr>
      <w:tr w:rsidR="00070C2E" w:rsidRPr="00070C2E" w14:paraId="694690CA" w14:textId="77777777" w:rsidTr="00800B85">
        <w:trPr>
          <w:trHeight w:val="870"/>
        </w:trPr>
        <w:tc>
          <w:tcPr>
            <w:tcW w:w="134" w:type="pct"/>
            <w:vMerge/>
            <w:vAlign w:val="center"/>
            <w:hideMark/>
          </w:tcPr>
          <w:p w14:paraId="6D91DF44"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102F1723"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79974EB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429" w:type="pct"/>
            <w:vAlign w:val="center"/>
            <w:hideMark/>
          </w:tcPr>
          <w:p w14:paraId="3CB29FE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865 na odcinku Cieszanów – granica województwa.</w:t>
            </w:r>
          </w:p>
        </w:tc>
        <w:tc>
          <w:tcPr>
            <w:tcW w:w="284" w:type="pct"/>
            <w:noWrap/>
            <w:vAlign w:val="center"/>
            <w:hideMark/>
          </w:tcPr>
          <w:p w14:paraId="2BAC9B5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19,50</w:t>
            </w:r>
          </w:p>
        </w:tc>
        <w:tc>
          <w:tcPr>
            <w:tcW w:w="430" w:type="pct"/>
            <w:noWrap/>
            <w:vAlign w:val="center"/>
            <w:hideMark/>
          </w:tcPr>
          <w:p w14:paraId="17CF095B" w14:textId="3E5860EC" w:rsidR="00FE54FA" w:rsidRPr="00070C2E" w:rsidRDefault="0082590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250,95</w:t>
            </w:r>
          </w:p>
        </w:tc>
        <w:tc>
          <w:tcPr>
            <w:tcW w:w="198" w:type="pct"/>
            <w:noWrap/>
            <w:vAlign w:val="center"/>
            <w:hideMark/>
          </w:tcPr>
          <w:p w14:paraId="7CA6B1D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220241E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4BA713D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63B1A9B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w:t>
            </w:r>
          </w:p>
        </w:tc>
        <w:tc>
          <w:tcPr>
            <w:tcW w:w="184" w:type="pct"/>
            <w:noWrap/>
            <w:vAlign w:val="center"/>
            <w:hideMark/>
          </w:tcPr>
          <w:p w14:paraId="31C81C8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78" w:type="pct"/>
            <w:noWrap/>
            <w:vAlign w:val="center"/>
            <w:hideMark/>
          </w:tcPr>
          <w:p w14:paraId="64FA70F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76CC36A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135981B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6BD2AD7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72</w:t>
            </w:r>
          </w:p>
        </w:tc>
        <w:tc>
          <w:tcPr>
            <w:tcW w:w="601" w:type="pct"/>
            <w:shd w:val="clear" w:color="auto" w:fill="E2EFD9" w:themeFill="accent6" w:themeFillTint="33"/>
            <w:vAlign w:val="center"/>
            <w:hideMark/>
          </w:tcPr>
          <w:p w14:paraId="0C5663F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 PW 2021 - 2027</w:t>
            </w:r>
          </w:p>
        </w:tc>
      </w:tr>
      <w:tr w:rsidR="00070C2E" w:rsidRPr="00070C2E" w14:paraId="0AAC5257" w14:textId="77777777" w:rsidTr="00800B85">
        <w:trPr>
          <w:trHeight w:val="870"/>
        </w:trPr>
        <w:tc>
          <w:tcPr>
            <w:tcW w:w="134" w:type="pct"/>
            <w:vMerge/>
            <w:vAlign w:val="center"/>
            <w:hideMark/>
          </w:tcPr>
          <w:p w14:paraId="532D71D8"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11754ADB"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5BC56FC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429" w:type="pct"/>
            <w:vAlign w:val="center"/>
            <w:hideMark/>
          </w:tcPr>
          <w:p w14:paraId="405EE6D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 Rozbudowa drogi wojewódzkiej nr 835 gr. woj. - Adamówka  - Sieniawa.</w:t>
            </w:r>
          </w:p>
        </w:tc>
        <w:tc>
          <w:tcPr>
            <w:tcW w:w="284" w:type="pct"/>
            <w:noWrap/>
            <w:vAlign w:val="center"/>
            <w:hideMark/>
          </w:tcPr>
          <w:p w14:paraId="13C97D2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15,8</w:t>
            </w:r>
          </w:p>
        </w:tc>
        <w:tc>
          <w:tcPr>
            <w:tcW w:w="430" w:type="pct"/>
            <w:noWrap/>
            <w:vAlign w:val="center"/>
            <w:hideMark/>
          </w:tcPr>
          <w:p w14:paraId="33D2EE8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127,88</w:t>
            </w:r>
          </w:p>
        </w:tc>
        <w:tc>
          <w:tcPr>
            <w:tcW w:w="198" w:type="pct"/>
            <w:noWrap/>
            <w:vAlign w:val="center"/>
            <w:hideMark/>
          </w:tcPr>
          <w:p w14:paraId="3E147A3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32A1886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79FA3A3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0F97702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3FB62F8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4B494F9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567E302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42098CF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037219A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67</w:t>
            </w:r>
          </w:p>
        </w:tc>
        <w:tc>
          <w:tcPr>
            <w:tcW w:w="601" w:type="pct"/>
            <w:shd w:val="clear" w:color="auto" w:fill="E2EFD9" w:themeFill="accent6" w:themeFillTint="33"/>
            <w:vAlign w:val="center"/>
            <w:hideMark/>
          </w:tcPr>
          <w:p w14:paraId="4B4E01E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 PW 2021 - 2027</w:t>
            </w:r>
          </w:p>
        </w:tc>
      </w:tr>
      <w:tr w:rsidR="00070C2E" w:rsidRPr="00070C2E" w14:paraId="69CB7190" w14:textId="77777777" w:rsidTr="00800B85">
        <w:trPr>
          <w:trHeight w:val="870"/>
        </w:trPr>
        <w:tc>
          <w:tcPr>
            <w:tcW w:w="134" w:type="pct"/>
            <w:vMerge/>
            <w:vAlign w:val="center"/>
            <w:hideMark/>
          </w:tcPr>
          <w:p w14:paraId="0FDF8F67"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0E8D13F3"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5543073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w:t>
            </w:r>
          </w:p>
        </w:tc>
        <w:tc>
          <w:tcPr>
            <w:tcW w:w="1429" w:type="pct"/>
            <w:vAlign w:val="center"/>
            <w:hideMark/>
          </w:tcPr>
          <w:p w14:paraId="07790D85" w14:textId="3F583EE9"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Rozbudowa drogi wojewódzkiej nr 867 na odcinku Basznia Górna – Horyniec Zdrój (etap I) i Horyniec Zdrój – Prusie – gr. woj. (etap II).</w:t>
            </w:r>
          </w:p>
        </w:tc>
        <w:tc>
          <w:tcPr>
            <w:tcW w:w="284" w:type="pct"/>
            <w:noWrap/>
            <w:vAlign w:val="center"/>
            <w:hideMark/>
          </w:tcPr>
          <w:p w14:paraId="4A086BC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28,3</w:t>
            </w:r>
          </w:p>
        </w:tc>
        <w:tc>
          <w:tcPr>
            <w:tcW w:w="430" w:type="pct"/>
            <w:noWrap/>
            <w:vAlign w:val="center"/>
            <w:hideMark/>
          </w:tcPr>
          <w:p w14:paraId="401C721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247,67</w:t>
            </w:r>
          </w:p>
        </w:tc>
        <w:tc>
          <w:tcPr>
            <w:tcW w:w="198" w:type="pct"/>
            <w:noWrap/>
            <w:vAlign w:val="center"/>
            <w:hideMark/>
          </w:tcPr>
          <w:p w14:paraId="1E509A7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25" w:type="pct"/>
            <w:noWrap/>
            <w:vAlign w:val="center"/>
            <w:hideMark/>
          </w:tcPr>
          <w:p w14:paraId="1541B79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152D143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7D6C6AB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4346392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78" w:type="pct"/>
            <w:noWrap/>
            <w:vAlign w:val="center"/>
            <w:hideMark/>
          </w:tcPr>
          <w:p w14:paraId="780A9A9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49D9EA3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47FA81D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7054E53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41</w:t>
            </w:r>
          </w:p>
        </w:tc>
        <w:tc>
          <w:tcPr>
            <w:tcW w:w="601" w:type="pct"/>
            <w:shd w:val="clear" w:color="auto" w:fill="E2EFD9" w:themeFill="accent6" w:themeFillTint="33"/>
            <w:vAlign w:val="center"/>
            <w:hideMark/>
          </w:tcPr>
          <w:p w14:paraId="03EB027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 PW 2021 - 2027</w:t>
            </w:r>
          </w:p>
        </w:tc>
      </w:tr>
      <w:tr w:rsidR="00070C2E" w:rsidRPr="00070C2E" w14:paraId="6D9082ED" w14:textId="77777777" w:rsidTr="00800B85">
        <w:trPr>
          <w:trHeight w:val="870"/>
        </w:trPr>
        <w:tc>
          <w:tcPr>
            <w:tcW w:w="134" w:type="pct"/>
            <w:vMerge/>
            <w:vAlign w:val="center"/>
            <w:hideMark/>
          </w:tcPr>
          <w:p w14:paraId="3CD0A0B1"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2AB1780D"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755744B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8</w:t>
            </w:r>
          </w:p>
        </w:tc>
        <w:tc>
          <w:tcPr>
            <w:tcW w:w="1429" w:type="pct"/>
            <w:vAlign w:val="center"/>
            <w:hideMark/>
          </w:tcPr>
          <w:p w14:paraId="2FF410F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Budowa/rozbudowa drogi wojewódzkiej nr 857 na odcinku Zaklików – granica województwa</w:t>
            </w:r>
          </w:p>
        </w:tc>
        <w:tc>
          <w:tcPr>
            <w:tcW w:w="284" w:type="pct"/>
            <w:noWrap/>
            <w:vAlign w:val="center"/>
            <w:hideMark/>
          </w:tcPr>
          <w:p w14:paraId="413B067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7,8</w:t>
            </w:r>
          </w:p>
        </w:tc>
        <w:tc>
          <w:tcPr>
            <w:tcW w:w="430" w:type="pct"/>
            <w:noWrap/>
            <w:vAlign w:val="center"/>
            <w:hideMark/>
          </w:tcPr>
          <w:p w14:paraId="10746C1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61,35</w:t>
            </w:r>
          </w:p>
        </w:tc>
        <w:tc>
          <w:tcPr>
            <w:tcW w:w="198" w:type="pct"/>
            <w:noWrap/>
            <w:vAlign w:val="center"/>
            <w:hideMark/>
          </w:tcPr>
          <w:p w14:paraId="5D64365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68850B4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530EB00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75840BC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84" w:type="pct"/>
            <w:noWrap/>
            <w:vAlign w:val="center"/>
            <w:hideMark/>
          </w:tcPr>
          <w:p w14:paraId="65C5C31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6ED925E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1B913BF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2DB602D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3A97CDF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36</w:t>
            </w:r>
          </w:p>
        </w:tc>
        <w:tc>
          <w:tcPr>
            <w:tcW w:w="601" w:type="pct"/>
            <w:shd w:val="clear" w:color="auto" w:fill="E2EFD9" w:themeFill="accent6" w:themeFillTint="33"/>
            <w:vAlign w:val="center"/>
            <w:hideMark/>
          </w:tcPr>
          <w:p w14:paraId="6CC5711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 PW 2021 - 2027</w:t>
            </w:r>
          </w:p>
        </w:tc>
      </w:tr>
      <w:tr w:rsidR="00070C2E" w:rsidRPr="00070C2E" w14:paraId="4CE050F7" w14:textId="77777777" w:rsidTr="00800B85">
        <w:trPr>
          <w:trHeight w:val="870"/>
        </w:trPr>
        <w:tc>
          <w:tcPr>
            <w:tcW w:w="134" w:type="pct"/>
            <w:vMerge/>
            <w:vAlign w:val="center"/>
            <w:hideMark/>
          </w:tcPr>
          <w:p w14:paraId="5BFBBCCD"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6386E44E" w14:textId="77777777" w:rsidR="00FE54FA" w:rsidRPr="00070C2E" w:rsidRDefault="00FE54FA" w:rsidP="00800B85">
            <w:pPr>
              <w:jc w:val="center"/>
              <w:rPr>
                <w:rFonts w:ascii="Arial" w:hAnsi="Arial" w:cs="Arial"/>
                <w:b/>
                <w:bCs/>
                <w:color w:val="000000" w:themeColor="text1"/>
                <w:sz w:val="20"/>
                <w:szCs w:val="20"/>
              </w:rPr>
            </w:pPr>
          </w:p>
        </w:tc>
        <w:tc>
          <w:tcPr>
            <w:tcW w:w="1573" w:type="pct"/>
            <w:gridSpan w:val="2"/>
            <w:vAlign w:val="center"/>
            <w:hideMark/>
          </w:tcPr>
          <w:p w14:paraId="48F16A63" w14:textId="40579EEF" w:rsidR="00FE54FA" w:rsidRPr="00070C2E" w:rsidRDefault="000A70B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S</w:t>
            </w:r>
            <w:r w:rsidR="00FE54FA" w:rsidRPr="00070C2E">
              <w:rPr>
                <w:rFonts w:ascii="Arial" w:hAnsi="Arial" w:cs="Arial"/>
                <w:color w:val="000000" w:themeColor="text1"/>
                <w:sz w:val="20"/>
                <w:szCs w:val="20"/>
              </w:rPr>
              <w:t>uma</w:t>
            </w:r>
          </w:p>
        </w:tc>
        <w:tc>
          <w:tcPr>
            <w:tcW w:w="284" w:type="pct"/>
            <w:noWrap/>
            <w:vAlign w:val="center"/>
            <w:hideMark/>
          </w:tcPr>
          <w:p w14:paraId="708B40F0"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103,50</w:t>
            </w:r>
          </w:p>
        </w:tc>
        <w:tc>
          <w:tcPr>
            <w:tcW w:w="430" w:type="pct"/>
            <w:noWrap/>
            <w:vAlign w:val="center"/>
            <w:hideMark/>
          </w:tcPr>
          <w:p w14:paraId="29472363" w14:textId="2FC55202" w:rsidR="00FE54FA" w:rsidRPr="00070C2E" w:rsidRDefault="0082590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1001,85</w:t>
            </w:r>
          </w:p>
        </w:tc>
        <w:tc>
          <w:tcPr>
            <w:tcW w:w="198" w:type="pct"/>
            <w:noWrap/>
            <w:vAlign w:val="center"/>
            <w:hideMark/>
          </w:tcPr>
          <w:p w14:paraId="29254B88" w14:textId="3772464A" w:rsidR="00FE54FA" w:rsidRPr="00070C2E" w:rsidRDefault="00FE54FA" w:rsidP="00800B85">
            <w:pPr>
              <w:jc w:val="center"/>
              <w:rPr>
                <w:rFonts w:ascii="Arial" w:hAnsi="Arial" w:cs="Arial"/>
                <w:color w:val="000000" w:themeColor="text1"/>
                <w:sz w:val="20"/>
                <w:szCs w:val="20"/>
              </w:rPr>
            </w:pPr>
          </w:p>
        </w:tc>
        <w:tc>
          <w:tcPr>
            <w:tcW w:w="225" w:type="pct"/>
            <w:noWrap/>
            <w:vAlign w:val="center"/>
            <w:hideMark/>
          </w:tcPr>
          <w:p w14:paraId="16CF6D96" w14:textId="35FF4FF6" w:rsidR="00FE54FA" w:rsidRPr="00070C2E" w:rsidRDefault="00FE54FA" w:rsidP="00800B85">
            <w:pPr>
              <w:jc w:val="center"/>
              <w:rPr>
                <w:rFonts w:ascii="Arial" w:hAnsi="Arial" w:cs="Arial"/>
                <w:color w:val="000000" w:themeColor="text1"/>
                <w:sz w:val="20"/>
                <w:szCs w:val="20"/>
              </w:rPr>
            </w:pPr>
          </w:p>
        </w:tc>
        <w:tc>
          <w:tcPr>
            <w:tcW w:w="212" w:type="pct"/>
            <w:noWrap/>
            <w:vAlign w:val="center"/>
            <w:hideMark/>
          </w:tcPr>
          <w:p w14:paraId="2EABCA6A" w14:textId="1EAB6A5C" w:rsidR="00FE54FA" w:rsidRPr="00070C2E" w:rsidRDefault="00FE54FA" w:rsidP="00800B85">
            <w:pPr>
              <w:jc w:val="center"/>
              <w:rPr>
                <w:rFonts w:ascii="Arial" w:hAnsi="Arial" w:cs="Arial"/>
                <w:color w:val="000000" w:themeColor="text1"/>
                <w:sz w:val="20"/>
                <w:szCs w:val="20"/>
              </w:rPr>
            </w:pPr>
          </w:p>
        </w:tc>
        <w:tc>
          <w:tcPr>
            <w:tcW w:w="198" w:type="pct"/>
            <w:noWrap/>
            <w:vAlign w:val="center"/>
            <w:hideMark/>
          </w:tcPr>
          <w:p w14:paraId="0F8123D2" w14:textId="311C04AB" w:rsidR="00FE54FA" w:rsidRPr="00070C2E" w:rsidRDefault="00FE54FA" w:rsidP="00800B85">
            <w:pPr>
              <w:jc w:val="center"/>
              <w:rPr>
                <w:rFonts w:ascii="Arial" w:hAnsi="Arial" w:cs="Arial"/>
                <w:color w:val="000000" w:themeColor="text1"/>
                <w:sz w:val="20"/>
                <w:szCs w:val="20"/>
              </w:rPr>
            </w:pPr>
          </w:p>
        </w:tc>
        <w:tc>
          <w:tcPr>
            <w:tcW w:w="184" w:type="pct"/>
            <w:noWrap/>
            <w:vAlign w:val="center"/>
            <w:hideMark/>
          </w:tcPr>
          <w:p w14:paraId="6847E490" w14:textId="1AEBE545" w:rsidR="00FE54FA" w:rsidRPr="00070C2E" w:rsidRDefault="00FE54FA" w:rsidP="00800B85">
            <w:pPr>
              <w:jc w:val="center"/>
              <w:rPr>
                <w:rFonts w:ascii="Arial" w:hAnsi="Arial" w:cs="Arial"/>
                <w:color w:val="000000" w:themeColor="text1"/>
                <w:sz w:val="20"/>
                <w:szCs w:val="20"/>
              </w:rPr>
            </w:pPr>
          </w:p>
        </w:tc>
        <w:tc>
          <w:tcPr>
            <w:tcW w:w="178" w:type="pct"/>
            <w:noWrap/>
            <w:vAlign w:val="center"/>
            <w:hideMark/>
          </w:tcPr>
          <w:p w14:paraId="291847C6" w14:textId="66C7570A" w:rsidR="00FE54FA" w:rsidRPr="00070C2E" w:rsidRDefault="00FE54FA" w:rsidP="00800B85">
            <w:pPr>
              <w:jc w:val="center"/>
              <w:rPr>
                <w:rFonts w:ascii="Arial" w:hAnsi="Arial" w:cs="Arial"/>
                <w:color w:val="000000" w:themeColor="text1"/>
                <w:sz w:val="20"/>
                <w:szCs w:val="20"/>
              </w:rPr>
            </w:pPr>
          </w:p>
        </w:tc>
        <w:tc>
          <w:tcPr>
            <w:tcW w:w="198" w:type="pct"/>
            <w:noWrap/>
            <w:vAlign w:val="center"/>
            <w:hideMark/>
          </w:tcPr>
          <w:p w14:paraId="23863A24" w14:textId="086305B6" w:rsidR="00FE54FA" w:rsidRPr="00070C2E" w:rsidRDefault="00FE54FA" w:rsidP="00800B85">
            <w:pPr>
              <w:jc w:val="center"/>
              <w:rPr>
                <w:rFonts w:ascii="Arial" w:hAnsi="Arial" w:cs="Arial"/>
                <w:color w:val="000000" w:themeColor="text1"/>
                <w:sz w:val="20"/>
                <w:szCs w:val="20"/>
              </w:rPr>
            </w:pPr>
          </w:p>
        </w:tc>
        <w:tc>
          <w:tcPr>
            <w:tcW w:w="198" w:type="pct"/>
            <w:noWrap/>
            <w:vAlign w:val="center"/>
            <w:hideMark/>
          </w:tcPr>
          <w:p w14:paraId="6F714E4B" w14:textId="59DEB9E2" w:rsidR="00FE54FA" w:rsidRPr="00070C2E" w:rsidRDefault="00FE54FA" w:rsidP="00800B85">
            <w:pPr>
              <w:jc w:val="center"/>
              <w:rPr>
                <w:rFonts w:ascii="Arial" w:hAnsi="Arial" w:cs="Arial"/>
                <w:color w:val="000000" w:themeColor="text1"/>
                <w:sz w:val="20"/>
                <w:szCs w:val="20"/>
              </w:rPr>
            </w:pPr>
          </w:p>
        </w:tc>
        <w:tc>
          <w:tcPr>
            <w:tcW w:w="205" w:type="pct"/>
            <w:noWrap/>
            <w:vAlign w:val="center"/>
            <w:hideMark/>
          </w:tcPr>
          <w:p w14:paraId="68D57D91" w14:textId="508DF7BB" w:rsidR="00FE54FA" w:rsidRPr="00070C2E" w:rsidRDefault="00FE54FA" w:rsidP="00800B85">
            <w:pPr>
              <w:jc w:val="center"/>
              <w:rPr>
                <w:rFonts w:ascii="Arial" w:hAnsi="Arial" w:cs="Arial"/>
                <w:color w:val="000000" w:themeColor="text1"/>
                <w:sz w:val="20"/>
                <w:szCs w:val="20"/>
              </w:rPr>
            </w:pPr>
          </w:p>
        </w:tc>
        <w:tc>
          <w:tcPr>
            <w:tcW w:w="601" w:type="pct"/>
            <w:vAlign w:val="center"/>
            <w:hideMark/>
          </w:tcPr>
          <w:p w14:paraId="613F1A49" w14:textId="71659899" w:rsidR="00FE54FA" w:rsidRPr="00070C2E" w:rsidRDefault="00FE54FA" w:rsidP="00800B85">
            <w:pPr>
              <w:jc w:val="center"/>
              <w:rPr>
                <w:rFonts w:ascii="Arial" w:hAnsi="Arial" w:cs="Arial"/>
                <w:color w:val="000000" w:themeColor="text1"/>
                <w:sz w:val="20"/>
                <w:szCs w:val="20"/>
              </w:rPr>
            </w:pPr>
          </w:p>
        </w:tc>
      </w:tr>
      <w:tr w:rsidR="00070C2E" w:rsidRPr="00070C2E" w14:paraId="787C8EF4" w14:textId="77777777" w:rsidTr="00800B85">
        <w:trPr>
          <w:trHeight w:val="870"/>
        </w:trPr>
        <w:tc>
          <w:tcPr>
            <w:tcW w:w="134" w:type="pct"/>
            <w:vMerge/>
            <w:vAlign w:val="center"/>
            <w:hideMark/>
          </w:tcPr>
          <w:p w14:paraId="548EE387"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restart"/>
            <w:noWrap/>
            <w:textDirection w:val="btLr"/>
            <w:vAlign w:val="center"/>
            <w:hideMark/>
          </w:tcPr>
          <w:p w14:paraId="08BB9D0B"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FEP 2021 - 2027</w:t>
            </w:r>
          </w:p>
        </w:tc>
        <w:tc>
          <w:tcPr>
            <w:tcW w:w="144" w:type="pct"/>
            <w:vAlign w:val="center"/>
            <w:hideMark/>
          </w:tcPr>
          <w:p w14:paraId="2084712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w:t>
            </w:r>
          </w:p>
        </w:tc>
        <w:tc>
          <w:tcPr>
            <w:tcW w:w="1429" w:type="pct"/>
            <w:vAlign w:val="center"/>
            <w:hideMark/>
          </w:tcPr>
          <w:p w14:paraId="13F5F44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881 na odcinku Kańczuga – Pruchnik - etap II.</w:t>
            </w:r>
          </w:p>
        </w:tc>
        <w:tc>
          <w:tcPr>
            <w:tcW w:w="284" w:type="pct"/>
            <w:noWrap/>
            <w:vAlign w:val="center"/>
            <w:hideMark/>
          </w:tcPr>
          <w:p w14:paraId="5DA9457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5,72</w:t>
            </w:r>
          </w:p>
        </w:tc>
        <w:tc>
          <w:tcPr>
            <w:tcW w:w="430" w:type="pct"/>
            <w:noWrap/>
            <w:vAlign w:val="center"/>
            <w:hideMark/>
          </w:tcPr>
          <w:p w14:paraId="41DA17B5" w14:textId="58E5CE89" w:rsidR="00FE54FA" w:rsidRPr="00070C2E" w:rsidRDefault="007915D2"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45,35</w:t>
            </w:r>
          </w:p>
        </w:tc>
        <w:tc>
          <w:tcPr>
            <w:tcW w:w="198" w:type="pct"/>
            <w:noWrap/>
            <w:vAlign w:val="center"/>
            <w:hideMark/>
          </w:tcPr>
          <w:p w14:paraId="66CC46C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45C534B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3983145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74AFFD4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184" w:type="pct"/>
            <w:noWrap/>
            <w:vAlign w:val="center"/>
            <w:hideMark/>
          </w:tcPr>
          <w:p w14:paraId="1E93BAE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2475CF0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56938E8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75D025E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4D4B5D6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82</w:t>
            </w:r>
          </w:p>
        </w:tc>
        <w:tc>
          <w:tcPr>
            <w:tcW w:w="601" w:type="pct"/>
            <w:vAlign w:val="center"/>
            <w:hideMark/>
          </w:tcPr>
          <w:p w14:paraId="5F4BC2C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49FA593C" w14:textId="77777777" w:rsidTr="00800B85">
        <w:trPr>
          <w:trHeight w:val="870"/>
        </w:trPr>
        <w:tc>
          <w:tcPr>
            <w:tcW w:w="134" w:type="pct"/>
            <w:vMerge/>
            <w:vAlign w:val="center"/>
            <w:hideMark/>
          </w:tcPr>
          <w:p w14:paraId="5D852318"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57A044AE"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3A77B5C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w:t>
            </w:r>
          </w:p>
        </w:tc>
        <w:tc>
          <w:tcPr>
            <w:tcW w:w="1429" w:type="pct"/>
            <w:vAlign w:val="center"/>
            <w:hideMark/>
          </w:tcPr>
          <w:p w14:paraId="1D867D9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Rozbudowa i budowa drogi wojewódzkiej nr 835 na odcinku Szklary – Dynów.</w:t>
            </w:r>
          </w:p>
        </w:tc>
        <w:tc>
          <w:tcPr>
            <w:tcW w:w="284" w:type="pct"/>
            <w:noWrap/>
            <w:vAlign w:val="center"/>
            <w:hideMark/>
          </w:tcPr>
          <w:p w14:paraId="4B8C2CC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6,45</w:t>
            </w:r>
          </w:p>
        </w:tc>
        <w:tc>
          <w:tcPr>
            <w:tcW w:w="430" w:type="pct"/>
            <w:noWrap/>
            <w:vAlign w:val="center"/>
            <w:hideMark/>
          </w:tcPr>
          <w:p w14:paraId="5B9F5105" w14:textId="08911D79" w:rsidR="00FE54FA" w:rsidRPr="00070C2E" w:rsidRDefault="007915D2"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152,42</w:t>
            </w:r>
          </w:p>
        </w:tc>
        <w:tc>
          <w:tcPr>
            <w:tcW w:w="198" w:type="pct"/>
            <w:noWrap/>
            <w:vAlign w:val="center"/>
            <w:hideMark/>
          </w:tcPr>
          <w:p w14:paraId="09F40E8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72DDFF1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49913D4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63E9825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10396B5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05D7C37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41739F4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0BB22CD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4D6F7AA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81</w:t>
            </w:r>
          </w:p>
        </w:tc>
        <w:tc>
          <w:tcPr>
            <w:tcW w:w="601" w:type="pct"/>
            <w:vAlign w:val="center"/>
            <w:hideMark/>
          </w:tcPr>
          <w:p w14:paraId="48C1B2E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2B22EA98" w14:textId="77777777" w:rsidTr="00800B85">
        <w:trPr>
          <w:trHeight w:val="855"/>
        </w:trPr>
        <w:tc>
          <w:tcPr>
            <w:tcW w:w="134" w:type="pct"/>
            <w:vMerge/>
            <w:vAlign w:val="center"/>
            <w:hideMark/>
          </w:tcPr>
          <w:p w14:paraId="243E278B"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7F7FC3AD"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6382CF4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429" w:type="pct"/>
            <w:vAlign w:val="center"/>
            <w:hideMark/>
          </w:tcPr>
          <w:p w14:paraId="2C57251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Rozbudowa drogi wojewódzkiej nr 988 na odcinku od miejscowości Czudec do miejscowości Zaborów.</w:t>
            </w:r>
          </w:p>
        </w:tc>
        <w:tc>
          <w:tcPr>
            <w:tcW w:w="284" w:type="pct"/>
            <w:noWrap/>
            <w:vAlign w:val="center"/>
            <w:hideMark/>
          </w:tcPr>
          <w:p w14:paraId="2635FF8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3,10</w:t>
            </w:r>
          </w:p>
        </w:tc>
        <w:tc>
          <w:tcPr>
            <w:tcW w:w="430" w:type="pct"/>
            <w:noWrap/>
            <w:vAlign w:val="center"/>
            <w:hideMark/>
          </w:tcPr>
          <w:p w14:paraId="0099A02A" w14:textId="285A9CB3" w:rsidR="00FE54FA" w:rsidRPr="00070C2E" w:rsidRDefault="007915D2"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77,36</w:t>
            </w:r>
          </w:p>
        </w:tc>
        <w:tc>
          <w:tcPr>
            <w:tcW w:w="198" w:type="pct"/>
            <w:noWrap/>
            <w:vAlign w:val="center"/>
            <w:hideMark/>
          </w:tcPr>
          <w:p w14:paraId="20A219D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05C70C6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4032A31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71A7943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44EED97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1A19033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4C9C56A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24B5151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51F6033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75</w:t>
            </w:r>
          </w:p>
        </w:tc>
        <w:tc>
          <w:tcPr>
            <w:tcW w:w="601" w:type="pct"/>
            <w:vAlign w:val="center"/>
            <w:hideMark/>
          </w:tcPr>
          <w:p w14:paraId="65E55CB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3BA90EE8" w14:textId="77777777" w:rsidTr="00800B85">
        <w:trPr>
          <w:trHeight w:val="855"/>
        </w:trPr>
        <w:tc>
          <w:tcPr>
            <w:tcW w:w="134" w:type="pct"/>
            <w:vMerge/>
            <w:vAlign w:val="center"/>
            <w:hideMark/>
          </w:tcPr>
          <w:p w14:paraId="758E8456"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7777BD24"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47A00F7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w:t>
            </w:r>
          </w:p>
        </w:tc>
        <w:tc>
          <w:tcPr>
            <w:tcW w:w="1429" w:type="pct"/>
            <w:vAlign w:val="center"/>
            <w:hideMark/>
          </w:tcPr>
          <w:p w14:paraId="627EAFD5" w14:textId="619C135A"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Rozbudowa drogi wojewódzkiej nr 986 na odcinku  Ostrów – Ropczyce wraz z budową mostu na rzece Wielopolka</w:t>
            </w:r>
          </w:p>
        </w:tc>
        <w:tc>
          <w:tcPr>
            <w:tcW w:w="284" w:type="pct"/>
            <w:noWrap/>
            <w:vAlign w:val="center"/>
            <w:hideMark/>
          </w:tcPr>
          <w:p w14:paraId="312C698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1,19</w:t>
            </w:r>
          </w:p>
        </w:tc>
        <w:tc>
          <w:tcPr>
            <w:tcW w:w="430" w:type="pct"/>
            <w:noWrap/>
            <w:vAlign w:val="center"/>
            <w:hideMark/>
          </w:tcPr>
          <w:p w14:paraId="0FD9302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27,79</w:t>
            </w:r>
          </w:p>
        </w:tc>
        <w:tc>
          <w:tcPr>
            <w:tcW w:w="198" w:type="pct"/>
            <w:noWrap/>
            <w:vAlign w:val="center"/>
            <w:hideMark/>
          </w:tcPr>
          <w:p w14:paraId="1A18B59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40FB138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7B2932A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7689203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184" w:type="pct"/>
            <w:noWrap/>
            <w:vAlign w:val="center"/>
            <w:hideMark/>
          </w:tcPr>
          <w:p w14:paraId="05A6897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60F49B2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22F224B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3E76E3E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721319C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75</w:t>
            </w:r>
          </w:p>
        </w:tc>
        <w:tc>
          <w:tcPr>
            <w:tcW w:w="601" w:type="pct"/>
            <w:vAlign w:val="center"/>
            <w:hideMark/>
          </w:tcPr>
          <w:p w14:paraId="61D1760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73617524" w14:textId="77777777" w:rsidTr="00800B85">
        <w:trPr>
          <w:trHeight w:val="855"/>
        </w:trPr>
        <w:tc>
          <w:tcPr>
            <w:tcW w:w="134" w:type="pct"/>
            <w:vMerge/>
            <w:vAlign w:val="center"/>
            <w:hideMark/>
          </w:tcPr>
          <w:p w14:paraId="5FADAE80"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250C44A3"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62B1D66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429" w:type="pct"/>
            <w:vAlign w:val="center"/>
            <w:hideMark/>
          </w:tcPr>
          <w:p w14:paraId="5B7B78FF" w14:textId="1F5826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 xml:space="preserve">Przebudowa/rozbudowa drogi wojewódzkiej nr 896 Ustrzyki Dolne – Ustrzyki Górne wraz </w:t>
            </w:r>
            <w:r w:rsidR="00070C2E">
              <w:rPr>
                <w:rFonts w:ascii="Arial" w:hAnsi="Arial" w:cs="Arial"/>
                <w:color w:val="000000" w:themeColor="text1"/>
                <w:sz w:val="20"/>
                <w:szCs w:val="20"/>
              </w:rPr>
              <w:br/>
            </w:r>
            <w:r w:rsidRPr="00070C2E">
              <w:rPr>
                <w:rFonts w:ascii="Arial" w:hAnsi="Arial" w:cs="Arial"/>
                <w:color w:val="000000" w:themeColor="text1"/>
                <w:sz w:val="20"/>
                <w:szCs w:val="20"/>
              </w:rPr>
              <w:t>z b</w:t>
            </w:r>
            <w:r w:rsidR="00070C2E">
              <w:rPr>
                <w:rFonts w:ascii="Arial" w:hAnsi="Arial" w:cs="Arial"/>
                <w:color w:val="000000" w:themeColor="text1"/>
                <w:sz w:val="20"/>
                <w:szCs w:val="20"/>
              </w:rPr>
              <w:t>udową tras rowerowych - Etap II</w:t>
            </w:r>
          </w:p>
        </w:tc>
        <w:tc>
          <w:tcPr>
            <w:tcW w:w="284" w:type="pct"/>
            <w:noWrap/>
            <w:vAlign w:val="center"/>
            <w:hideMark/>
          </w:tcPr>
          <w:p w14:paraId="2ADDBC5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15,00</w:t>
            </w:r>
          </w:p>
        </w:tc>
        <w:tc>
          <w:tcPr>
            <w:tcW w:w="430" w:type="pct"/>
            <w:noWrap/>
            <w:vAlign w:val="center"/>
            <w:hideMark/>
          </w:tcPr>
          <w:p w14:paraId="178EDFB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249,90</w:t>
            </w:r>
          </w:p>
        </w:tc>
        <w:tc>
          <w:tcPr>
            <w:tcW w:w="198" w:type="pct"/>
            <w:noWrap/>
            <w:vAlign w:val="center"/>
            <w:hideMark/>
          </w:tcPr>
          <w:p w14:paraId="5F2983B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56ADDBB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66D2E11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4311C82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w:t>
            </w:r>
          </w:p>
        </w:tc>
        <w:tc>
          <w:tcPr>
            <w:tcW w:w="184" w:type="pct"/>
            <w:noWrap/>
            <w:vAlign w:val="center"/>
            <w:hideMark/>
          </w:tcPr>
          <w:p w14:paraId="1C38851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3F56A60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7A2C899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98" w:type="pct"/>
            <w:noWrap/>
            <w:vAlign w:val="center"/>
            <w:hideMark/>
          </w:tcPr>
          <w:p w14:paraId="19A6B23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2B10559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73</w:t>
            </w:r>
          </w:p>
        </w:tc>
        <w:tc>
          <w:tcPr>
            <w:tcW w:w="601" w:type="pct"/>
            <w:vAlign w:val="center"/>
            <w:hideMark/>
          </w:tcPr>
          <w:p w14:paraId="2CAFE7E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5DDDCD17" w14:textId="77777777" w:rsidTr="00800B85">
        <w:trPr>
          <w:trHeight w:val="855"/>
        </w:trPr>
        <w:tc>
          <w:tcPr>
            <w:tcW w:w="134" w:type="pct"/>
            <w:vMerge/>
            <w:vAlign w:val="center"/>
            <w:hideMark/>
          </w:tcPr>
          <w:p w14:paraId="7CD7E48E"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01680CCF"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0FBFFFF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429" w:type="pct"/>
            <w:vAlign w:val="center"/>
            <w:hideMark/>
          </w:tcPr>
          <w:p w14:paraId="53CCA637" w14:textId="110249DE"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 xml:space="preserve">Przebudowa i rozbudowa drogi wojewódzkiej nr 877 </w:t>
            </w:r>
            <w:r w:rsidR="00070C2E">
              <w:rPr>
                <w:rFonts w:ascii="Arial" w:hAnsi="Arial" w:cs="Arial"/>
                <w:color w:val="000000" w:themeColor="text1"/>
                <w:sz w:val="20"/>
                <w:szCs w:val="20"/>
              </w:rPr>
              <w:t>na odcinku Dylągówka – Szklary;</w:t>
            </w:r>
          </w:p>
        </w:tc>
        <w:tc>
          <w:tcPr>
            <w:tcW w:w="284" w:type="pct"/>
            <w:noWrap/>
            <w:vAlign w:val="center"/>
            <w:hideMark/>
          </w:tcPr>
          <w:p w14:paraId="6D11636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4,57</w:t>
            </w:r>
          </w:p>
        </w:tc>
        <w:tc>
          <w:tcPr>
            <w:tcW w:w="430" w:type="pct"/>
            <w:noWrap/>
            <w:vAlign w:val="center"/>
            <w:hideMark/>
          </w:tcPr>
          <w:p w14:paraId="4F1E8F3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200,00</w:t>
            </w:r>
          </w:p>
        </w:tc>
        <w:tc>
          <w:tcPr>
            <w:tcW w:w="198" w:type="pct"/>
            <w:noWrap/>
            <w:vAlign w:val="center"/>
            <w:hideMark/>
          </w:tcPr>
          <w:p w14:paraId="6268873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5F194F0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68FABDC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764E5DA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84" w:type="pct"/>
            <w:noWrap/>
            <w:vAlign w:val="center"/>
            <w:hideMark/>
          </w:tcPr>
          <w:p w14:paraId="376B563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2BD641C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55A6876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70A5238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0A51CDB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71</w:t>
            </w:r>
          </w:p>
        </w:tc>
        <w:tc>
          <w:tcPr>
            <w:tcW w:w="601" w:type="pct"/>
            <w:vAlign w:val="center"/>
            <w:hideMark/>
          </w:tcPr>
          <w:p w14:paraId="7F4D91C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2B22C884" w14:textId="77777777" w:rsidTr="00800B85">
        <w:trPr>
          <w:trHeight w:val="855"/>
        </w:trPr>
        <w:tc>
          <w:tcPr>
            <w:tcW w:w="134" w:type="pct"/>
            <w:vMerge/>
            <w:vAlign w:val="center"/>
            <w:hideMark/>
          </w:tcPr>
          <w:p w14:paraId="2111D0E3"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43874CA9"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3894D21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w:t>
            </w:r>
          </w:p>
        </w:tc>
        <w:tc>
          <w:tcPr>
            <w:tcW w:w="1429" w:type="pct"/>
            <w:vAlign w:val="center"/>
            <w:hideMark/>
          </w:tcPr>
          <w:p w14:paraId="404C0535" w14:textId="5D7867D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 i rozbudowa drogi wojewódzkiej nr 878</w:t>
            </w:r>
            <w:r w:rsidR="00070C2E">
              <w:rPr>
                <w:rFonts w:ascii="Arial" w:hAnsi="Arial" w:cs="Arial"/>
                <w:color w:val="000000" w:themeColor="text1"/>
                <w:sz w:val="20"/>
                <w:szCs w:val="20"/>
              </w:rPr>
              <w:t xml:space="preserve"> na odcinku Tyczyn – Dylągówka;</w:t>
            </w:r>
          </w:p>
        </w:tc>
        <w:tc>
          <w:tcPr>
            <w:tcW w:w="284" w:type="pct"/>
            <w:noWrap/>
            <w:vAlign w:val="center"/>
            <w:hideMark/>
          </w:tcPr>
          <w:p w14:paraId="3F70A81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13,78</w:t>
            </w:r>
          </w:p>
        </w:tc>
        <w:tc>
          <w:tcPr>
            <w:tcW w:w="430" w:type="pct"/>
            <w:noWrap/>
            <w:vAlign w:val="center"/>
            <w:hideMark/>
          </w:tcPr>
          <w:p w14:paraId="5FED01B2" w14:textId="23952CFF" w:rsidR="00FE54FA" w:rsidRPr="00070C2E" w:rsidRDefault="007915D2"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280,97</w:t>
            </w:r>
          </w:p>
        </w:tc>
        <w:tc>
          <w:tcPr>
            <w:tcW w:w="198" w:type="pct"/>
            <w:noWrap/>
            <w:vAlign w:val="center"/>
            <w:hideMark/>
          </w:tcPr>
          <w:p w14:paraId="2267023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64CD288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2D98015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3B77E84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0215DF4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1C24771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3DF8CF2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0D30AF7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1FC831F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70</w:t>
            </w:r>
          </w:p>
        </w:tc>
        <w:tc>
          <w:tcPr>
            <w:tcW w:w="601" w:type="pct"/>
            <w:vAlign w:val="center"/>
            <w:hideMark/>
          </w:tcPr>
          <w:p w14:paraId="5E317A0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64317216" w14:textId="77777777" w:rsidTr="00800B85">
        <w:trPr>
          <w:trHeight w:val="855"/>
        </w:trPr>
        <w:tc>
          <w:tcPr>
            <w:tcW w:w="134" w:type="pct"/>
            <w:vMerge/>
            <w:vAlign w:val="center"/>
            <w:hideMark/>
          </w:tcPr>
          <w:p w14:paraId="70733A5B"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0F929D10"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06A026C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8</w:t>
            </w:r>
          </w:p>
        </w:tc>
        <w:tc>
          <w:tcPr>
            <w:tcW w:w="1429" w:type="pct"/>
            <w:vAlign w:val="center"/>
            <w:hideMark/>
          </w:tcPr>
          <w:p w14:paraId="48FCBAC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988 na odcinku Strzyżów – Twierdza.</w:t>
            </w:r>
          </w:p>
        </w:tc>
        <w:tc>
          <w:tcPr>
            <w:tcW w:w="284" w:type="pct"/>
            <w:noWrap/>
            <w:vAlign w:val="center"/>
            <w:hideMark/>
          </w:tcPr>
          <w:p w14:paraId="2296EC6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15,60</w:t>
            </w:r>
          </w:p>
        </w:tc>
        <w:tc>
          <w:tcPr>
            <w:tcW w:w="430" w:type="pct"/>
            <w:noWrap/>
            <w:vAlign w:val="center"/>
            <w:hideMark/>
          </w:tcPr>
          <w:p w14:paraId="12F8833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126,26</w:t>
            </w:r>
          </w:p>
        </w:tc>
        <w:tc>
          <w:tcPr>
            <w:tcW w:w="198" w:type="pct"/>
            <w:noWrap/>
            <w:vAlign w:val="center"/>
            <w:hideMark/>
          </w:tcPr>
          <w:p w14:paraId="62CE8D4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290DB9E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0EA18AB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66545AD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4D2EA0D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10DCEF5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06D6758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98" w:type="pct"/>
            <w:noWrap/>
            <w:vAlign w:val="center"/>
            <w:hideMark/>
          </w:tcPr>
          <w:p w14:paraId="6C68B51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07F7C11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64</w:t>
            </w:r>
          </w:p>
        </w:tc>
        <w:tc>
          <w:tcPr>
            <w:tcW w:w="601" w:type="pct"/>
            <w:vAlign w:val="center"/>
            <w:hideMark/>
          </w:tcPr>
          <w:p w14:paraId="46B68C4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53D92CE9" w14:textId="77777777" w:rsidTr="00800B85">
        <w:trPr>
          <w:trHeight w:val="855"/>
        </w:trPr>
        <w:tc>
          <w:tcPr>
            <w:tcW w:w="134" w:type="pct"/>
            <w:vMerge/>
            <w:vAlign w:val="center"/>
            <w:hideMark/>
          </w:tcPr>
          <w:p w14:paraId="57F2A975"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135BC3D3"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427432B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9</w:t>
            </w:r>
          </w:p>
        </w:tc>
        <w:tc>
          <w:tcPr>
            <w:tcW w:w="1429" w:type="pct"/>
            <w:vAlign w:val="center"/>
            <w:hideMark/>
          </w:tcPr>
          <w:p w14:paraId="7ECA981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897 na odcinku Radoszyce – Ustrzyki Górne wraz z budową tras rowerowych:</w:t>
            </w:r>
            <w:r w:rsidRPr="00070C2E">
              <w:rPr>
                <w:rFonts w:ascii="Arial" w:hAnsi="Arial" w:cs="Arial"/>
                <w:b/>
                <w:bCs/>
                <w:color w:val="000000" w:themeColor="text1"/>
                <w:sz w:val="20"/>
                <w:szCs w:val="20"/>
              </w:rPr>
              <w:t xml:space="preserve"> </w:t>
            </w:r>
            <w:r w:rsidRPr="00070C2E">
              <w:rPr>
                <w:rFonts w:ascii="Arial" w:hAnsi="Arial" w:cs="Arial"/>
                <w:color w:val="000000" w:themeColor="text1"/>
                <w:sz w:val="20"/>
                <w:szCs w:val="20"/>
              </w:rPr>
              <w:t>Etap II: Cisna - Wetlina</w:t>
            </w:r>
          </w:p>
        </w:tc>
        <w:tc>
          <w:tcPr>
            <w:tcW w:w="284" w:type="pct"/>
            <w:noWrap/>
            <w:vAlign w:val="center"/>
            <w:hideMark/>
          </w:tcPr>
          <w:p w14:paraId="3D3A26C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19,30</w:t>
            </w:r>
          </w:p>
        </w:tc>
        <w:tc>
          <w:tcPr>
            <w:tcW w:w="430" w:type="pct"/>
            <w:noWrap/>
            <w:vAlign w:val="center"/>
            <w:hideMark/>
          </w:tcPr>
          <w:p w14:paraId="7AEEEB4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196,05</w:t>
            </w:r>
          </w:p>
        </w:tc>
        <w:tc>
          <w:tcPr>
            <w:tcW w:w="198" w:type="pct"/>
            <w:noWrap/>
            <w:vAlign w:val="center"/>
            <w:hideMark/>
          </w:tcPr>
          <w:p w14:paraId="3AC4B8B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27F0227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4267407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0E2009A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w:t>
            </w:r>
          </w:p>
        </w:tc>
        <w:tc>
          <w:tcPr>
            <w:tcW w:w="184" w:type="pct"/>
            <w:noWrap/>
            <w:vAlign w:val="center"/>
            <w:hideMark/>
          </w:tcPr>
          <w:p w14:paraId="7E1EA33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7867FEC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48A6AA2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98" w:type="pct"/>
            <w:noWrap/>
            <w:vAlign w:val="center"/>
            <w:hideMark/>
          </w:tcPr>
          <w:p w14:paraId="3CDA967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28CB86E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64</w:t>
            </w:r>
          </w:p>
        </w:tc>
        <w:tc>
          <w:tcPr>
            <w:tcW w:w="601" w:type="pct"/>
            <w:vAlign w:val="center"/>
            <w:hideMark/>
          </w:tcPr>
          <w:p w14:paraId="23036227" w14:textId="3B9F4195"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53816C7E" w14:textId="77777777" w:rsidTr="00800B85">
        <w:trPr>
          <w:trHeight w:val="855"/>
        </w:trPr>
        <w:tc>
          <w:tcPr>
            <w:tcW w:w="134" w:type="pct"/>
            <w:vMerge/>
            <w:vAlign w:val="center"/>
            <w:hideMark/>
          </w:tcPr>
          <w:p w14:paraId="4D9CD011"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13E70BD2"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21BD437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429" w:type="pct"/>
            <w:vAlign w:val="center"/>
            <w:hideMark/>
          </w:tcPr>
          <w:p w14:paraId="74D30832" w14:textId="67A3BB75"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 xml:space="preserve">Przebudowa/rozbudowa drogi wojewódzkiej nr 896 Ustrzyki Dolne – Ustrzyki Górne wraz </w:t>
            </w:r>
            <w:r w:rsidR="00070C2E">
              <w:rPr>
                <w:rFonts w:ascii="Arial" w:hAnsi="Arial" w:cs="Arial"/>
                <w:color w:val="000000" w:themeColor="text1"/>
                <w:sz w:val="20"/>
                <w:szCs w:val="20"/>
              </w:rPr>
              <w:br/>
            </w:r>
            <w:r w:rsidRPr="00070C2E">
              <w:rPr>
                <w:rFonts w:ascii="Arial" w:hAnsi="Arial" w:cs="Arial"/>
                <w:color w:val="000000" w:themeColor="text1"/>
                <w:sz w:val="20"/>
                <w:szCs w:val="20"/>
              </w:rPr>
              <w:t>z budową tras rowerowych: Etap I 896</w:t>
            </w:r>
          </w:p>
        </w:tc>
        <w:tc>
          <w:tcPr>
            <w:tcW w:w="284" w:type="pct"/>
            <w:noWrap/>
            <w:vAlign w:val="center"/>
            <w:hideMark/>
          </w:tcPr>
          <w:p w14:paraId="5EEE54A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15,00</w:t>
            </w:r>
          </w:p>
        </w:tc>
        <w:tc>
          <w:tcPr>
            <w:tcW w:w="430" w:type="pct"/>
            <w:noWrap/>
            <w:vAlign w:val="center"/>
            <w:hideMark/>
          </w:tcPr>
          <w:p w14:paraId="7833946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200,00</w:t>
            </w:r>
          </w:p>
        </w:tc>
        <w:tc>
          <w:tcPr>
            <w:tcW w:w="198" w:type="pct"/>
            <w:noWrap/>
            <w:vAlign w:val="center"/>
            <w:hideMark/>
          </w:tcPr>
          <w:p w14:paraId="6DD1945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1C3525A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3DF1386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6A0C9F2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w:t>
            </w:r>
          </w:p>
        </w:tc>
        <w:tc>
          <w:tcPr>
            <w:tcW w:w="184" w:type="pct"/>
            <w:noWrap/>
            <w:vAlign w:val="center"/>
            <w:hideMark/>
          </w:tcPr>
          <w:p w14:paraId="0141902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4B44EA5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2DDFA75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98" w:type="pct"/>
            <w:noWrap/>
            <w:vAlign w:val="center"/>
            <w:hideMark/>
          </w:tcPr>
          <w:p w14:paraId="782454D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24D826A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64</w:t>
            </w:r>
          </w:p>
        </w:tc>
        <w:tc>
          <w:tcPr>
            <w:tcW w:w="601" w:type="pct"/>
            <w:vAlign w:val="center"/>
            <w:hideMark/>
          </w:tcPr>
          <w:p w14:paraId="134EDD0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0407A2C3" w14:textId="77777777" w:rsidTr="00800B85">
        <w:trPr>
          <w:trHeight w:val="855"/>
        </w:trPr>
        <w:tc>
          <w:tcPr>
            <w:tcW w:w="134" w:type="pct"/>
            <w:vMerge/>
            <w:vAlign w:val="center"/>
            <w:hideMark/>
          </w:tcPr>
          <w:p w14:paraId="272C04A7"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5EBB3D34"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5027D91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11</w:t>
            </w:r>
          </w:p>
        </w:tc>
        <w:tc>
          <w:tcPr>
            <w:tcW w:w="1429" w:type="pct"/>
            <w:vAlign w:val="center"/>
            <w:hideMark/>
          </w:tcPr>
          <w:p w14:paraId="23C13CF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897 na odcinku Radoszyce – Ustrzyki Górne wraz z budową tras rowerowych: Etap III: Wetlina – Ustrzyki Górne</w:t>
            </w:r>
          </w:p>
        </w:tc>
        <w:tc>
          <w:tcPr>
            <w:tcW w:w="284" w:type="pct"/>
            <w:noWrap/>
            <w:vAlign w:val="center"/>
            <w:hideMark/>
          </w:tcPr>
          <w:p w14:paraId="474C031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16,18</w:t>
            </w:r>
          </w:p>
        </w:tc>
        <w:tc>
          <w:tcPr>
            <w:tcW w:w="430" w:type="pct"/>
            <w:noWrap/>
            <w:vAlign w:val="center"/>
            <w:hideMark/>
          </w:tcPr>
          <w:p w14:paraId="4A1EF71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164,36</w:t>
            </w:r>
          </w:p>
        </w:tc>
        <w:tc>
          <w:tcPr>
            <w:tcW w:w="198" w:type="pct"/>
            <w:noWrap/>
            <w:vAlign w:val="center"/>
            <w:hideMark/>
          </w:tcPr>
          <w:p w14:paraId="20F9617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1A1C78E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515726F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177F6F0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w:t>
            </w:r>
          </w:p>
        </w:tc>
        <w:tc>
          <w:tcPr>
            <w:tcW w:w="184" w:type="pct"/>
            <w:noWrap/>
            <w:vAlign w:val="center"/>
            <w:hideMark/>
          </w:tcPr>
          <w:p w14:paraId="0ED4604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047F394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1FC4067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3E39089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2D0BE21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61</w:t>
            </w:r>
          </w:p>
        </w:tc>
        <w:tc>
          <w:tcPr>
            <w:tcW w:w="601" w:type="pct"/>
            <w:vAlign w:val="center"/>
            <w:hideMark/>
          </w:tcPr>
          <w:p w14:paraId="3BECBC7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15CE592E" w14:textId="77777777" w:rsidTr="00800B85">
        <w:trPr>
          <w:trHeight w:val="855"/>
        </w:trPr>
        <w:tc>
          <w:tcPr>
            <w:tcW w:w="134" w:type="pct"/>
            <w:vMerge/>
            <w:vAlign w:val="center"/>
            <w:hideMark/>
          </w:tcPr>
          <w:p w14:paraId="33FBD1C8"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5EABAF4F"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7B7158B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12</w:t>
            </w:r>
          </w:p>
        </w:tc>
        <w:tc>
          <w:tcPr>
            <w:tcW w:w="1429" w:type="pct"/>
            <w:vAlign w:val="center"/>
            <w:hideMark/>
          </w:tcPr>
          <w:p w14:paraId="46665235" w14:textId="57237120"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 xml:space="preserve">Przebudowa/rozbudowa drogi wojewódzkiej nr 896 Ustrzyki Dolne – Ustrzyki Górne wraz </w:t>
            </w:r>
            <w:r w:rsidR="00070C2E">
              <w:rPr>
                <w:rFonts w:ascii="Arial" w:hAnsi="Arial" w:cs="Arial"/>
                <w:color w:val="000000" w:themeColor="text1"/>
                <w:sz w:val="20"/>
                <w:szCs w:val="20"/>
              </w:rPr>
              <w:br/>
            </w:r>
            <w:r w:rsidRPr="00070C2E">
              <w:rPr>
                <w:rFonts w:ascii="Arial" w:hAnsi="Arial" w:cs="Arial"/>
                <w:color w:val="000000" w:themeColor="text1"/>
                <w:sz w:val="20"/>
                <w:szCs w:val="20"/>
              </w:rPr>
              <w:t xml:space="preserve">z budową tras rowerowych: Etap III 896 - </w:t>
            </w:r>
            <w:r w:rsidR="00070C2E">
              <w:rPr>
                <w:rFonts w:ascii="Arial" w:hAnsi="Arial" w:cs="Arial"/>
                <w:color w:val="000000" w:themeColor="text1"/>
                <w:sz w:val="20"/>
                <w:szCs w:val="20"/>
              </w:rPr>
              <w:br/>
            </w:r>
            <w:r w:rsidRPr="00070C2E">
              <w:rPr>
                <w:rFonts w:ascii="Arial" w:hAnsi="Arial" w:cs="Arial"/>
                <w:color w:val="000000" w:themeColor="text1"/>
                <w:sz w:val="20"/>
                <w:szCs w:val="20"/>
              </w:rPr>
              <w:t>w obszarze  Bieszczadzkiego Parku Narodowego</w:t>
            </w:r>
          </w:p>
        </w:tc>
        <w:tc>
          <w:tcPr>
            <w:tcW w:w="284" w:type="pct"/>
            <w:noWrap/>
            <w:vAlign w:val="center"/>
            <w:hideMark/>
          </w:tcPr>
          <w:p w14:paraId="5E6C855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15,00</w:t>
            </w:r>
          </w:p>
        </w:tc>
        <w:tc>
          <w:tcPr>
            <w:tcW w:w="430" w:type="pct"/>
            <w:noWrap/>
            <w:vAlign w:val="center"/>
            <w:hideMark/>
          </w:tcPr>
          <w:p w14:paraId="0444E68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250,00</w:t>
            </w:r>
          </w:p>
        </w:tc>
        <w:tc>
          <w:tcPr>
            <w:tcW w:w="198" w:type="pct"/>
            <w:noWrap/>
            <w:vAlign w:val="center"/>
            <w:hideMark/>
          </w:tcPr>
          <w:p w14:paraId="624D77A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50F51A7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660603C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0FCCB9E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w:t>
            </w:r>
          </w:p>
        </w:tc>
        <w:tc>
          <w:tcPr>
            <w:tcW w:w="184" w:type="pct"/>
            <w:noWrap/>
            <w:vAlign w:val="center"/>
            <w:hideMark/>
          </w:tcPr>
          <w:p w14:paraId="3C03772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6BFEF68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2F4446F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6963A5A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2ED6164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61</w:t>
            </w:r>
          </w:p>
        </w:tc>
        <w:tc>
          <w:tcPr>
            <w:tcW w:w="601" w:type="pct"/>
            <w:vAlign w:val="center"/>
            <w:hideMark/>
          </w:tcPr>
          <w:p w14:paraId="6620DD1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46C21BA6" w14:textId="77777777" w:rsidTr="00800B85">
        <w:trPr>
          <w:trHeight w:val="855"/>
        </w:trPr>
        <w:tc>
          <w:tcPr>
            <w:tcW w:w="134" w:type="pct"/>
            <w:vMerge/>
            <w:vAlign w:val="center"/>
            <w:hideMark/>
          </w:tcPr>
          <w:p w14:paraId="283FF86D"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392A48B6"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2634432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13</w:t>
            </w:r>
          </w:p>
        </w:tc>
        <w:tc>
          <w:tcPr>
            <w:tcW w:w="1429" w:type="pct"/>
            <w:vAlign w:val="center"/>
            <w:hideMark/>
          </w:tcPr>
          <w:p w14:paraId="3E015BF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897 na odcinku Radoszyce – Ustrzyki Górne wraz z budową tras rowerowych: Etap I: Radoszyce – Cisna</w:t>
            </w:r>
          </w:p>
        </w:tc>
        <w:tc>
          <w:tcPr>
            <w:tcW w:w="284" w:type="pct"/>
            <w:noWrap/>
            <w:vAlign w:val="center"/>
            <w:hideMark/>
          </w:tcPr>
          <w:p w14:paraId="5531743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28,15</w:t>
            </w:r>
          </w:p>
        </w:tc>
        <w:tc>
          <w:tcPr>
            <w:tcW w:w="430" w:type="pct"/>
            <w:noWrap/>
            <w:vAlign w:val="center"/>
            <w:hideMark/>
          </w:tcPr>
          <w:p w14:paraId="6544FE6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285,95</w:t>
            </w:r>
          </w:p>
        </w:tc>
        <w:tc>
          <w:tcPr>
            <w:tcW w:w="198" w:type="pct"/>
            <w:noWrap/>
            <w:vAlign w:val="center"/>
            <w:hideMark/>
          </w:tcPr>
          <w:p w14:paraId="22E0C91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248FC4D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3A7E154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1203746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w:t>
            </w:r>
          </w:p>
        </w:tc>
        <w:tc>
          <w:tcPr>
            <w:tcW w:w="184" w:type="pct"/>
            <w:noWrap/>
            <w:vAlign w:val="center"/>
            <w:hideMark/>
          </w:tcPr>
          <w:p w14:paraId="29964A7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05B2D0E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38041CE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10D6C47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1A3B88D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60</w:t>
            </w:r>
          </w:p>
        </w:tc>
        <w:tc>
          <w:tcPr>
            <w:tcW w:w="601" w:type="pct"/>
            <w:vAlign w:val="center"/>
            <w:hideMark/>
          </w:tcPr>
          <w:p w14:paraId="78FE16EB" w14:textId="0F5B588A"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7639034B" w14:textId="77777777" w:rsidTr="00800B85">
        <w:trPr>
          <w:trHeight w:val="855"/>
        </w:trPr>
        <w:tc>
          <w:tcPr>
            <w:tcW w:w="134" w:type="pct"/>
            <w:vMerge/>
            <w:vAlign w:val="center"/>
            <w:hideMark/>
          </w:tcPr>
          <w:p w14:paraId="1FAB86E6"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1262E5FF"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771E233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14</w:t>
            </w:r>
          </w:p>
        </w:tc>
        <w:tc>
          <w:tcPr>
            <w:tcW w:w="1429" w:type="pct"/>
            <w:vAlign w:val="center"/>
            <w:hideMark/>
          </w:tcPr>
          <w:p w14:paraId="5A396B3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881 na odcinku Pruchnik – Żurawica.</w:t>
            </w:r>
          </w:p>
        </w:tc>
        <w:tc>
          <w:tcPr>
            <w:tcW w:w="284" w:type="pct"/>
            <w:noWrap/>
            <w:vAlign w:val="center"/>
            <w:hideMark/>
          </w:tcPr>
          <w:p w14:paraId="67D3EBF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23,3</w:t>
            </w:r>
          </w:p>
        </w:tc>
        <w:tc>
          <w:tcPr>
            <w:tcW w:w="430" w:type="pct"/>
            <w:noWrap/>
            <w:vAlign w:val="center"/>
            <w:hideMark/>
          </w:tcPr>
          <w:p w14:paraId="481100C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249,54</w:t>
            </w:r>
          </w:p>
        </w:tc>
        <w:tc>
          <w:tcPr>
            <w:tcW w:w="198" w:type="pct"/>
            <w:noWrap/>
            <w:vAlign w:val="center"/>
            <w:hideMark/>
          </w:tcPr>
          <w:p w14:paraId="4F58CC0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25" w:type="pct"/>
            <w:noWrap/>
            <w:vAlign w:val="center"/>
            <w:hideMark/>
          </w:tcPr>
          <w:p w14:paraId="1C97352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6FDEFD7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58AFD34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6C49BC4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78" w:type="pct"/>
            <w:noWrap/>
            <w:vAlign w:val="center"/>
            <w:hideMark/>
          </w:tcPr>
          <w:p w14:paraId="63C926C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36E11CE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751F5CE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4F3BFB9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56</w:t>
            </w:r>
          </w:p>
        </w:tc>
        <w:tc>
          <w:tcPr>
            <w:tcW w:w="601" w:type="pct"/>
            <w:vAlign w:val="center"/>
            <w:hideMark/>
          </w:tcPr>
          <w:p w14:paraId="4B2F721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0AA4BA29" w14:textId="77777777" w:rsidTr="00800B85">
        <w:trPr>
          <w:trHeight w:val="855"/>
        </w:trPr>
        <w:tc>
          <w:tcPr>
            <w:tcW w:w="134" w:type="pct"/>
            <w:vMerge/>
            <w:vAlign w:val="center"/>
            <w:hideMark/>
          </w:tcPr>
          <w:p w14:paraId="044048C3"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313425B3"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38971B1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w:t>
            </w:r>
          </w:p>
        </w:tc>
        <w:tc>
          <w:tcPr>
            <w:tcW w:w="1429" w:type="pct"/>
            <w:vAlign w:val="center"/>
            <w:hideMark/>
          </w:tcPr>
          <w:p w14:paraId="17F7441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861 i drogi wojewódzkiej nr 863 odc. S19 Podgórze – Kopki - gr.woj - w. lubelskie - gr. woj. – Cieszanów, Etap I: S19 – DK 77.</w:t>
            </w:r>
          </w:p>
        </w:tc>
        <w:tc>
          <w:tcPr>
            <w:tcW w:w="284" w:type="pct"/>
            <w:noWrap/>
            <w:vAlign w:val="center"/>
            <w:hideMark/>
          </w:tcPr>
          <w:p w14:paraId="03FC983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10,7</w:t>
            </w:r>
          </w:p>
        </w:tc>
        <w:tc>
          <w:tcPr>
            <w:tcW w:w="430" w:type="pct"/>
            <w:noWrap/>
            <w:vAlign w:val="center"/>
            <w:hideMark/>
          </w:tcPr>
          <w:p w14:paraId="0C68A97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114,60</w:t>
            </w:r>
          </w:p>
        </w:tc>
        <w:tc>
          <w:tcPr>
            <w:tcW w:w="198" w:type="pct"/>
            <w:noWrap/>
            <w:vAlign w:val="center"/>
            <w:hideMark/>
          </w:tcPr>
          <w:p w14:paraId="2638E24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6F4DF7F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1D2F8D3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4449247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4508A68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77E92C7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475C67A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3F01BDB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40D746C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52</w:t>
            </w:r>
          </w:p>
        </w:tc>
        <w:tc>
          <w:tcPr>
            <w:tcW w:w="601" w:type="pct"/>
            <w:vAlign w:val="center"/>
            <w:hideMark/>
          </w:tcPr>
          <w:p w14:paraId="1DC4315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3C95132B" w14:textId="77777777" w:rsidTr="00800B85">
        <w:trPr>
          <w:trHeight w:val="855"/>
        </w:trPr>
        <w:tc>
          <w:tcPr>
            <w:tcW w:w="134" w:type="pct"/>
            <w:vMerge/>
            <w:vAlign w:val="center"/>
            <w:hideMark/>
          </w:tcPr>
          <w:p w14:paraId="6C86602D"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7A24A1C5"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6A5EF37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16</w:t>
            </w:r>
          </w:p>
        </w:tc>
        <w:tc>
          <w:tcPr>
            <w:tcW w:w="1429" w:type="pct"/>
            <w:vAlign w:val="center"/>
            <w:hideMark/>
          </w:tcPr>
          <w:p w14:paraId="57AFABB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Połączenie Przemyśla z Bieszczadami – odcinek Przemyśl – drogi wojewódzkiej nr 890.</w:t>
            </w:r>
          </w:p>
        </w:tc>
        <w:tc>
          <w:tcPr>
            <w:tcW w:w="284" w:type="pct"/>
            <w:noWrap/>
            <w:vAlign w:val="center"/>
            <w:hideMark/>
          </w:tcPr>
          <w:p w14:paraId="095AA8B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39,5</w:t>
            </w:r>
          </w:p>
        </w:tc>
        <w:tc>
          <w:tcPr>
            <w:tcW w:w="430" w:type="pct"/>
            <w:noWrap/>
            <w:vAlign w:val="center"/>
            <w:hideMark/>
          </w:tcPr>
          <w:p w14:paraId="7607B1F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523,77</w:t>
            </w:r>
          </w:p>
        </w:tc>
        <w:tc>
          <w:tcPr>
            <w:tcW w:w="198" w:type="pct"/>
            <w:noWrap/>
            <w:vAlign w:val="center"/>
            <w:hideMark/>
          </w:tcPr>
          <w:p w14:paraId="2043857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5963B7D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619080E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7FAD266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w:t>
            </w:r>
          </w:p>
        </w:tc>
        <w:tc>
          <w:tcPr>
            <w:tcW w:w="184" w:type="pct"/>
            <w:noWrap/>
            <w:vAlign w:val="center"/>
            <w:hideMark/>
          </w:tcPr>
          <w:p w14:paraId="30A7487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78" w:type="pct"/>
            <w:noWrap/>
            <w:vAlign w:val="center"/>
            <w:hideMark/>
          </w:tcPr>
          <w:p w14:paraId="1C949BA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0C254BD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0DDC151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4F22930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51</w:t>
            </w:r>
          </w:p>
        </w:tc>
        <w:tc>
          <w:tcPr>
            <w:tcW w:w="601" w:type="pct"/>
            <w:vAlign w:val="center"/>
            <w:hideMark/>
          </w:tcPr>
          <w:p w14:paraId="7C6EAAA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74EBD333" w14:textId="77777777" w:rsidTr="00800B85">
        <w:trPr>
          <w:trHeight w:val="855"/>
        </w:trPr>
        <w:tc>
          <w:tcPr>
            <w:tcW w:w="134" w:type="pct"/>
            <w:vMerge/>
            <w:vAlign w:val="center"/>
            <w:hideMark/>
          </w:tcPr>
          <w:p w14:paraId="3E0D3E73"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1D2195D9"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2C7E780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17</w:t>
            </w:r>
          </w:p>
        </w:tc>
        <w:tc>
          <w:tcPr>
            <w:tcW w:w="1429" w:type="pct"/>
            <w:vAlign w:val="center"/>
            <w:hideMark/>
          </w:tcPr>
          <w:p w14:paraId="0ACF885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Rozbudowa/przebudowa drogi wojewódzkiej nr 881 na odcinku Sokołów Małopolski – Czarna.</w:t>
            </w:r>
          </w:p>
        </w:tc>
        <w:tc>
          <w:tcPr>
            <w:tcW w:w="284" w:type="pct"/>
            <w:noWrap/>
            <w:vAlign w:val="center"/>
            <w:hideMark/>
          </w:tcPr>
          <w:p w14:paraId="56AE961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16,8</w:t>
            </w:r>
          </w:p>
        </w:tc>
        <w:tc>
          <w:tcPr>
            <w:tcW w:w="430" w:type="pct"/>
            <w:noWrap/>
            <w:vAlign w:val="center"/>
            <w:hideMark/>
          </w:tcPr>
          <w:p w14:paraId="02C0254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179,93</w:t>
            </w:r>
          </w:p>
        </w:tc>
        <w:tc>
          <w:tcPr>
            <w:tcW w:w="198" w:type="pct"/>
            <w:noWrap/>
            <w:vAlign w:val="center"/>
            <w:hideMark/>
          </w:tcPr>
          <w:p w14:paraId="2062EE7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25" w:type="pct"/>
            <w:noWrap/>
            <w:vAlign w:val="center"/>
            <w:hideMark/>
          </w:tcPr>
          <w:p w14:paraId="0E63CEC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2600C74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06EA4CA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658B9CA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3805816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4642BC0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0934A12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43162C2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51</w:t>
            </w:r>
          </w:p>
        </w:tc>
        <w:tc>
          <w:tcPr>
            <w:tcW w:w="601" w:type="pct"/>
            <w:vAlign w:val="center"/>
            <w:hideMark/>
          </w:tcPr>
          <w:p w14:paraId="44A7D03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1144FF5B" w14:textId="77777777" w:rsidTr="00800B85">
        <w:trPr>
          <w:trHeight w:val="855"/>
        </w:trPr>
        <w:tc>
          <w:tcPr>
            <w:tcW w:w="134" w:type="pct"/>
            <w:vMerge/>
            <w:vAlign w:val="center"/>
            <w:hideMark/>
          </w:tcPr>
          <w:p w14:paraId="16124A16"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56B0D986"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5995D7F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18</w:t>
            </w:r>
          </w:p>
        </w:tc>
        <w:tc>
          <w:tcPr>
            <w:tcW w:w="1429" w:type="pct"/>
            <w:vAlign w:val="center"/>
            <w:hideMark/>
          </w:tcPr>
          <w:p w14:paraId="648B53A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986 na odcinku Tuszyma – Ropczyce: Etap I Tuszyma-Ostrów</w:t>
            </w:r>
          </w:p>
        </w:tc>
        <w:tc>
          <w:tcPr>
            <w:tcW w:w="284" w:type="pct"/>
            <w:noWrap/>
            <w:vAlign w:val="center"/>
            <w:hideMark/>
          </w:tcPr>
          <w:p w14:paraId="50162D7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13,7</w:t>
            </w:r>
          </w:p>
        </w:tc>
        <w:tc>
          <w:tcPr>
            <w:tcW w:w="430" w:type="pct"/>
            <w:noWrap/>
            <w:vAlign w:val="center"/>
            <w:hideMark/>
          </w:tcPr>
          <w:p w14:paraId="7DDA7C8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146,73</w:t>
            </w:r>
          </w:p>
        </w:tc>
        <w:tc>
          <w:tcPr>
            <w:tcW w:w="198" w:type="pct"/>
            <w:noWrap/>
            <w:vAlign w:val="center"/>
            <w:hideMark/>
          </w:tcPr>
          <w:p w14:paraId="41E91D0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270AFC9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6B891A6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05C6AA5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84" w:type="pct"/>
            <w:noWrap/>
            <w:vAlign w:val="center"/>
            <w:hideMark/>
          </w:tcPr>
          <w:p w14:paraId="318101F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3D34B24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29A80FF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2F78EC6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4D118F9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50</w:t>
            </w:r>
          </w:p>
        </w:tc>
        <w:tc>
          <w:tcPr>
            <w:tcW w:w="601" w:type="pct"/>
            <w:vAlign w:val="center"/>
            <w:hideMark/>
          </w:tcPr>
          <w:p w14:paraId="35BF91B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722DC970" w14:textId="77777777" w:rsidTr="00800B85">
        <w:trPr>
          <w:trHeight w:val="855"/>
        </w:trPr>
        <w:tc>
          <w:tcPr>
            <w:tcW w:w="134" w:type="pct"/>
            <w:vMerge/>
            <w:vAlign w:val="center"/>
            <w:hideMark/>
          </w:tcPr>
          <w:p w14:paraId="1F05078C"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1EFF5643"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449CF7F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19</w:t>
            </w:r>
          </w:p>
        </w:tc>
        <w:tc>
          <w:tcPr>
            <w:tcW w:w="1429" w:type="pct"/>
            <w:vAlign w:val="center"/>
            <w:hideMark/>
          </w:tcPr>
          <w:p w14:paraId="54E2B93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Rozbudowa drogi wojewódzkiej nr 881 na odcinku Czarna-Łańcut wraz z budową mostu na rzece Mikośka.</w:t>
            </w:r>
          </w:p>
        </w:tc>
        <w:tc>
          <w:tcPr>
            <w:tcW w:w="284" w:type="pct"/>
            <w:noWrap/>
            <w:vAlign w:val="center"/>
            <w:hideMark/>
          </w:tcPr>
          <w:p w14:paraId="18E7788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3,5</w:t>
            </w:r>
          </w:p>
        </w:tc>
        <w:tc>
          <w:tcPr>
            <w:tcW w:w="430" w:type="pct"/>
            <w:noWrap/>
            <w:vAlign w:val="center"/>
            <w:hideMark/>
          </w:tcPr>
          <w:p w14:paraId="0308745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37,49</w:t>
            </w:r>
          </w:p>
        </w:tc>
        <w:tc>
          <w:tcPr>
            <w:tcW w:w="198" w:type="pct"/>
            <w:noWrap/>
            <w:vAlign w:val="center"/>
            <w:hideMark/>
          </w:tcPr>
          <w:p w14:paraId="7664138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25" w:type="pct"/>
            <w:noWrap/>
            <w:vAlign w:val="center"/>
            <w:hideMark/>
          </w:tcPr>
          <w:p w14:paraId="784D3D4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46343EC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5D5959D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47D88F7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5A053D9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1619D1B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778FCC0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6292DAE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46</w:t>
            </w:r>
          </w:p>
        </w:tc>
        <w:tc>
          <w:tcPr>
            <w:tcW w:w="601" w:type="pct"/>
            <w:vAlign w:val="center"/>
            <w:hideMark/>
          </w:tcPr>
          <w:p w14:paraId="36E45F6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4CC94410" w14:textId="77777777" w:rsidTr="00800B85">
        <w:trPr>
          <w:trHeight w:val="855"/>
        </w:trPr>
        <w:tc>
          <w:tcPr>
            <w:tcW w:w="134" w:type="pct"/>
            <w:vMerge/>
            <w:vAlign w:val="center"/>
            <w:hideMark/>
          </w:tcPr>
          <w:p w14:paraId="6195BCA8"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48735352"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0B5045E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1429" w:type="pct"/>
            <w:vAlign w:val="center"/>
            <w:hideMark/>
          </w:tcPr>
          <w:p w14:paraId="2196BC4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986 na odcinku Tuszyma – Ropczyce: Etap V Ropczyce-DK94</w:t>
            </w:r>
          </w:p>
        </w:tc>
        <w:tc>
          <w:tcPr>
            <w:tcW w:w="284" w:type="pct"/>
            <w:noWrap/>
            <w:vAlign w:val="center"/>
            <w:hideMark/>
          </w:tcPr>
          <w:p w14:paraId="2EC2F32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3,0</w:t>
            </w:r>
          </w:p>
        </w:tc>
        <w:tc>
          <w:tcPr>
            <w:tcW w:w="430" w:type="pct"/>
            <w:noWrap/>
            <w:vAlign w:val="center"/>
            <w:hideMark/>
          </w:tcPr>
          <w:p w14:paraId="07F7BBF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32,13</w:t>
            </w:r>
          </w:p>
        </w:tc>
        <w:tc>
          <w:tcPr>
            <w:tcW w:w="198" w:type="pct"/>
            <w:noWrap/>
            <w:vAlign w:val="center"/>
            <w:hideMark/>
          </w:tcPr>
          <w:p w14:paraId="45F302E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16C2D0F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4AD6D83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2F326D7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84" w:type="pct"/>
            <w:noWrap/>
            <w:vAlign w:val="center"/>
            <w:hideMark/>
          </w:tcPr>
          <w:p w14:paraId="3C9DFE6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14360B5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785DD27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4260BCA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143167C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45</w:t>
            </w:r>
          </w:p>
        </w:tc>
        <w:tc>
          <w:tcPr>
            <w:tcW w:w="601" w:type="pct"/>
            <w:vAlign w:val="center"/>
            <w:hideMark/>
          </w:tcPr>
          <w:p w14:paraId="4665DC8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4160B6E8" w14:textId="77777777" w:rsidTr="00800B85">
        <w:trPr>
          <w:trHeight w:val="1020"/>
        </w:trPr>
        <w:tc>
          <w:tcPr>
            <w:tcW w:w="134" w:type="pct"/>
            <w:vMerge/>
            <w:vAlign w:val="center"/>
            <w:hideMark/>
          </w:tcPr>
          <w:p w14:paraId="6044F5AC"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5091BBD9"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01E0510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21</w:t>
            </w:r>
          </w:p>
        </w:tc>
        <w:tc>
          <w:tcPr>
            <w:tcW w:w="1429" w:type="pct"/>
            <w:vAlign w:val="center"/>
            <w:hideMark/>
          </w:tcPr>
          <w:p w14:paraId="1591EB5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861 i drogi wojewódzkiej nr 863 odc. S19 Podgórze – Kopki - gr.woj - w. lubelskie - gr. woj. – Cieszanów, Etap III: gr. województwa – Cieszanów.</w:t>
            </w:r>
          </w:p>
        </w:tc>
        <w:tc>
          <w:tcPr>
            <w:tcW w:w="284" w:type="pct"/>
            <w:noWrap/>
            <w:vAlign w:val="center"/>
            <w:hideMark/>
          </w:tcPr>
          <w:p w14:paraId="19FE220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10,1</w:t>
            </w:r>
          </w:p>
        </w:tc>
        <w:tc>
          <w:tcPr>
            <w:tcW w:w="430" w:type="pct"/>
            <w:noWrap/>
            <w:vAlign w:val="center"/>
            <w:hideMark/>
          </w:tcPr>
          <w:p w14:paraId="456B501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108,17</w:t>
            </w:r>
          </w:p>
        </w:tc>
        <w:tc>
          <w:tcPr>
            <w:tcW w:w="198" w:type="pct"/>
            <w:noWrap/>
            <w:vAlign w:val="center"/>
            <w:hideMark/>
          </w:tcPr>
          <w:p w14:paraId="40EC400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25" w:type="pct"/>
            <w:noWrap/>
            <w:vAlign w:val="center"/>
            <w:hideMark/>
          </w:tcPr>
          <w:p w14:paraId="4260EC7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1B5C533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3FF24C5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84" w:type="pct"/>
            <w:noWrap/>
            <w:vAlign w:val="center"/>
            <w:hideMark/>
          </w:tcPr>
          <w:p w14:paraId="4D675EC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11ABC27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05506F0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98" w:type="pct"/>
            <w:noWrap/>
            <w:vAlign w:val="center"/>
            <w:hideMark/>
          </w:tcPr>
          <w:p w14:paraId="79C1306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036B6BE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29</w:t>
            </w:r>
          </w:p>
        </w:tc>
        <w:tc>
          <w:tcPr>
            <w:tcW w:w="601" w:type="pct"/>
            <w:vAlign w:val="center"/>
            <w:hideMark/>
          </w:tcPr>
          <w:p w14:paraId="4B16B66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3A1FDA7D" w14:textId="77777777" w:rsidTr="00800B85">
        <w:trPr>
          <w:trHeight w:val="975"/>
        </w:trPr>
        <w:tc>
          <w:tcPr>
            <w:tcW w:w="134" w:type="pct"/>
            <w:vMerge/>
            <w:vAlign w:val="center"/>
            <w:hideMark/>
          </w:tcPr>
          <w:p w14:paraId="3655B72D"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11610B79"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5301D76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22</w:t>
            </w:r>
          </w:p>
        </w:tc>
        <w:tc>
          <w:tcPr>
            <w:tcW w:w="1429" w:type="pct"/>
            <w:vAlign w:val="center"/>
            <w:hideMark/>
          </w:tcPr>
          <w:p w14:paraId="08B272D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861 i drogi wojewódzkiej nr 863 odc. S19 Podgórze – Kopki - gr.woj - w. lubelskie - gr. woj. – Cieszanów, Etap II: DK 77 – gr. woj.</w:t>
            </w:r>
          </w:p>
        </w:tc>
        <w:tc>
          <w:tcPr>
            <w:tcW w:w="284" w:type="pct"/>
            <w:noWrap/>
            <w:vAlign w:val="center"/>
            <w:hideMark/>
          </w:tcPr>
          <w:p w14:paraId="40EBD6A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12,3</w:t>
            </w:r>
          </w:p>
        </w:tc>
        <w:tc>
          <w:tcPr>
            <w:tcW w:w="430" w:type="pct"/>
            <w:noWrap/>
            <w:vAlign w:val="center"/>
            <w:hideMark/>
          </w:tcPr>
          <w:p w14:paraId="3296A1E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131,73</w:t>
            </w:r>
          </w:p>
        </w:tc>
        <w:tc>
          <w:tcPr>
            <w:tcW w:w="198" w:type="pct"/>
            <w:noWrap/>
            <w:vAlign w:val="center"/>
            <w:hideMark/>
          </w:tcPr>
          <w:p w14:paraId="57CD0D1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25" w:type="pct"/>
            <w:noWrap/>
            <w:vAlign w:val="center"/>
            <w:hideMark/>
          </w:tcPr>
          <w:p w14:paraId="707B980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5083FD4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7297E08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84" w:type="pct"/>
            <w:noWrap/>
            <w:vAlign w:val="center"/>
            <w:hideMark/>
          </w:tcPr>
          <w:p w14:paraId="478CCE0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7FC853C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434301D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98" w:type="pct"/>
            <w:noWrap/>
            <w:vAlign w:val="center"/>
            <w:hideMark/>
          </w:tcPr>
          <w:p w14:paraId="7CA9609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08EBDE3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23</w:t>
            </w:r>
          </w:p>
        </w:tc>
        <w:tc>
          <w:tcPr>
            <w:tcW w:w="601" w:type="pct"/>
            <w:vAlign w:val="center"/>
            <w:hideMark/>
          </w:tcPr>
          <w:p w14:paraId="5BB7ED8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FE54FA" w:rsidRPr="00070C2E" w14:paraId="4AB2EED8" w14:textId="77777777" w:rsidTr="00800B85">
        <w:trPr>
          <w:trHeight w:val="435"/>
        </w:trPr>
        <w:tc>
          <w:tcPr>
            <w:tcW w:w="134" w:type="pct"/>
            <w:vMerge/>
            <w:vAlign w:val="center"/>
            <w:hideMark/>
          </w:tcPr>
          <w:p w14:paraId="730DB8B6"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70740D02" w14:textId="77777777" w:rsidR="00FE54FA" w:rsidRPr="00070C2E" w:rsidRDefault="00FE54FA" w:rsidP="00800B85">
            <w:pPr>
              <w:jc w:val="center"/>
              <w:rPr>
                <w:rFonts w:ascii="Arial" w:hAnsi="Arial" w:cs="Arial"/>
                <w:b/>
                <w:bCs/>
                <w:color w:val="000000" w:themeColor="text1"/>
                <w:sz w:val="20"/>
                <w:szCs w:val="20"/>
              </w:rPr>
            </w:pPr>
          </w:p>
        </w:tc>
        <w:tc>
          <w:tcPr>
            <w:tcW w:w="1573" w:type="pct"/>
            <w:gridSpan w:val="2"/>
            <w:vAlign w:val="center"/>
            <w:hideMark/>
          </w:tcPr>
          <w:p w14:paraId="2F23FF56" w14:textId="63C95A64" w:rsidR="00FE54FA" w:rsidRPr="00070C2E" w:rsidRDefault="000A70B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S</w:t>
            </w:r>
            <w:r w:rsidR="00FE54FA" w:rsidRPr="00070C2E">
              <w:rPr>
                <w:rFonts w:ascii="Arial" w:hAnsi="Arial" w:cs="Arial"/>
                <w:color w:val="000000" w:themeColor="text1"/>
                <w:sz w:val="20"/>
                <w:szCs w:val="20"/>
              </w:rPr>
              <w:t>uma</w:t>
            </w:r>
          </w:p>
        </w:tc>
        <w:tc>
          <w:tcPr>
            <w:tcW w:w="284" w:type="pct"/>
            <w:noWrap/>
            <w:vAlign w:val="center"/>
            <w:hideMark/>
          </w:tcPr>
          <w:p w14:paraId="13075897"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291,94</w:t>
            </w:r>
          </w:p>
        </w:tc>
        <w:tc>
          <w:tcPr>
            <w:tcW w:w="430" w:type="pct"/>
            <w:noWrap/>
            <w:vAlign w:val="center"/>
            <w:hideMark/>
          </w:tcPr>
          <w:p w14:paraId="1BDE643C" w14:textId="0271530B" w:rsidR="00FE54FA" w:rsidRPr="00070C2E" w:rsidRDefault="00A451E9"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3 780,50</w:t>
            </w:r>
          </w:p>
        </w:tc>
        <w:tc>
          <w:tcPr>
            <w:tcW w:w="198" w:type="pct"/>
            <w:noWrap/>
            <w:vAlign w:val="center"/>
            <w:hideMark/>
          </w:tcPr>
          <w:p w14:paraId="3DB8214C" w14:textId="77777777" w:rsidR="00FE54FA" w:rsidRPr="00070C2E" w:rsidRDefault="00FE54FA" w:rsidP="00800B85">
            <w:pPr>
              <w:jc w:val="center"/>
              <w:rPr>
                <w:rFonts w:ascii="Arial" w:hAnsi="Arial" w:cs="Arial"/>
                <w:b/>
                <w:bCs/>
                <w:color w:val="000000" w:themeColor="text1"/>
                <w:sz w:val="20"/>
                <w:szCs w:val="20"/>
              </w:rPr>
            </w:pPr>
          </w:p>
        </w:tc>
        <w:tc>
          <w:tcPr>
            <w:tcW w:w="225" w:type="pct"/>
            <w:noWrap/>
            <w:vAlign w:val="center"/>
            <w:hideMark/>
          </w:tcPr>
          <w:p w14:paraId="5BE22FBB" w14:textId="77777777" w:rsidR="00FE54FA" w:rsidRPr="00070C2E" w:rsidRDefault="00FE54FA" w:rsidP="00800B85">
            <w:pPr>
              <w:jc w:val="center"/>
              <w:rPr>
                <w:rFonts w:ascii="Arial" w:hAnsi="Arial" w:cs="Arial"/>
                <w:color w:val="000000" w:themeColor="text1"/>
                <w:sz w:val="20"/>
                <w:szCs w:val="20"/>
              </w:rPr>
            </w:pPr>
          </w:p>
        </w:tc>
        <w:tc>
          <w:tcPr>
            <w:tcW w:w="212" w:type="pct"/>
            <w:noWrap/>
            <w:vAlign w:val="center"/>
            <w:hideMark/>
          </w:tcPr>
          <w:p w14:paraId="0F4E11F2" w14:textId="77777777" w:rsidR="00FE54FA" w:rsidRPr="00070C2E" w:rsidRDefault="00FE54FA" w:rsidP="00800B85">
            <w:pPr>
              <w:jc w:val="center"/>
              <w:rPr>
                <w:rFonts w:ascii="Arial" w:hAnsi="Arial" w:cs="Arial"/>
                <w:color w:val="000000" w:themeColor="text1"/>
                <w:sz w:val="20"/>
                <w:szCs w:val="20"/>
              </w:rPr>
            </w:pPr>
          </w:p>
        </w:tc>
        <w:tc>
          <w:tcPr>
            <w:tcW w:w="198" w:type="pct"/>
            <w:noWrap/>
            <w:vAlign w:val="center"/>
            <w:hideMark/>
          </w:tcPr>
          <w:p w14:paraId="411331CD" w14:textId="77777777" w:rsidR="00FE54FA" w:rsidRPr="00070C2E" w:rsidRDefault="00FE54FA" w:rsidP="00800B85">
            <w:pPr>
              <w:jc w:val="center"/>
              <w:rPr>
                <w:rFonts w:ascii="Arial" w:hAnsi="Arial" w:cs="Arial"/>
                <w:color w:val="000000" w:themeColor="text1"/>
                <w:sz w:val="20"/>
                <w:szCs w:val="20"/>
              </w:rPr>
            </w:pPr>
          </w:p>
        </w:tc>
        <w:tc>
          <w:tcPr>
            <w:tcW w:w="184" w:type="pct"/>
            <w:noWrap/>
            <w:vAlign w:val="center"/>
            <w:hideMark/>
          </w:tcPr>
          <w:p w14:paraId="186A6ADA" w14:textId="77777777" w:rsidR="00FE54FA" w:rsidRPr="00070C2E" w:rsidRDefault="00FE54FA" w:rsidP="00800B85">
            <w:pPr>
              <w:jc w:val="center"/>
              <w:rPr>
                <w:rFonts w:ascii="Arial" w:hAnsi="Arial" w:cs="Arial"/>
                <w:color w:val="000000" w:themeColor="text1"/>
                <w:sz w:val="20"/>
                <w:szCs w:val="20"/>
              </w:rPr>
            </w:pPr>
          </w:p>
        </w:tc>
        <w:tc>
          <w:tcPr>
            <w:tcW w:w="178" w:type="pct"/>
            <w:noWrap/>
            <w:vAlign w:val="center"/>
            <w:hideMark/>
          </w:tcPr>
          <w:p w14:paraId="4591FDD1" w14:textId="77777777" w:rsidR="00FE54FA" w:rsidRPr="00070C2E" w:rsidRDefault="00FE54FA" w:rsidP="00800B85">
            <w:pPr>
              <w:jc w:val="center"/>
              <w:rPr>
                <w:rFonts w:ascii="Arial" w:hAnsi="Arial" w:cs="Arial"/>
                <w:color w:val="000000" w:themeColor="text1"/>
                <w:sz w:val="20"/>
                <w:szCs w:val="20"/>
              </w:rPr>
            </w:pPr>
          </w:p>
        </w:tc>
        <w:tc>
          <w:tcPr>
            <w:tcW w:w="198" w:type="pct"/>
            <w:noWrap/>
            <w:vAlign w:val="center"/>
            <w:hideMark/>
          </w:tcPr>
          <w:p w14:paraId="0CC325DA" w14:textId="77777777" w:rsidR="00FE54FA" w:rsidRPr="00070C2E" w:rsidRDefault="00FE54FA" w:rsidP="00800B85">
            <w:pPr>
              <w:jc w:val="center"/>
              <w:rPr>
                <w:rFonts w:ascii="Arial" w:hAnsi="Arial" w:cs="Arial"/>
                <w:color w:val="000000" w:themeColor="text1"/>
                <w:sz w:val="20"/>
                <w:szCs w:val="20"/>
              </w:rPr>
            </w:pPr>
          </w:p>
        </w:tc>
        <w:tc>
          <w:tcPr>
            <w:tcW w:w="198" w:type="pct"/>
            <w:noWrap/>
            <w:vAlign w:val="center"/>
            <w:hideMark/>
          </w:tcPr>
          <w:p w14:paraId="358FD764" w14:textId="77777777" w:rsidR="00FE54FA" w:rsidRPr="00070C2E" w:rsidRDefault="00FE54FA" w:rsidP="00800B85">
            <w:pPr>
              <w:jc w:val="center"/>
              <w:rPr>
                <w:rFonts w:ascii="Arial" w:hAnsi="Arial" w:cs="Arial"/>
                <w:color w:val="000000" w:themeColor="text1"/>
                <w:sz w:val="20"/>
                <w:szCs w:val="20"/>
              </w:rPr>
            </w:pPr>
          </w:p>
        </w:tc>
        <w:tc>
          <w:tcPr>
            <w:tcW w:w="205" w:type="pct"/>
            <w:noWrap/>
            <w:vAlign w:val="center"/>
            <w:hideMark/>
          </w:tcPr>
          <w:p w14:paraId="6A46DDD5" w14:textId="77777777" w:rsidR="00FE54FA" w:rsidRPr="00070C2E" w:rsidRDefault="00FE54FA" w:rsidP="00800B85">
            <w:pPr>
              <w:jc w:val="center"/>
              <w:rPr>
                <w:rFonts w:ascii="Arial" w:hAnsi="Arial" w:cs="Arial"/>
                <w:color w:val="000000" w:themeColor="text1"/>
                <w:sz w:val="20"/>
                <w:szCs w:val="20"/>
              </w:rPr>
            </w:pPr>
          </w:p>
        </w:tc>
        <w:tc>
          <w:tcPr>
            <w:tcW w:w="601" w:type="pct"/>
            <w:noWrap/>
            <w:vAlign w:val="center"/>
            <w:hideMark/>
          </w:tcPr>
          <w:p w14:paraId="3BB931A9" w14:textId="3E60623A" w:rsidR="00FE54FA" w:rsidRPr="00070C2E" w:rsidRDefault="00FE54FA" w:rsidP="00800B85">
            <w:pPr>
              <w:jc w:val="center"/>
              <w:rPr>
                <w:rFonts w:ascii="Arial" w:hAnsi="Arial" w:cs="Arial"/>
                <w:color w:val="000000" w:themeColor="text1"/>
                <w:sz w:val="20"/>
                <w:szCs w:val="20"/>
              </w:rPr>
            </w:pPr>
          </w:p>
        </w:tc>
      </w:tr>
      <w:tr w:rsidR="00FE54FA" w:rsidRPr="00070C2E" w14:paraId="040E729B" w14:textId="77777777" w:rsidTr="00800B85">
        <w:trPr>
          <w:trHeight w:val="600"/>
        </w:trPr>
        <w:tc>
          <w:tcPr>
            <w:tcW w:w="5000" w:type="pct"/>
            <w:gridSpan w:val="16"/>
            <w:vAlign w:val="center"/>
            <w:hideMark/>
          </w:tcPr>
          <w:p w14:paraId="4D81B520"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Inwestycje dotyczące dróg wojewódzkich i podległej infrastruktury drogowej</w:t>
            </w:r>
          </w:p>
        </w:tc>
      </w:tr>
      <w:tr w:rsidR="00070C2E" w:rsidRPr="00070C2E" w14:paraId="59B24F37" w14:textId="77777777" w:rsidTr="00800B85">
        <w:trPr>
          <w:trHeight w:val="855"/>
        </w:trPr>
        <w:tc>
          <w:tcPr>
            <w:tcW w:w="134" w:type="pct"/>
            <w:vMerge w:val="restart"/>
            <w:noWrap/>
            <w:textDirection w:val="btLr"/>
            <w:vAlign w:val="center"/>
            <w:hideMark/>
          </w:tcPr>
          <w:p w14:paraId="394F5FF4" w14:textId="77777777" w:rsidR="00FE54FA" w:rsidRPr="00070C2E" w:rsidRDefault="00FE54FA" w:rsidP="00800B85">
            <w:pPr>
              <w:jc w:val="center"/>
              <w:rPr>
                <w:rFonts w:ascii="Arial" w:hAnsi="Arial" w:cs="Arial"/>
                <w:b/>
                <w:bCs/>
                <w:color w:val="000000" w:themeColor="text1"/>
                <w:sz w:val="18"/>
                <w:szCs w:val="18"/>
              </w:rPr>
            </w:pPr>
            <w:r w:rsidRPr="00070C2E">
              <w:rPr>
                <w:rFonts w:ascii="Arial" w:hAnsi="Arial" w:cs="Arial"/>
                <w:b/>
                <w:bCs/>
                <w:color w:val="000000" w:themeColor="text1"/>
                <w:sz w:val="18"/>
                <w:szCs w:val="18"/>
              </w:rPr>
              <w:t>Priorytet B</w:t>
            </w:r>
          </w:p>
        </w:tc>
        <w:tc>
          <w:tcPr>
            <w:tcW w:w="183" w:type="pct"/>
            <w:vMerge w:val="restart"/>
            <w:noWrap/>
            <w:textDirection w:val="btLr"/>
            <w:vAlign w:val="center"/>
            <w:hideMark/>
          </w:tcPr>
          <w:p w14:paraId="3520DD99" w14:textId="77777777" w:rsidR="00FE54FA" w:rsidRPr="00070C2E" w:rsidRDefault="00FE54FA" w:rsidP="00800B85">
            <w:pPr>
              <w:jc w:val="center"/>
              <w:rPr>
                <w:rFonts w:ascii="Arial" w:hAnsi="Arial" w:cs="Arial"/>
                <w:b/>
                <w:bCs/>
                <w:color w:val="000000" w:themeColor="text1"/>
                <w:sz w:val="18"/>
                <w:szCs w:val="18"/>
              </w:rPr>
            </w:pPr>
            <w:r w:rsidRPr="00070C2E">
              <w:rPr>
                <w:rFonts w:ascii="Arial" w:hAnsi="Arial" w:cs="Arial"/>
                <w:b/>
                <w:bCs/>
                <w:color w:val="000000" w:themeColor="text1"/>
                <w:sz w:val="18"/>
                <w:szCs w:val="18"/>
              </w:rPr>
              <w:t>FEP 2021 - 2027</w:t>
            </w:r>
          </w:p>
        </w:tc>
        <w:tc>
          <w:tcPr>
            <w:tcW w:w="144" w:type="pct"/>
            <w:vAlign w:val="center"/>
            <w:hideMark/>
          </w:tcPr>
          <w:p w14:paraId="48E1F4C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w:t>
            </w:r>
          </w:p>
        </w:tc>
        <w:tc>
          <w:tcPr>
            <w:tcW w:w="1429" w:type="pct"/>
            <w:vAlign w:val="center"/>
            <w:hideMark/>
          </w:tcPr>
          <w:p w14:paraId="1F7820A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 i rozbudowa drogi wojewódzkiej nr 835 na odcinku Kańczuga-Grabownica Starzeńska.</w:t>
            </w:r>
          </w:p>
        </w:tc>
        <w:tc>
          <w:tcPr>
            <w:tcW w:w="284" w:type="pct"/>
            <w:noWrap/>
            <w:vAlign w:val="center"/>
            <w:hideMark/>
          </w:tcPr>
          <w:p w14:paraId="5E888C0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49,0</w:t>
            </w:r>
          </w:p>
        </w:tc>
        <w:tc>
          <w:tcPr>
            <w:tcW w:w="430" w:type="pct"/>
            <w:noWrap/>
            <w:vAlign w:val="center"/>
            <w:hideMark/>
          </w:tcPr>
          <w:p w14:paraId="377052E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649,74</w:t>
            </w:r>
          </w:p>
        </w:tc>
        <w:tc>
          <w:tcPr>
            <w:tcW w:w="198" w:type="pct"/>
            <w:noWrap/>
            <w:vAlign w:val="center"/>
            <w:hideMark/>
          </w:tcPr>
          <w:p w14:paraId="6B28BBB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14B6088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267169E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67F7798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15</w:t>
            </w:r>
          </w:p>
        </w:tc>
        <w:tc>
          <w:tcPr>
            <w:tcW w:w="184" w:type="pct"/>
            <w:noWrap/>
            <w:vAlign w:val="center"/>
            <w:hideMark/>
          </w:tcPr>
          <w:p w14:paraId="1BFD66D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635F0E2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50B0173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0E7843C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36CDAB4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82</w:t>
            </w:r>
          </w:p>
        </w:tc>
        <w:tc>
          <w:tcPr>
            <w:tcW w:w="601" w:type="pct"/>
            <w:vAlign w:val="center"/>
            <w:hideMark/>
          </w:tcPr>
          <w:p w14:paraId="0B305ED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7CBAD766" w14:textId="77777777" w:rsidTr="00800B85">
        <w:trPr>
          <w:trHeight w:val="855"/>
        </w:trPr>
        <w:tc>
          <w:tcPr>
            <w:tcW w:w="134" w:type="pct"/>
            <w:vMerge/>
            <w:vAlign w:val="center"/>
            <w:hideMark/>
          </w:tcPr>
          <w:p w14:paraId="2895E246"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1916637C"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0AF34D8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w:t>
            </w:r>
          </w:p>
        </w:tc>
        <w:tc>
          <w:tcPr>
            <w:tcW w:w="1429" w:type="pct"/>
            <w:vAlign w:val="center"/>
            <w:hideMark/>
          </w:tcPr>
          <w:p w14:paraId="32F2512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Budowa obwodnicy Pruchnika w ciągu drogi wojewódzkiej nr 881.</w:t>
            </w:r>
          </w:p>
        </w:tc>
        <w:tc>
          <w:tcPr>
            <w:tcW w:w="284" w:type="pct"/>
            <w:noWrap/>
            <w:vAlign w:val="center"/>
            <w:hideMark/>
          </w:tcPr>
          <w:p w14:paraId="1520B4A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1,3</w:t>
            </w:r>
          </w:p>
        </w:tc>
        <w:tc>
          <w:tcPr>
            <w:tcW w:w="430" w:type="pct"/>
            <w:noWrap/>
            <w:vAlign w:val="center"/>
            <w:hideMark/>
          </w:tcPr>
          <w:p w14:paraId="22BEBF2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27,85</w:t>
            </w:r>
          </w:p>
        </w:tc>
        <w:tc>
          <w:tcPr>
            <w:tcW w:w="198" w:type="pct"/>
            <w:noWrap/>
            <w:vAlign w:val="center"/>
            <w:hideMark/>
          </w:tcPr>
          <w:p w14:paraId="0AB7671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38FB0B9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11F7793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5DF20E0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2A10A3E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5B6C460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63C68EF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5366BA0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26FC39E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72</w:t>
            </w:r>
          </w:p>
        </w:tc>
        <w:tc>
          <w:tcPr>
            <w:tcW w:w="601" w:type="pct"/>
            <w:vAlign w:val="center"/>
            <w:hideMark/>
          </w:tcPr>
          <w:p w14:paraId="3546EB3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6C194BC9" w14:textId="77777777" w:rsidTr="00800B85">
        <w:trPr>
          <w:trHeight w:val="855"/>
        </w:trPr>
        <w:tc>
          <w:tcPr>
            <w:tcW w:w="134" w:type="pct"/>
            <w:vMerge/>
            <w:vAlign w:val="center"/>
            <w:hideMark/>
          </w:tcPr>
          <w:p w14:paraId="26E66143"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6F2E0EE5"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54FE52F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429" w:type="pct"/>
            <w:vAlign w:val="center"/>
            <w:hideMark/>
          </w:tcPr>
          <w:p w14:paraId="3BC0A2D2" w14:textId="12A51879"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Budowa łącznika autostrady A4 od węzła Dębica Wschód z drogą wojewódzką nr 985 Dębica - Tarnobrzeg w kierunku Brzeźnicy</w:t>
            </w:r>
          </w:p>
        </w:tc>
        <w:tc>
          <w:tcPr>
            <w:tcW w:w="284" w:type="pct"/>
            <w:noWrap/>
            <w:vAlign w:val="center"/>
            <w:hideMark/>
          </w:tcPr>
          <w:p w14:paraId="68331FC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3,9</w:t>
            </w:r>
          </w:p>
        </w:tc>
        <w:tc>
          <w:tcPr>
            <w:tcW w:w="430" w:type="pct"/>
            <w:noWrap/>
            <w:vAlign w:val="center"/>
            <w:hideMark/>
          </w:tcPr>
          <w:p w14:paraId="0C56750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83,54</w:t>
            </w:r>
          </w:p>
        </w:tc>
        <w:tc>
          <w:tcPr>
            <w:tcW w:w="198" w:type="pct"/>
            <w:noWrap/>
            <w:vAlign w:val="center"/>
            <w:hideMark/>
          </w:tcPr>
          <w:p w14:paraId="6BD34FD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24AA2EC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2FD1CCD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1EABCBD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84" w:type="pct"/>
            <w:noWrap/>
            <w:vAlign w:val="center"/>
            <w:hideMark/>
          </w:tcPr>
          <w:p w14:paraId="3FB8B7E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2C72D70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4CAF17E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7434F14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2E18198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66</w:t>
            </w:r>
          </w:p>
        </w:tc>
        <w:tc>
          <w:tcPr>
            <w:tcW w:w="601" w:type="pct"/>
            <w:vAlign w:val="center"/>
            <w:hideMark/>
          </w:tcPr>
          <w:p w14:paraId="6D979AC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6FC0228C" w14:textId="77777777" w:rsidTr="00800B85">
        <w:trPr>
          <w:trHeight w:val="855"/>
        </w:trPr>
        <w:tc>
          <w:tcPr>
            <w:tcW w:w="134" w:type="pct"/>
            <w:vMerge/>
            <w:vAlign w:val="center"/>
            <w:hideMark/>
          </w:tcPr>
          <w:p w14:paraId="217D3E28"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5CC639CE"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3BA4734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w:t>
            </w:r>
          </w:p>
        </w:tc>
        <w:tc>
          <w:tcPr>
            <w:tcW w:w="1429" w:type="pct"/>
            <w:vAlign w:val="center"/>
            <w:hideMark/>
          </w:tcPr>
          <w:p w14:paraId="2EE7EDD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861 na odcinku Bojanów – Jeżowe.</w:t>
            </w:r>
          </w:p>
        </w:tc>
        <w:tc>
          <w:tcPr>
            <w:tcW w:w="284" w:type="pct"/>
            <w:noWrap/>
            <w:vAlign w:val="center"/>
            <w:hideMark/>
          </w:tcPr>
          <w:p w14:paraId="129B688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16,2</w:t>
            </w:r>
          </w:p>
        </w:tc>
        <w:tc>
          <w:tcPr>
            <w:tcW w:w="430" w:type="pct"/>
            <w:noWrap/>
            <w:vAlign w:val="center"/>
            <w:hideMark/>
          </w:tcPr>
          <w:p w14:paraId="6F05072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173,50</w:t>
            </w:r>
          </w:p>
        </w:tc>
        <w:tc>
          <w:tcPr>
            <w:tcW w:w="198" w:type="pct"/>
            <w:noWrap/>
            <w:vAlign w:val="center"/>
            <w:hideMark/>
          </w:tcPr>
          <w:p w14:paraId="2EF18C9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03AC244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7DF9597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61EA0C9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6AF2A98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7A5F106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2C0580F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6A3117B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7868743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61</w:t>
            </w:r>
          </w:p>
        </w:tc>
        <w:tc>
          <w:tcPr>
            <w:tcW w:w="601" w:type="pct"/>
            <w:vAlign w:val="center"/>
            <w:hideMark/>
          </w:tcPr>
          <w:p w14:paraId="5A404C6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3779E8F4" w14:textId="77777777" w:rsidTr="00800B85">
        <w:trPr>
          <w:trHeight w:val="855"/>
        </w:trPr>
        <w:tc>
          <w:tcPr>
            <w:tcW w:w="134" w:type="pct"/>
            <w:vMerge/>
            <w:vAlign w:val="center"/>
            <w:hideMark/>
          </w:tcPr>
          <w:p w14:paraId="38FA3CDC"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72FDA241"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07468BC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429" w:type="pct"/>
            <w:vAlign w:val="center"/>
            <w:hideMark/>
          </w:tcPr>
          <w:p w14:paraId="386C3392" w14:textId="62A8A5C8"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986 na odcinku Ropczyce - Wiśniowa.</w:t>
            </w:r>
          </w:p>
        </w:tc>
        <w:tc>
          <w:tcPr>
            <w:tcW w:w="284" w:type="pct"/>
            <w:noWrap/>
            <w:vAlign w:val="center"/>
            <w:hideMark/>
          </w:tcPr>
          <w:p w14:paraId="2A03345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27,7</w:t>
            </w:r>
          </w:p>
        </w:tc>
        <w:tc>
          <w:tcPr>
            <w:tcW w:w="430" w:type="pct"/>
            <w:noWrap/>
            <w:vAlign w:val="center"/>
            <w:hideMark/>
          </w:tcPr>
          <w:p w14:paraId="57FADDD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296,67</w:t>
            </w:r>
          </w:p>
        </w:tc>
        <w:tc>
          <w:tcPr>
            <w:tcW w:w="198" w:type="pct"/>
            <w:noWrap/>
            <w:vAlign w:val="center"/>
            <w:hideMark/>
          </w:tcPr>
          <w:p w14:paraId="4E1C855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3733984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5166589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5E61E03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84" w:type="pct"/>
            <w:noWrap/>
            <w:vAlign w:val="center"/>
            <w:hideMark/>
          </w:tcPr>
          <w:p w14:paraId="6BE46B4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34F3C0C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0637919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1CD9655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5B125EE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57</w:t>
            </w:r>
          </w:p>
        </w:tc>
        <w:tc>
          <w:tcPr>
            <w:tcW w:w="601" w:type="pct"/>
            <w:vAlign w:val="center"/>
            <w:hideMark/>
          </w:tcPr>
          <w:p w14:paraId="6ACF8DA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6D575D1E" w14:textId="77777777" w:rsidTr="00800B85">
        <w:trPr>
          <w:trHeight w:val="855"/>
        </w:trPr>
        <w:tc>
          <w:tcPr>
            <w:tcW w:w="134" w:type="pct"/>
            <w:vMerge/>
            <w:vAlign w:val="center"/>
            <w:hideMark/>
          </w:tcPr>
          <w:p w14:paraId="5AEAB5C6"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794C64A9"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02BEB1A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429" w:type="pct"/>
            <w:vAlign w:val="center"/>
            <w:hideMark/>
          </w:tcPr>
          <w:p w14:paraId="68B198F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991.</w:t>
            </w:r>
          </w:p>
        </w:tc>
        <w:tc>
          <w:tcPr>
            <w:tcW w:w="284" w:type="pct"/>
            <w:noWrap/>
            <w:vAlign w:val="center"/>
            <w:hideMark/>
          </w:tcPr>
          <w:p w14:paraId="0047663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16,7</w:t>
            </w:r>
          </w:p>
        </w:tc>
        <w:tc>
          <w:tcPr>
            <w:tcW w:w="430" w:type="pct"/>
            <w:noWrap/>
            <w:vAlign w:val="center"/>
            <w:hideMark/>
          </w:tcPr>
          <w:p w14:paraId="4E2985A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221,44</w:t>
            </w:r>
          </w:p>
        </w:tc>
        <w:tc>
          <w:tcPr>
            <w:tcW w:w="198" w:type="pct"/>
            <w:noWrap/>
            <w:vAlign w:val="center"/>
            <w:hideMark/>
          </w:tcPr>
          <w:p w14:paraId="29F9358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5888614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0309A33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23C7191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84" w:type="pct"/>
            <w:noWrap/>
            <w:vAlign w:val="center"/>
            <w:hideMark/>
          </w:tcPr>
          <w:p w14:paraId="281A9CB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78" w:type="pct"/>
            <w:noWrap/>
            <w:vAlign w:val="center"/>
            <w:hideMark/>
          </w:tcPr>
          <w:p w14:paraId="1FF9FD2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5471AC9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27F7EF0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6D98EFB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52</w:t>
            </w:r>
          </w:p>
        </w:tc>
        <w:tc>
          <w:tcPr>
            <w:tcW w:w="601" w:type="pct"/>
            <w:vAlign w:val="center"/>
            <w:hideMark/>
          </w:tcPr>
          <w:p w14:paraId="1F32724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7A8A9F40" w14:textId="77777777" w:rsidTr="00800B85">
        <w:trPr>
          <w:trHeight w:val="855"/>
        </w:trPr>
        <w:tc>
          <w:tcPr>
            <w:tcW w:w="134" w:type="pct"/>
            <w:vMerge/>
            <w:vAlign w:val="center"/>
            <w:hideMark/>
          </w:tcPr>
          <w:p w14:paraId="4B9C38BD"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433999C7"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13CD4F7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7</w:t>
            </w:r>
          </w:p>
        </w:tc>
        <w:tc>
          <w:tcPr>
            <w:tcW w:w="1429" w:type="pct"/>
            <w:vAlign w:val="center"/>
            <w:hideMark/>
          </w:tcPr>
          <w:p w14:paraId="466D8E52" w14:textId="7AECE2F6"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889 Sieniawa - Bukowsko - Szczawne</w:t>
            </w:r>
          </w:p>
        </w:tc>
        <w:tc>
          <w:tcPr>
            <w:tcW w:w="284" w:type="pct"/>
            <w:noWrap/>
            <w:vAlign w:val="center"/>
            <w:hideMark/>
          </w:tcPr>
          <w:p w14:paraId="73F9CBA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31,7</w:t>
            </w:r>
          </w:p>
        </w:tc>
        <w:tc>
          <w:tcPr>
            <w:tcW w:w="430" w:type="pct"/>
            <w:noWrap/>
            <w:vAlign w:val="center"/>
            <w:hideMark/>
          </w:tcPr>
          <w:p w14:paraId="5107E7F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339,51</w:t>
            </w:r>
          </w:p>
        </w:tc>
        <w:tc>
          <w:tcPr>
            <w:tcW w:w="198" w:type="pct"/>
            <w:noWrap/>
            <w:vAlign w:val="center"/>
            <w:hideMark/>
          </w:tcPr>
          <w:p w14:paraId="375BD90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59A1047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12" w:type="pct"/>
            <w:noWrap/>
            <w:vAlign w:val="center"/>
            <w:hideMark/>
          </w:tcPr>
          <w:p w14:paraId="1135CBF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57DE57B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84" w:type="pct"/>
            <w:noWrap/>
            <w:vAlign w:val="center"/>
            <w:hideMark/>
          </w:tcPr>
          <w:p w14:paraId="07D7B59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795D23F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053A701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2DEBBBD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4792D10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51</w:t>
            </w:r>
          </w:p>
        </w:tc>
        <w:tc>
          <w:tcPr>
            <w:tcW w:w="601" w:type="pct"/>
            <w:vAlign w:val="center"/>
            <w:hideMark/>
          </w:tcPr>
          <w:p w14:paraId="66698E7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5D6F57DD" w14:textId="77777777" w:rsidTr="00800B85">
        <w:trPr>
          <w:trHeight w:val="855"/>
        </w:trPr>
        <w:tc>
          <w:tcPr>
            <w:tcW w:w="134" w:type="pct"/>
            <w:vMerge/>
            <w:vAlign w:val="center"/>
            <w:hideMark/>
          </w:tcPr>
          <w:p w14:paraId="330C5369"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7AE8B20A"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4C03341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8</w:t>
            </w:r>
          </w:p>
        </w:tc>
        <w:tc>
          <w:tcPr>
            <w:tcW w:w="1429" w:type="pct"/>
            <w:vAlign w:val="center"/>
            <w:hideMark/>
          </w:tcPr>
          <w:p w14:paraId="31F296B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Budowa nowego odcinka drogi wojewódzkiej nr 870  od m. Szówsko do m. Koniaczów.</w:t>
            </w:r>
          </w:p>
        </w:tc>
        <w:tc>
          <w:tcPr>
            <w:tcW w:w="284" w:type="pct"/>
            <w:noWrap/>
            <w:vAlign w:val="center"/>
            <w:hideMark/>
          </w:tcPr>
          <w:p w14:paraId="428C0EE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2,4</w:t>
            </w:r>
          </w:p>
        </w:tc>
        <w:tc>
          <w:tcPr>
            <w:tcW w:w="430" w:type="pct"/>
            <w:noWrap/>
            <w:vAlign w:val="center"/>
            <w:hideMark/>
          </w:tcPr>
          <w:p w14:paraId="1225289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51,41</w:t>
            </w:r>
          </w:p>
        </w:tc>
        <w:tc>
          <w:tcPr>
            <w:tcW w:w="198" w:type="pct"/>
            <w:noWrap/>
            <w:vAlign w:val="center"/>
            <w:hideMark/>
          </w:tcPr>
          <w:p w14:paraId="3691D1F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25" w:type="pct"/>
            <w:noWrap/>
            <w:vAlign w:val="center"/>
            <w:hideMark/>
          </w:tcPr>
          <w:p w14:paraId="1330A64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4C68D34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6C7F306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184" w:type="pct"/>
            <w:noWrap/>
            <w:vAlign w:val="center"/>
            <w:hideMark/>
          </w:tcPr>
          <w:p w14:paraId="66719E5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2FD33F4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5630377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98" w:type="pct"/>
            <w:noWrap/>
            <w:vAlign w:val="center"/>
            <w:hideMark/>
          </w:tcPr>
          <w:p w14:paraId="12CC25C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3CD0EA9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49</w:t>
            </w:r>
          </w:p>
        </w:tc>
        <w:tc>
          <w:tcPr>
            <w:tcW w:w="601" w:type="pct"/>
            <w:vAlign w:val="center"/>
            <w:hideMark/>
          </w:tcPr>
          <w:p w14:paraId="35C4E41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345B750F" w14:textId="77777777" w:rsidTr="00800B85">
        <w:trPr>
          <w:trHeight w:val="855"/>
        </w:trPr>
        <w:tc>
          <w:tcPr>
            <w:tcW w:w="134" w:type="pct"/>
            <w:vMerge/>
            <w:vAlign w:val="center"/>
            <w:hideMark/>
          </w:tcPr>
          <w:p w14:paraId="138AAFC0"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4A8512E5"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6E32B33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9</w:t>
            </w:r>
          </w:p>
        </w:tc>
        <w:tc>
          <w:tcPr>
            <w:tcW w:w="1429" w:type="pct"/>
            <w:vAlign w:val="center"/>
            <w:hideMark/>
          </w:tcPr>
          <w:p w14:paraId="2A12C8AF" w14:textId="5807B5C2"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Budowa nowego odcinka drogi wojewódzki</w:t>
            </w:r>
            <w:r w:rsidR="00070C2E">
              <w:rPr>
                <w:rFonts w:ascii="Arial" w:hAnsi="Arial" w:cs="Arial"/>
                <w:color w:val="000000" w:themeColor="text1"/>
                <w:sz w:val="20"/>
                <w:szCs w:val="20"/>
              </w:rPr>
              <w:t>ej nr 993 do węzła S19 "Dukla"</w:t>
            </w:r>
          </w:p>
        </w:tc>
        <w:tc>
          <w:tcPr>
            <w:tcW w:w="284" w:type="pct"/>
            <w:noWrap/>
            <w:vAlign w:val="center"/>
            <w:hideMark/>
          </w:tcPr>
          <w:p w14:paraId="2DA9AAE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3,0</w:t>
            </w:r>
          </w:p>
        </w:tc>
        <w:tc>
          <w:tcPr>
            <w:tcW w:w="430" w:type="pct"/>
            <w:noWrap/>
            <w:vAlign w:val="center"/>
            <w:hideMark/>
          </w:tcPr>
          <w:p w14:paraId="610F3FA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64,26</w:t>
            </w:r>
          </w:p>
        </w:tc>
        <w:tc>
          <w:tcPr>
            <w:tcW w:w="198" w:type="pct"/>
            <w:noWrap/>
            <w:vAlign w:val="center"/>
            <w:hideMark/>
          </w:tcPr>
          <w:p w14:paraId="2108F52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6FB1C80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1254E11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5D4ACEC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19EC337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158011E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6D3BE6C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2E10E637"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05" w:type="pct"/>
            <w:noWrap/>
            <w:vAlign w:val="center"/>
            <w:hideMark/>
          </w:tcPr>
          <w:p w14:paraId="595C8CF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46</w:t>
            </w:r>
          </w:p>
        </w:tc>
        <w:tc>
          <w:tcPr>
            <w:tcW w:w="601" w:type="pct"/>
            <w:vAlign w:val="center"/>
            <w:hideMark/>
          </w:tcPr>
          <w:p w14:paraId="4E97E5E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2E88991D" w14:textId="77777777" w:rsidTr="00800B85">
        <w:trPr>
          <w:trHeight w:val="855"/>
        </w:trPr>
        <w:tc>
          <w:tcPr>
            <w:tcW w:w="134" w:type="pct"/>
            <w:vMerge/>
            <w:vAlign w:val="center"/>
            <w:hideMark/>
          </w:tcPr>
          <w:p w14:paraId="33A68562"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1657DEA4"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4404EB7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429" w:type="pct"/>
            <w:vAlign w:val="center"/>
            <w:hideMark/>
          </w:tcPr>
          <w:p w14:paraId="0BCAA67A" w14:textId="6CCBFA7D"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887 Brzozów - Rymanów - Daliowa</w:t>
            </w:r>
          </w:p>
        </w:tc>
        <w:tc>
          <w:tcPr>
            <w:tcW w:w="284" w:type="pct"/>
            <w:noWrap/>
            <w:vAlign w:val="center"/>
            <w:hideMark/>
          </w:tcPr>
          <w:p w14:paraId="7861532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39,0</w:t>
            </w:r>
          </w:p>
        </w:tc>
        <w:tc>
          <w:tcPr>
            <w:tcW w:w="430" w:type="pct"/>
            <w:noWrap/>
            <w:vAlign w:val="center"/>
            <w:hideMark/>
          </w:tcPr>
          <w:p w14:paraId="48C0389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517,14</w:t>
            </w:r>
          </w:p>
        </w:tc>
        <w:tc>
          <w:tcPr>
            <w:tcW w:w="198" w:type="pct"/>
            <w:noWrap/>
            <w:vAlign w:val="center"/>
            <w:hideMark/>
          </w:tcPr>
          <w:p w14:paraId="1148CE7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20</w:t>
            </w:r>
          </w:p>
        </w:tc>
        <w:tc>
          <w:tcPr>
            <w:tcW w:w="225" w:type="pct"/>
            <w:noWrap/>
            <w:vAlign w:val="center"/>
            <w:hideMark/>
          </w:tcPr>
          <w:p w14:paraId="312515C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76C2354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98" w:type="pct"/>
            <w:noWrap/>
            <w:vAlign w:val="center"/>
            <w:hideMark/>
          </w:tcPr>
          <w:p w14:paraId="1382126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84" w:type="pct"/>
            <w:noWrap/>
            <w:vAlign w:val="center"/>
            <w:hideMark/>
          </w:tcPr>
          <w:p w14:paraId="0007A7D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78" w:type="pct"/>
            <w:noWrap/>
            <w:vAlign w:val="center"/>
            <w:hideMark/>
          </w:tcPr>
          <w:p w14:paraId="40BEE16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75DB429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98" w:type="pct"/>
            <w:noWrap/>
            <w:vAlign w:val="center"/>
            <w:hideMark/>
          </w:tcPr>
          <w:p w14:paraId="77970F4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7931B7A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44</w:t>
            </w:r>
          </w:p>
        </w:tc>
        <w:tc>
          <w:tcPr>
            <w:tcW w:w="601" w:type="pct"/>
            <w:vAlign w:val="center"/>
            <w:hideMark/>
          </w:tcPr>
          <w:p w14:paraId="0360AAE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4462D7B6" w14:textId="77777777" w:rsidTr="00800B85">
        <w:trPr>
          <w:trHeight w:val="855"/>
        </w:trPr>
        <w:tc>
          <w:tcPr>
            <w:tcW w:w="134" w:type="pct"/>
            <w:vMerge/>
            <w:vAlign w:val="center"/>
            <w:hideMark/>
          </w:tcPr>
          <w:p w14:paraId="4966AE6C"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033E4A9E"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07C139A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11</w:t>
            </w:r>
          </w:p>
        </w:tc>
        <w:tc>
          <w:tcPr>
            <w:tcW w:w="1429" w:type="pct"/>
            <w:vAlign w:val="center"/>
            <w:hideMark/>
          </w:tcPr>
          <w:p w14:paraId="1ACDCCF5" w14:textId="685588D1"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Budowa drogi wojewódzkiej nr 872 w Nisku (łącznik do DK 19).</w:t>
            </w:r>
          </w:p>
        </w:tc>
        <w:tc>
          <w:tcPr>
            <w:tcW w:w="284" w:type="pct"/>
            <w:noWrap/>
            <w:vAlign w:val="center"/>
            <w:hideMark/>
          </w:tcPr>
          <w:p w14:paraId="643CA53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2,65</w:t>
            </w:r>
          </w:p>
        </w:tc>
        <w:tc>
          <w:tcPr>
            <w:tcW w:w="430" w:type="pct"/>
            <w:noWrap/>
            <w:vAlign w:val="center"/>
            <w:hideMark/>
          </w:tcPr>
          <w:p w14:paraId="059A1D5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56,76</w:t>
            </w:r>
          </w:p>
        </w:tc>
        <w:tc>
          <w:tcPr>
            <w:tcW w:w="198" w:type="pct"/>
            <w:noWrap/>
            <w:vAlign w:val="center"/>
            <w:hideMark/>
          </w:tcPr>
          <w:p w14:paraId="0465186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25" w:type="pct"/>
            <w:noWrap/>
            <w:vAlign w:val="center"/>
            <w:hideMark/>
          </w:tcPr>
          <w:p w14:paraId="35661A4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290B277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98" w:type="pct"/>
            <w:noWrap/>
            <w:vAlign w:val="center"/>
            <w:hideMark/>
          </w:tcPr>
          <w:p w14:paraId="2BF56B2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011D759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78" w:type="pct"/>
            <w:noWrap/>
            <w:vAlign w:val="center"/>
            <w:hideMark/>
          </w:tcPr>
          <w:p w14:paraId="6235E0D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47FEE1D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182B86B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58DD0E5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42</w:t>
            </w:r>
          </w:p>
        </w:tc>
        <w:tc>
          <w:tcPr>
            <w:tcW w:w="601" w:type="pct"/>
            <w:vAlign w:val="center"/>
            <w:hideMark/>
          </w:tcPr>
          <w:p w14:paraId="337C58A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24372836" w14:textId="77777777" w:rsidTr="00800B85">
        <w:trPr>
          <w:trHeight w:val="855"/>
        </w:trPr>
        <w:tc>
          <w:tcPr>
            <w:tcW w:w="134" w:type="pct"/>
            <w:vMerge/>
            <w:vAlign w:val="center"/>
            <w:hideMark/>
          </w:tcPr>
          <w:p w14:paraId="1EFA4C6B"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03525C8C"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09B518C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12</w:t>
            </w:r>
          </w:p>
        </w:tc>
        <w:tc>
          <w:tcPr>
            <w:tcW w:w="1429" w:type="pct"/>
            <w:vAlign w:val="center"/>
            <w:hideMark/>
          </w:tcPr>
          <w:p w14:paraId="0383C9A3"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987.</w:t>
            </w:r>
          </w:p>
        </w:tc>
        <w:tc>
          <w:tcPr>
            <w:tcW w:w="284" w:type="pct"/>
            <w:noWrap/>
            <w:vAlign w:val="center"/>
            <w:hideMark/>
          </w:tcPr>
          <w:p w14:paraId="71DB1FA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22,5</w:t>
            </w:r>
          </w:p>
        </w:tc>
        <w:tc>
          <w:tcPr>
            <w:tcW w:w="430" w:type="pct"/>
            <w:noWrap/>
            <w:vAlign w:val="center"/>
            <w:hideMark/>
          </w:tcPr>
          <w:p w14:paraId="7E5B775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240,98</w:t>
            </w:r>
          </w:p>
        </w:tc>
        <w:tc>
          <w:tcPr>
            <w:tcW w:w="198" w:type="pct"/>
            <w:noWrap/>
            <w:vAlign w:val="center"/>
            <w:hideMark/>
          </w:tcPr>
          <w:p w14:paraId="15FDED7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25" w:type="pct"/>
            <w:noWrap/>
            <w:vAlign w:val="center"/>
            <w:hideMark/>
          </w:tcPr>
          <w:p w14:paraId="498AE1BD"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7002F9C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3D34691C"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1EB124B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78" w:type="pct"/>
            <w:noWrap/>
            <w:vAlign w:val="center"/>
            <w:hideMark/>
          </w:tcPr>
          <w:p w14:paraId="0CDAA6F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3B44692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4A832768"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205" w:type="pct"/>
            <w:noWrap/>
            <w:vAlign w:val="center"/>
            <w:hideMark/>
          </w:tcPr>
          <w:p w14:paraId="248B8EA2"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37</w:t>
            </w:r>
          </w:p>
        </w:tc>
        <w:tc>
          <w:tcPr>
            <w:tcW w:w="601" w:type="pct"/>
            <w:vAlign w:val="center"/>
            <w:hideMark/>
          </w:tcPr>
          <w:p w14:paraId="18EBAC21"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070C2E" w:rsidRPr="00070C2E" w14:paraId="33D9D293" w14:textId="77777777" w:rsidTr="00800B85">
        <w:trPr>
          <w:trHeight w:val="855"/>
        </w:trPr>
        <w:tc>
          <w:tcPr>
            <w:tcW w:w="134" w:type="pct"/>
            <w:vMerge/>
            <w:vAlign w:val="center"/>
            <w:hideMark/>
          </w:tcPr>
          <w:p w14:paraId="730E5843"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085CE879" w14:textId="77777777" w:rsidR="00FE54FA" w:rsidRPr="00070C2E" w:rsidRDefault="00FE54FA" w:rsidP="00800B85">
            <w:pPr>
              <w:jc w:val="center"/>
              <w:rPr>
                <w:rFonts w:ascii="Arial" w:hAnsi="Arial" w:cs="Arial"/>
                <w:b/>
                <w:bCs/>
                <w:color w:val="000000" w:themeColor="text1"/>
                <w:sz w:val="20"/>
                <w:szCs w:val="20"/>
              </w:rPr>
            </w:pPr>
          </w:p>
        </w:tc>
        <w:tc>
          <w:tcPr>
            <w:tcW w:w="144" w:type="pct"/>
            <w:vAlign w:val="center"/>
            <w:hideMark/>
          </w:tcPr>
          <w:p w14:paraId="6F4F0D3F"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13</w:t>
            </w:r>
          </w:p>
        </w:tc>
        <w:tc>
          <w:tcPr>
            <w:tcW w:w="1429" w:type="pct"/>
            <w:vAlign w:val="center"/>
            <w:hideMark/>
          </w:tcPr>
          <w:p w14:paraId="46BC18EE"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Przebudowa/rozbudowa drogi wojewódzkiej nr 984 na odcinku granica województwa – Radomyśl Wielki – Piątkowiec.</w:t>
            </w:r>
          </w:p>
        </w:tc>
        <w:tc>
          <w:tcPr>
            <w:tcW w:w="284" w:type="pct"/>
            <w:noWrap/>
            <w:vAlign w:val="center"/>
            <w:hideMark/>
          </w:tcPr>
          <w:p w14:paraId="391543CB"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21,1</w:t>
            </w:r>
          </w:p>
        </w:tc>
        <w:tc>
          <w:tcPr>
            <w:tcW w:w="430" w:type="pct"/>
            <w:noWrap/>
            <w:vAlign w:val="center"/>
            <w:hideMark/>
          </w:tcPr>
          <w:p w14:paraId="7FD69AB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363,00</w:t>
            </w:r>
          </w:p>
        </w:tc>
        <w:tc>
          <w:tcPr>
            <w:tcW w:w="198" w:type="pct"/>
            <w:noWrap/>
            <w:vAlign w:val="center"/>
            <w:hideMark/>
          </w:tcPr>
          <w:p w14:paraId="66FA1B6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25" w:type="pct"/>
            <w:noWrap/>
            <w:vAlign w:val="center"/>
            <w:hideMark/>
          </w:tcPr>
          <w:p w14:paraId="23F9E57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212" w:type="pct"/>
            <w:noWrap/>
            <w:vAlign w:val="center"/>
            <w:hideMark/>
          </w:tcPr>
          <w:p w14:paraId="44E48555"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0</w:t>
            </w:r>
          </w:p>
        </w:tc>
        <w:tc>
          <w:tcPr>
            <w:tcW w:w="198" w:type="pct"/>
            <w:noWrap/>
            <w:vAlign w:val="center"/>
            <w:hideMark/>
          </w:tcPr>
          <w:p w14:paraId="0DDBE0D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184" w:type="pct"/>
            <w:noWrap/>
            <w:vAlign w:val="center"/>
            <w:hideMark/>
          </w:tcPr>
          <w:p w14:paraId="474CDB6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5</w:t>
            </w:r>
          </w:p>
        </w:tc>
        <w:tc>
          <w:tcPr>
            <w:tcW w:w="178" w:type="pct"/>
            <w:noWrap/>
            <w:vAlign w:val="center"/>
            <w:hideMark/>
          </w:tcPr>
          <w:p w14:paraId="6A8A4666"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6</w:t>
            </w:r>
          </w:p>
        </w:tc>
        <w:tc>
          <w:tcPr>
            <w:tcW w:w="198" w:type="pct"/>
            <w:noWrap/>
            <w:vAlign w:val="center"/>
            <w:hideMark/>
          </w:tcPr>
          <w:p w14:paraId="55BBAF8A"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w:t>
            </w:r>
          </w:p>
        </w:tc>
        <w:tc>
          <w:tcPr>
            <w:tcW w:w="198" w:type="pct"/>
            <w:noWrap/>
            <w:vAlign w:val="center"/>
            <w:hideMark/>
          </w:tcPr>
          <w:p w14:paraId="1C4A1DF9"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10</w:t>
            </w:r>
          </w:p>
        </w:tc>
        <w:tc>
          <w:tcPr>
            <w:tcW w:w="205" w:type="pct"/>
            <w:noWrap/>
            <w:vAlign w:val="center"/>
            <w:hideMark/>
          </w:tcPr>
          <w:p w14:paraId="626C8EF4"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34</w:t>
            </w:r>
          </w:p>
        </w:tc>
        <w:tc>
          <w:tcPr>
            <w:tcW w:w="601" w:type="pct"/>
            <w:vAlign w:val="center"/>
            <w:hideMark/>
          </w:tcPr>
          <w:p w14:paraId="79B51B00" w14:textId="77777777" w:rsidR="00FE54FA" w:rsidRPr="00070C2E" w:rsidRDefault="00FE54F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FEP 2021 - 2027</w:t>
            </w:r>
          </w:p>
        </w:tc>
      </w:tr>
      <w:tr w:rsidR="00FE54FA" w:rsidRPr="00070C2E" w14:paraId="71809E35" w14:textId="77777777" w:rsidTr="00800B85">
        <w:trPr>
          <w:trHeight w:val="525"/>
        </w:trPr>
        <w:tc>
          <w:tcPr>
            <w:tcW w:w="134" w:type="pct"/>
            <w:vMerge/>
            <w:vAlign w:val="center"/>
            <w:hideMark/>
          </w:tcPr>
          <w:p w14:paraId="467029BE" w14:textId="77777777" w:rsidR="00FE54FA" w:rsidRPr="00070C2E" w:rsidRDefault="00FE54FA" w:rsidP="00800B85">
            <w:pPr>
              <w:jc w:val="center"/>
              <w:rPr>
                <w:rFonts w:ascii="Arial" w:hAnsi="Arial" w:cs="Arial"/>
                <w:b/>
                <w:bCs/>
                <w:color w:val="000000" w:themeColor="text1"/>
                <w:sz w:val="20"/>
                <w:szCs w:val="20"/>
              </w:rPr>
            </w:pPr>
          </w:p>
        </w:tc>
        <w:tc>
          <w:tcPr>
            <w:tcW w:w="183" w:type="pct"/>
            <w:vMerge/>
            <w:vAlign w:val="center"/>
            <w:hideMark/>
          </w:tcPr>
          <w:p w14:paraId="57FE3DC8" w14:textId="77777777" w:rsidR="00FE54FA" w:rsidRPr="00070C2E" w:rsidRDefault="00FE54FA" w:rsidP="00800B85">
            <w:pPr>
              <w:jc w:val="center"/>
              <w:rPr>
                <w:rFonts w:ascii="Arial" w:hAnsi="Arial" w:cs="Arial"/>
                <w:b/>
                <w:bCs/>
                <w:color w:val="000000" w:themeColor="text1"/>
                <w:sz w:val="20"/>
                <w:szCs w:val="20"/>
              </w:rPr>
            </w:pPr>
          </w:p>
        </w:tc>
        <w:tc>
          <w:tcPr>
            <w:tcW w:w="1573" w:type="pct"/>
            <w:gridSpan w:val="2"/>
            <w:noWrap/>
            <w:vAlign w:val="center"/>
            <w:hideMark/>
          </w:tcPr>
          <w:p w14:paraId="4F9500BD" w14:textId="703276E7" w:rsidR="00FE54FA" w:rsidRPr="00070C2E" w:rsidRDefault="000A70BA" w:rsidP="00800B85">
            <w:pPr>
              <w:jc w:val="center"/>
              <w:rPr>
                <w:rFonts w:ascii="Arial" w:hAnsi="Arial" w:cs="Arial"/>
                <w:color w:val="000000" w:themeColor="text1"/>
                <w:sz w:val="20"/>
                <w:szCs w:val="20"/>
              </w:rPr>
            </w:pPr>
            <w:r w:rsidRPr="00070C2E">
              <w:rPr>
                <w:rFonts w:ascii="Arial" w:hAnsi="Arial" w:cs="Arial"/>
                <w:color w:val="000000" w:themeColor="text1"/>
                <w:sz w:val="20"/>
                <w:szCs w:val="20"/>
              </w:rPr>
              <w:t>S</w:t>
            </w:r>
            <w:r w:rsidR="00FE54FA" w:rsidRPr="00070C2E">
              <w:rPr>
                <w:rFonts w:ascii="Arial" w:hAnsi="Arial" w:cs="Arial"/>
                <w:color w:val="000000" w:themeColor="text1"/>
                <w:sz w:val="20"/>
                <w:szCs w:val="20"/>
              </w:rPr>
              <w:t>uma</w:t>
            </w:r>
          </w:p>
        </w:tc>
        <w:tc>
          <w:tcPr>
            <w:tcW w:w="284" w:type="pct"/>
            <w:noWrap/>
            <w:vAlign w:val="center"/>
            <w:hideMark/>
          </w:tcPr>
          <w:p w14:paraId="224A3FC2"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237,15</w:t>
            </w:r>
          </w:p>
        </w:tc>
        <w:tc>
          <w:tcPr>
            <w:tcW w:w="430" w:type="pct"/>
            <w:noWrap/>
            <w:vAlign w:val="center"/>
            <w:hideMark/>
          </w:tcPr>
          <w:p w14:paraId="157CBAF0" w14:textId="77777777" w:rsidR="00FE54FA" w:rsidRPr="00070C2E" w:rsidRDefault="00FE54FA" w:rsidP="00800B85">
            <w:pPr>
              <w:jc w:val="center"/>
              <w:rPr>
                <w:rFonts w:ascii="Arial" w:hAnsi="Arial" w:cs="Arial"/>
                <w:b/>
                <w:bCs/>
                <w:color w:val="000000" w:themeColor="text1"/>
                <w:sz w:val="20"/>
                <w:szCs w:val="20"/>
              </w:rPr>
            </w:pPr>
            <w:r w:rsidRPr="00070C2E">
              <w:rPr>
                <w:rFonts w:ascii="Arial" w:hAnsi="Arial" w:cs="Arial"/>
                <w:b/>
                <w:bCs/>
                <w:color w:val="000000" w:themeColor="text1"/>
                <w:sz w:val="20"/>
                <w:szCs w:val="20"/>
              </w:rPr>
              <w:t>3 085,79</w:t>
            </w:r>
          </w:p>
        </w:tc>
        <w:tc>
          <w:tcPr>
            <w:tcW w:w="2396" w:type="pct"/>
            <w:gridSpan w:val="10"/>
            <w:noWrap/>
            <w:vAlign w:val="center"/>
            <w:hideMark/>
          </w:tcPr>
          <w:p w14:paraId="6D1C4B46" w14:textId="346E9A0F" w:rsidR="00FE54FA" w:rsidRPr="00070C2E" w:rsidRDefault="00FE54FA" w:rsidP="00800B85">
            <w:pPr>
              <w:jc w:val="center"/>
              <w:rPr>
                <w:rFonts w:ascii="Arial" w:hAnsi="Arial" w:cs="Arial"/>
                <w:color w:val="000000" w:themeColor="text1"/>
                <w:sz w:val="20"/>
                <w:szCs w:val="20"/>
              </w:rPr>
            </w:pPr>
          </w:p>
        </w:tc>
      </w:tr>
    </w:tbl>
    <w:p w14:paraId="39830390" w14:textId="77777777" w:rsidR="00DC60C0" w:rsidRPr="009B78DA" w:rsidRDefault="00DC60C0" w:rsidP="00C67D4E">
      <w:pPr>
        <w:spacing w:after="0" w:line="240" w:lineRule="auto"/>
        <w:rPr>
          <w:rFonts w:ascii="Arial" w:hAnsi="Arial" w:cs="Arial"/>
          <w:b/>
          <w:color w:val="000000" w:themeColor="text1"/>
          <w:sz w:val="22"/>
          <w:szCs w:val="22"/>
        </w:rPr>
        <w:sectPr w:rsidR="00DC60C0" w:rsidRPr="009B78DA" w:rsidSect="00CF76E6">
          <w:pgSz w:w="16838" w:h="11906" w:orient="landscape"/>
          <w:pgMar w:top="720" w:right="567" w:bottom="720" w:left="567" w:header="709" w:footer="709" w:gutter="0"/>
          <w:cols w:space="708"/>
          <w:docGrid w:linePitch="360"/>
        </w:sectPr>
      </w:pPr>
    </w:p>
    <w:p w14:paraId="24B578AB" w14:textId="6230B7D1" w:rsidR="00A606BC" w:rsidRPr="009B78DA" w:rsidRDefault="00A606BC" w:rsidP="00A606BC">
      <w:pPr>
        <w:pStyle w:val="Legenda"/>
        <w:keepNext/>
        <w:spacing w:after="0" w:line="276" w:lineRule="auto"/>
        <w:jc w:val="both"/>
        <w:rPr>
          <w:rFonts w:ascii="Arial" w:hAnsi="Arial" w:cs="Arial"/>
          <w:i w:val="0"/>
          <w:color w:val="000000" w:themeColor="text1"/>
          <w:sz w:val="22"/>
          <w:szCs w:val="22"/>
        </w:rPr>
      </w:pPr>
      <w:bookmarkStart w:id="459" w:name="_Toc146785706"/>
      <w:bookmarkStart w:id="460" w:name="_Hlk78189496"/>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77</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w:t>
      </w:r>
      <w:bookmarkStart w:id="461" w:name="_Hlk142650403"/>
      <w:r w:rsidRPr="009B78DA">
        <w:rPr>
          <w:rFonts w:ascii="Arial" w:hAnsi="Arial" w:cs="Arial"/>
          <w:i w:val="0"/>
          <w:color w:val="000000" w:themeColor="text1"/>
          <w:sz w:val="22"/>
          <w:szCs w:val="22"/>
        </w:rPr>
        <w:t>Mapa z inwestycjami w ramach spriorytetyzowanej listy kluczowych projektów dla priorytetu A i B</w:t>
      </w:r>
      <w:bookmarkEnd w:id="461"/>
      <w:bookmarkEnd w:id="459"/>
    </w:p>
    <w:p w14:paraId="5C906AB6" w14:textId="318B75CF" w:rsidR="00E626EA" w:rsidRPr="009B78DA" w:rsidRDefault="000A70BA" w:rsidP="00E626EA">
      <w:pPr>
        <w:spacing w:before="120" w:line="276" w:lineRule="auto"/>
        <w:jc w:val="center"/>
        <w:rPr>
          <w:rFonts w:ascii="Arial" w:hAnsi="Arial" w:cs="Arial"/>
          <w:color w:val="000000" w:themeColor="text1"/>
          <w:sz w:val="22"/>
          <w:szCs w:val="22"/>
        </w:rPr>
      </w:pPr>
      <w:r w:rsidRPr="009B78DA">
        <w:rPr>
          <w:rFonts w:ascii="Arial" w:hAnsi="Arial" w:cs="Arial"/>
          <w:noProof/>
          <w:color w:val="000000" w:themeColor="text1"/>
          <w:sz w:val="22"/>
          <w:szCs w:val="22"/>
        </w:rPr>
        <w:drawing>
          <wp:inline distT="0" distB="0" distL="0" distR="0" wp14:anchorId="4E335A45" wp14:editId="20CF7F7D">
            <wp:extent cx="5638800" cy="8056583"/>
            <wp:effectExtent l="0" t="0" r="0" b="1905"/>
            <wp:docPr id="765759580" name="Obraz 1" descr="Województwo podkarpackie w tym największe miasta powiatowe. Zaznaczono drogi krajowe, wojewódzkie, planowane drogi krajowe i wojewódzkie. Zaznaczono przedsięwzięcia drogowe w tym: inwestycje w priorytecie A, B, realizowane w latach 2014-2023, wdrożone do realizacji, zgłoszone do dofinansowania w ramach Rządowego Funduszu Polski Ład. Zaznaczono zasięg PKA, sieć TEN-T:A4, S19, S74, E30, LK68, LK78, LK 25, LK74, lotnisko Rzeszów-Jasionka TEN-T, terminal sieci TEN-T, lokalizacja SSE i parków technologicznych " title="Rysunek 77 Mapa z inwestycjami w ramach spriorytetyzowanej listy kluczowych projektów dla priorytetu A i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59580" name="Obraz 1" descr="Obraz zawierający tekst, mapa, atlas&#10;&#10;Opis wygenerowany automatyczni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639640" cy="8057783"/>
                    </a:xfrm>
                    <a:prstGeom prst="rect">
                      <a:avLst/>
                    </a:prstGeom>
                  </pic:spPr>
                </pic:pic>
              </a:graphicData>
            </a:graphic>
          </wp:inline>
        </w:drawing>
      </w:r>
    </w:p>
    <w:p w14:paraId="11B1A3B0" w14:textId="469D3B1E" w:rsidR="00E12A57" w:rsidRPr="009B78DA" w:rsidRDefault="00F24BD6" w:rsidP="002A2F34">
      <w:pPr>
        <w:spacing w:before="120" w:line="276" w:lineRule="auto"/>
        <w:jc w:val="both"/>
        <w:rPr>
          <w:rFonts w:ascii="Arial" w:hAnsi="Arial" w:cs="Arial"/>
          <w:bCs/>
          <w:color w:val="000000" w:themeColor="text1"/>
          <w:sz w:val="22"/>
          <w:szCs w:val="22"/>
        </w:rPr>
        <w:sectPr w:rsidR="00E12A57" w:rsidRPr="009B78DA" w:rsidSect="006D6E16">
          <w:pgSz w:w="11906" w:h="16838"/>
          <w:pgMar w:top="1418" w:right="1418" w:bottom="1418" w:left="1418" w:header="709" w:footer="709" w:gutter="0"/>
          <w:cols w:space="708"/>
          <w:docGrid w:linePitch="360"/>
        </w:sectPr>
      </w:pPr>
      <w:r w:rsidRPr="009B78DA">
        <w:rPr>
          <w:rFonts w:ascii="Arial" w:hAnsi="Arial" w:cs="Arial"/>
          <w:bCs/>
          <w:color w:val="000000" w:themeColor="text1"/>
          <w:sz w:val="22"/>
          <w:szCs w:val="22"/>
        </w:rPr>
        <w:t>Źródło</w:t>
      </w:r>
      <w:r w:rsidR="005709DD" w:rsidRPr="009B78DA">
        <w:rPr>
          <w:rFonts w:ascii="Arial" w:hAnsi="Arial" w:cs="Arial"/>
          <w:bCs/>
          <w:color w:val="000000" w:themeColor="text1"/>
          <w:sz w:val="22"/>
          <w:szCs w:val="22"/>
        </w:rPr>
        <w:t xml:space="preserve"> danych</w:t>
      </w:r>
      <w:r w:rsidRPr="009B78DA">
        <w:rPr>
          <w:rFonts w:ascii="Arial" w:hAnsi="Arial" w:cs="Arial"/>
          <w:bCs/>
          <w:color w:val="000000" w:themeColor="text1"/>
          <w:sz w:val="22"/>
          <w:szCs w:val="22"/>
        </w:rPr>
        <w:t>: Departament Dróg i Publicznego Transportu Zbiorowego</w:t>
      </w:r>
      <w:r w:rsidR="00DB3F73" w:rsidRPr="009B78DA">
        <w:rPr>
          <w:rFonts w:ascii="Arial" w:hAnsi="Arial" w:cs="Arial"/>
          <w:bCs/>
          <w:color w:val="000000" w:themeColor="text1"/>
          <w:sz w:val="22"/>
          <w:szCs w:val="22"/>
        </w:rPr>
        <w:t xml:space="preserve"> UMWP</w:t>
      </w:r>
      <w:bookmarkEnd w:id="460"/>
      <w:r w:rsidR="003351B8" w:rsidRPr="009B78DA">
        <w:rPr>
          <w:rFonts w:ascii="Arial" w:hAnsi="Arial" w:cs="Arial"/>
          <w:bCs/>
          <w:color w:val="000000" w:themeColor="text1"/>
          <w:sz w:val="22"/>
          <w:szCs w:val="22"/>
        </w:rPr>
        <w:t>.</w:t>
      </w:r>
    </w:p>
    <w:p w14:paraId="44AB6A33" w14:textId="3BF57333" w:rsidR="0097352D" w:rsidRPr="009B78DA" w:rsidRDefault="0097352D" w:rsidP="00D40C5D">
      <w:pPr>
        <w:rPr>
          <w:rFonts w:ascii="Arial" w:hAnsi="Arial" w:cs="Arial"/>
          <w:color w:val="000000" w:themeColor="text1"/>
          <w:sz w:val="22"/>
          <w:szCs w:val="22"/>
        </w:rPr>
      </w:pPr>
      <w:bookmarkStart w:id="462" w:name="_Hlk92211498"/>
      <w:r w:rsidRPr="009B78DA">
        <w:rPr>
          <w:rFonts w:ascii="Arial" w:hAnsi="Arial" w:cs="Arial"/>
          <w:b/>
          <w:bCs/>
          <w:color w:val="000000" w:themeColor="text1"/>
          <w:sz w:val="22"/>
          <w:szCs w:val="22"/>
        </w:rPr>
        <w:t>Inwestycje dotyczące taboru kolejowego w ramach PSRT WP do roku 2030</w:t>
      </w:r>
      <w:r w:rsidR="003136CB" w:rsidRPr="009B78DA">
        <w:rPr>
          <w:rFonts w:ascii="Arial" w:hAnsi="Arial" w:cs="Arial"/>
          <w:b/>
          <w:bCs/>
          <w:color w:val="000000" w:themeColor="text1"/>
          <w:sz w:val="22"/>
          <w:szCs w:val="22"/>
        </w:rPr>
        <w:t xml:space="preserve"> (</w:t>
      </w:r>
      <w:r w:rsidR="00E73B44" w:rsidRPr="009B78DA">
        <w:rPr>
          <w:rFonts w:ascii="Arial" w:hAnsi="Arial" w:cs="Arial"/>
          <w:b/>
          <w:bCs/>
          <w:color w:val="000000" w:themeColor="text1"/>
          <w:sz w:val="22"/>
          <w:szCs w:val="22"/>
        </w:rPr>
        <w:t xml:space="preserve">które będą mogły otrzymać dofinansowanie w ramach </w:t>
      </w:r>
      <w:bookmarkStart w:id="463" w:name="_Hlk92545873"/>
      <w:r w:rsidR="00B26A64" w:rsidRPr="009B78DA">
        <w:rPr>
          <w:rFonts w:ascii="Arial" w:hAnsi="Arial" w:cs="Arial"/>
          <w:b/>
          <w:bCs/>
          <w:color w:val="000000" w:themeColor="text1"/>
          <w:sz w:val="22"/>
          <w:szCs w:val="22"/>
        </w:rPr>
        <w:t xml:space="preserve">Programu </w:t>
      </w:r>
      <w:r w:rsidR="00E73B44" w:rsidRPr="009B78DA">
        <w:rPr>
          <w:rFonts w:ascii="Arial" w:hAnsi="Arial" w:cs="Arial"/>
          <w:b/>
          <w:bCs/>
          <w:color w:val="000000" w:themeColor="text1"/>
          <w:sz w:val="22"/>
          <w:szCs w:val="22"/>
        </w:rPr>
        <w:t>Fundusz</w:t>
      </w:r>
      <w:r w:rsidR="00B26A64" w:rsidRPr="009B78DA">
        <w:rPr>
          <w:rFonts w:ascii="Arial" w:hAnsi="Arial" w:cs="Arial"/>
          <w:b/>
          <w:bCs/>
          <w:color w:val="000000" w:themeColor="text1"/>
          <w:sz w:val="22"/>
          <w:szCs w:val="22"/>
        </w:rPr>
        <w:t>e</w:t>
      </w:r>
      <w:r w:rsidR="00E73B44" w:rsidRPr="009B78DA">
        <w:rPr>
          <w:rFonts w:ascii="Arial" w:hAnsi="Arial" w:cs="Arial"/>
          <w:b/>
          <w:bCs/>
          <w:color w:val="000000" w:themeColor="text1"/>
          <w:sz w:val="22"/>
          <w:szCs w:val="22"/>
        </w:rPr>
        <w:t xml:space="preserve"> Europejski</w:t>
      </w:r>
      <w:r w:rsidR="00B26A64" w:rsidRPr="009B78DA">
        <w:rPr>
          <w:rFonts w:ascii="Arial" w:hAnsi="Arial" w:cs="Arial"/>
          <w:b/>
          <w:bCs/>
          <w:color w:val="000000" w:themeColor="text1"/>
          <w:sz w:val="22"/>
          <w:szCs w:val="22"/>
        </w:rPr>
        <w:t>e</w:t>
      </w:r>
      <w:r w:rsidR="00E73B44" w:rsidRPr="009B78DA">
        <w:rPr>
          <w:rFonts w:ascii="Arial" w:hAnsi="Arial" w:cs="Arial"/>
          <w:b/>
          <w:bCs/>
          <w:color w:val="000000" w:themeColor="text1"/>
          <w:sz w:val="22"/>
          <w:szCs w:val="22"/>
        </w:rPr>
        <w:t xml:space="preserve"> </w:t>
      </w:r>
      <w:bookmarkEnd w:id="463"/>
      <w:r w:rsidR="00E73B44" w:rsidRPr="009B78DA">
        <w:rPr>
          <w:rFonts w:ascii="Arial" w:hAnsi="Arial" w:cs="Arial"/>
          <w:b/>
          <w:bCs/>
          <w:color w:val="000000" w:themeColor="text1"/>
          <w:sz w:val="22"/>
          <w:szCs w:val="22"/>
        </w:rPr>
        <w:t>dla Podkarpacia 2021-2027</w:t>
      </w:r>
      <w:r w:rsidR="003136CB" w:rsidRPr="009B78DA">
        <w:rPr>
          <w:rFonts w:ascii="Arial" w:hAnsi="Arial" w:cs="Arial"/>
          <w:b/>
          <w:bCs/>
          <w:color w:val="000000" w:themeColor="text1"/>
          <w:sz w:val="22"/>
          <w:szCs w:val="22"/>
        </w:rPr>
        <w:t>)</w:t>
      </w:r>
    </w:p>
    <w:tbl>
      <w:tblPr>
        <w:tblStyle w:val="Tabela-Siatka1"/>
        <w:tblpPr w:leftFromText="141" w:rightFromText="141" w:vertAnchor="page" w:horzAnchor="margin" w:tblpY="2498"/>
        <w:tblW w:w="5000" w:type="pct"/>
        <w:tblLook w:val="04A0" w:firstRow="1" w:lastRow="0" w:firstColumn="1" w:lastColumn="0" w:noHBand="0" w:noVBand="1"/>
        <w:tblCaption w:val="Inwestycje dotyczące taboru kolejowego w ramach PSRT WP do roku 2030 (które będą mogły otrzymać dofinansowanie w ramach Programu Fundusze Europejskie dla Podkarpacia 2021-2027)"/>
        <w:tblDescription w:val="Tabela zawiera Charakterystyka inwestycji i Kryteria wyboru w tym: Nazwa zadania, Liczba zakupionych pojazdów kolejowych [szt.] Koszt całkowity [mln zł], Komplementarność z projektami dotyczącymi taboru kolejowego oraz infrastruktury kolejowej, Zwiększenie zdolności przewozowej, Wpływ projektu na realizację zasady równości szans i niedyskryminacji,&#10;w tym szczególności dostępności dla osób z niepełnosprawnościami, Wpływ projektu na poprawę bezpieczeństwa, jakości, atrakcyjności i komfortu pasażerów, Wpływ projektu na realizację zasady zrównoważonego rozwoju oraz ochrony i poprawy jakości środowiska naturalnego&#10;&#10;"/>
      </w:tblPr>
      <w:tblGrid>
        <w:gridCol w:w="2486"/>
        <w:gridCol w:w="828"/>
        <w:gridCol w:w="584"/>
        <w:gridCol w:w="881"/>
        <w:gridCol w:w="756"/>
        <w:gridCol w:w="1260"/>
        <w:gridCol w:w="1008"/>
        <w:gridCol w:w="1260"/>
      </w:tblGrid>
      <w:tr w:rsidR="006F4FD2" w:rsidRPr="009B78DA" w14:paraId="7716C393" w14:textId="77777777" w:rsidTr="00A91E2C">
        <w:trPr>
          <w:trHeight w:val="465"/>
          <w:tblHeader/>
        </w:trPr>
        <w:tc>
          <w:tcPr>
            <w:tcW w:w="2151" w:type="pct"/>
            <w:gridSpan w:val="3"/>
            <w:vAlign w:val="center"/>
          </w:tcPr>
          <w:bookmarkEnd w:id="462"/>
          <w:p w14:paraId="57B9CE53" w14:textId="77777777" w:rsidR="00483A7F" w:rsidRPr="009B78DA" w:rsidRDefault="00483A7F" w:rsidP="00D40C5D">
            <w:pPr>
              <w:jc w:val="center"/>
              <w:rPr>
                <w:rFonts w:ascii="Arial" w:hAnsi="Arial" w:cs="Arial"/>
                <w:color w:val="000000" w:themeColor="text1"/>
                <w:sz w:val="22"/>
                <w:szCs w:val="22"/>
              </w:rPr>
            </w:pPr>
            <w:r w:rsidRPr="009B78DA">
              <w:rPr>
                <w:rFonts w:ascii="Arial" w:hAnsi="Arial" w:cs="Arial"/>
                <w:color w:val="000000" w:themeColor="text1"/>
                <w:sz w:val="22"/>
                <w:szCs w:val="22"/>
              </w:rPr>
              <w:t>Charakterystyka inwestycji</w:t>
            </w:r>
          </w:p>
        </w:tc>
        <w:tc>
          <w:tcPr>
            <w:tcW w:w="2849" w:type="pct"/>
            <w:gridSpan w:val="5"/>
            <w:vAlign w:val="center"/>
          </w:tcPr>
          <w:p w14:paraId="0E2D3354" w14:textId="77777777" w:rsidR="00483A7F" w:rsidRPr="009B78DA" w:rsidRDefault="00483A7F" w:rsidP="00D40C5D">
            <w:pPr>
              <w:spacing w:line="259" w:lineRule="auto"/>
              <w:jc w:val="center"/>
              <w:rPr>
                <w:rFonts w:ascii="Arial" w:hAnsi="Arial" w:cs="Arial"/>
                <w:color w:val="000000" w:themeColor="text1"/>
                <w:sz w:val="22"/>
                <w:szCs w:val="22"/>
              </w:rPr>
            </w:pPr>
            <w:r w:rsidRPr="009B78DA">
              <w:rPr>
                <w:rFonts w:ascii="Arial" w:hAnsi="Arial" w:cs="Arial"/>
                <w:color w:val="000000" w:themeColor="text1"/>
                <w:sz w:val="22"/>
                <w:szCs w:val="22"/>
              </w:rPr>
              <w:t>Kryteria wyboru</w:t>
            </w:r>
          </w:p>
        </w:tc>
      </w:tr>
      <w:tr w:rsidR="006F4FD2" w:rsidRPr="009B78DA" w14:paraId="3C82216D" w14:textId="77777777" w:rsidTr="00A91E2C">
        <w:trPr>
          <w:trHeight w:val="3208"/>
          <w:tblHeader/>
        </w:trPr>
        <w:tc>
          <w:tcPr>
            <w:tcW w:w="1372" w:type="pct"/>
            <w:textDirection w:val="btLr"/>
            <w:vAlign w:val="center"/>
          </w:tcPr>
          <w:p w14:paraId="3F59E918" w14:textId="77777777" w:rsidR="00483A7F" w:rsidRPr="009B78DA" w:rsidRDefault="00483A7F" w:rsidP="00D40C5D">
            <w:pPr>
              <w:ind w:left="113" w:right="113"/>
              <w:jc w:val="center"/>
              <w:rPr>
                <w:rFonts w:ascii="Arial" w:hAnsi="Arial" w:cs="Arial"/>
                <w:color w:val="000000" w:themeColor="text1"/>
                <w:sz w:val="22"/>
                <w:szCs w:val="22"/>
              </w:rPr>
            </w:pPr>
            <w:r w:rsidRPr="009B78DA">
              <w:rPr>
                <w:rFonts w:ascii="Arial" w:hAnsi="Arial" w:cs="Arial"/>
                <w:color w:val="000000" w:themeColor="text1"/>
                <w:sz w:val="22"/>
                <w:szCs w:val="22"/>
              </w:rPr>
              <w:t>Nazwa zadania</w:t>
            </w:r>
          </w:p>
        </w:tc>
        <w:tc>
          <w:tcPr>
            <w:tcW w:w="457" w:type="pct"/>
            <w:textDirection w:val="btLr"/>
            <w:vAlign w:val="center"/>
          </w:tcPr>
          <w:p w14:paraId="77501FF2" w14:textId="77777777" w:rsidR="00483A7F" w:rsidRPr="009B78DA" w:rsidRDefault="00483A7F" w:rsidP="00D40C5D">
            <w:pPr>
              <w:ind w:left="113" w:right="113"/>
              <w:jc w:val="center"/>
              <w:rPr>
                <w:rFonts w:ascii="Arial" w:hAnsi="Arial" w:cs="Arial"/>
                <w:color w:val="000000" w:themeColor="text1"/>
                <w:sz w:val="19"/>
                <w:szCs w:val="19"/>
              </w:rPr>
            </w:pPr>
            <w:r w:rsidRPr="009B78DA">
              <w:rPr>
                <w:rFonts w:ascii="Arial" w:hAnsi="Arial" w:cs="Arial"/>
                <w:color w:val="000000" w:themeColor="text1"/>
                <w:sz w:val="19"/>
                <w:szCs w:val="19"/>
              </w:rPr>
              <w:t>Liczba zakupionych pojazdów kolejowych [szt.]</w:t>
            </w:r>
          </w:p>
        </w:tc>
        <w:tc>
          <w:tcPr>
            <w:tcW w:w="322" w:type="pct"/>
            <w:textDirection w:val="btLr"/>
            <w:vAlign w:val="center"/>
          </w:tcPr>
          <w:p w14:paraId="57E68C23" w14:textId="77777777" w:rsidR="00483A7F" w:rsidRPr="009B78DA" w:rsidRDefault="00483A7F" w:rsidP="00D40C5D">
            <w:pPr>
              <w:ind w:left="113" w:right="113"/>
              <w:jc w:val="center"/>
              <w:rPr>
                <w:rFonts w:ascii="Arial" w:hAnsi="Arial" w:cs="Arial"/>
                <w:color w:val="000000" w:themeColor="text1"/>
                <w:sz w:val="19"/>
                <w:szCs w:val="19"/>
              </w:rPr>
            </w:pPr>
            <w:r w:rsidRPr="009B78DA">
              <w:rPr>
                <w:rFonts w:ascii="Arial" w:hAnsi="Arial" w:cs="Arial"/>
                <w:color w:val="000000" w:themeColor="text1"/>
                <w:sz w:val="19"/>
                <w:szCs w:val="19"/>
              </w:rPr>
              <w:t>Koszt całkowity [mln zł]</w:t>
            </w:r>
          </w:p>
        </w:tc>
        <w:tc>
          <w:tcPr>
            <w:tcW w:w="486" w:type="pct"/>
            <w:textDirection w:val="btLr"/>
            <w:vAlign w:val="center"/>
          </w:tcPr>
          <w:p w14:paraId="429AF30E" w14:textId="77777777" w:rsidR="00483A7F" w:rsidRPr="009B78DA" w:rsidRDefault="00483A7F" w:rsidP="00D40C5D">
            <w:pPr>
              <w:ind w:left="113" w:right="113"/>
              <w:jc w:val="center"/>
              <w:rPr>
                <w:rFonts w:ascii="Arial" w:hAnsi="Arial" w:cs="Arial"/>
                <w:color w:val="000000" w:themeColor="text1"/>
                <w:sz w:val="19"/>
                <w:szCs w:val="19"/>
              </w:rPr>
            </w:pPr>
            <w:r w:rsidRPr="009B78DA">
              <w:rPr>
                <w:rFonts w:ascii="Arial" w:hAnsi="Arial" w:cs="Arial"/>
                <w:color w:val="000000" w:themeColor="text1"/>
                <w:sz w:val="19"/>
                <w:szCs w:val="19"/>
              </w:rPr>
              <w:t>Komplementarność z projektami dotyczącymi taboru kolejowego oraz infrastruktury kolejowej</w:t>
            </w:r>
          </w:p>
        </w:tc>
        <w:tc>
          <w:tcPr>
            <w:tcW w:w="417" w:type="pct"/>
            <w:textDirection w:val="btLr"/>
            <w:vAlign w:val="center"/>
          </w:tcPr>
          <w:p w14:paraId="4D6B3FD8" w14:textId="77777777" w:rsidR="00483A7F" w:rsidRPr="009B78DA" w:rsidRDefault="00483A7F" w:rsidP="00D40C5D">
            <w:pPr>
              <w:ind w:left="113" w:right="113"/>
              <w:jc w:val="center"/>
              <w:rPr>
                <w:rFonts w:ascii="Arial" w:hAnsi="Arial" w:cs="Arial"/>
                <w:color w:val="000000" w:themeColor="text1"/>
                <w:sz w:val="19"/>
                <w:szCs w:val="19"/>
              </w:rPr>
            </w:pPr>
            <w:r w:rsidRPr="009B78DA">
              <w:rPr>
                <w:rFonts w:ascii="Arial" w:hAnsi="Arial" w:cs="Arial"/>
                <w:color w:val="000000" w:themeColor="text1"/>
                <w:sz w:val="19"/>
                <w:szCs w:val="19"/>
              </w:rPr>
              <w:t>Zwiększenie zdolności przewozowej</w:t>
            </w:r>
          </w:p>
        </w:tc>
        <w:tc>
          <w:tcPr>
            <w:tcW w:w="695" w:type="pct"/>
            <w:textDirection w:val="btLr"/>
            <w:vAlign w:val="center"/>
          </w:tcPr>
          <w:p w14:paraId="267D208E" w14:textId="77777777" w:rsidR="00483A7F" w:rsidRPr="009B78DA" w:rsidRDefault="00483A7F" w:rsidP="00D40C5D">
            <w:pPr>
              <w:ind w:left="113" w:right="113"/>
              <w:jc w:val="center"/>
              <w:rPr>
                <w:rFonts w:ascii="Arial" w:hAnsi="Arial" w:cs="Arial"/>
                <w:color w:val="000000" w:themeColor="text1"/>
                <w:sz w:val="19"/>
                <w:szCs w:val="19"/>
              </w:rPr>
            </w:pPr>
            <w:r w:rsidRPr="009B78DA">
              <w:rPr>
                <w:rFonts w:ascii="Arial" w:hAnsi="Arial" w:cs="Arial"/>
                <w:color w:val="000000" w:themeColor="text1"/>
                <w:sz w:val="19"/>
                <w:szCs w:val="19"/>
              </w:rPr>
              <w:t>Wpływ projektu na realizację zasady równości szans i niedyskryminacji,</w:t>
            </w:r>
          </w:p>
          <w:p w14:paraId="2956AE52" w14:textId="77777777" w:rsidR="00483A7F" w:rsidRPr="009B78DA" w:rsidRDefault="00483A7F" w:rsidP="00D40C5D">
            <w:pPr>
              <w:ind w:left="113" w:right="113"/>
              <w:jc w:val="center"/>
              <w:rPr>
                <w:rFonts w:ascii="Arial" w:hAnsi="Arial" w:cs="Arial"/>
                <w:color w:val="000000" w:themeColor="text1"/>
                <w:sz w:val="19"/>
                <w:szCs w:val="19"/>
              </w:rPr>
            </w:pPr>
            <w:r w:rsidRPr="009B78DA">
              <w:rPr>
                <w:rFonts w:ascii="Arial" w:hAnsi="Arial" w:cs="Arial"/>
                <w:color w:val="000000" w:themeColor="text1"/>
                <w:sz w:val="19"/>
                <w:szCs w:val="19"/>
              </w:rPr>
              <w:t>w tym szczególności dostępności dla osób z niepełnosprawnościami</w:t>
            </w:r>
          </w:p>
        </w:tc>
        <w:tc>
          <w:tcPr>
            <w:tcW w:w="556" w:type="pct"/>
            <w:textDirection w:val="btLr"/>
            <w:vAlign w:val="center"/>
          </w:tcPr>
          <w:p w14:paraId="7D6A453F" w14:textId="77777777" w:rsidR="00483A7F" w:rsidRPr="009B78DA" w:rsidRDefault="00483A7F" w:rsidP="00D40C5D">
            <w:pPr>
              <w:ind w:left="113" w:right="113"/>
              <w:jc w:val="center"/>
              <w:rPr>
                <w:rFonts w:ascii="Arial" w:hAnsi="Arial" w:cs="Arial"/>
                <w:color w:val="000000" w:themeColor="text1"/>
                <w:sz w:val="19"/>
                <w:szCs w:val="19"/>
              </w:rPr>
            </w:pPr>
            <w:r w:rsidRPr="009B78DA">
              <w:rPr>
                <w:rFonts w:ascii="Arial" w:hAnsi="Arial" w:cs="Arial"/>
                <w:color w:val="000000" w:themeColor="text1"/>
                <w:sz w:val="19"/>
                <w:szCs w:val="19"/>
              </w:rPr>
              <w:t>Wpływ projektu na poprawę bezpieczeństwa, jakości, atrakcyjności i komfortu pasażerów</w:t>
            </w:r>
          </w:p>
        </w:tc>
        <w:tc>
          <w:tcPr>
            <w:tcW w:w="695" w:type="pct"/>
            <w:textDirection w:val="btLr"/>
            <w:vAlign w:val="center"/>
          </w:tcPr>
          <w:p w14:paraId="70EF6A56" w14:textId="77777777" w:rsidR="00483A7F" w:rsidRPr="009B78DA" w:rsidRDefault="00483A7F" w:rsidP="00D40C5D">
            <w:pPr>
              <w:ind w:left="113" w:right="113"/>
              <w:jc w:val="center"/>
              <w:rPr>
                <w:rFonts w:ascii="Arial" w:hAnsi="Arial" w:cs="Arial"/>
                <w:color w:val="000000" w:themeColor="text1"/>
                <w:sz w:val="19"/>
                <w:szCs w:val="19"/>
              </w:rPr>
            </w:pPr>
            <w:r w:rsidRPr="009B78DA">
              <w:rPr>
                <w:rFonts w:ascii="Arial" w:hAnsi="Arial" w:cs="Arial"/>
                <w:color w:val="000000" w:themeColor="text1"/>
                <w:sz w:val="19"/>
                <w:szCs w:val="19"/>
              </w:rPr>
              <w:t>Wpływ projektu na realizację zasady zrównoważonego rozwoju oraz</w:t>
            </w:r>
          </w:p>
          <w:p w14:paraId="2BCF472D" w14:textId="72547A2F" w:rsidR="00483A7F" w:rsidRPr="009B78DA" w:rsidRDefault="00483A7F" w:rsidP="00D40C5D">
            <w:pPr>
              <w:ind w:left="113" w:right="113"/>
              <w:jc w:val="center"/>
              <w:rPr>
                <w:rFonts w:ascii="Arial" w:hAnsi="Arial" w:cs="Arial"/>
                <w:color w:val="000000" w:themeColor="text1"/>
                <w:sz w:val="19"/>
                <w:szCs w:val="19"/>
              </w:rPr>
            </w:pPr>
            <w:r w:rsidRPr="009B78DA">
              <w:rPr>
                <w:rFonts w:ascii="Arial" w:hAnsi="Arial" w:cs="Arial"/>
                <w:color w:val="000000" w:themeColor="text1"/>
                <w:sz w:val="19"/>
                <w:szCs w:val="19"/>
              </w:rPr>
              <w:t>ochrony i poprawy jakości środowiska naturalnego</w:t>
            </w:r>
          </w:p>
          <w:p w14:paraId="49EA4C68" w14:textId="77777777" w:rsidR="00483A7F" w:rsidRPr="009B78DA" w:rsidRDefault="00483A7F" w:rsidP="00D40C5D">
            <w:pPr>
              <w:ind w:left="113" w:right="113"/>
              <w:jc w:val="center"/>
              <w:rPr>
                <w:rFonts w:ascii="Arial" w:hAnsi="Arial" w:cs="Arial"/>
                <w:color w:val="000000" w:themeColor="text1"/>
                <w:sz w:val="19"/>
                <w:szCs w:val="19"/>
              </w:rPr>
            </w:pPr>
          </w:p>
        </w:tc>
      </w:tr>
      <w:tr w:rsidR="006F4FD2" w:rsidRPr="009B78DA" w14:paraId="081F8475" w14:textId="77777777" w:rsidTr="00D40C5D">
        <w:trPr>
          <w:trHeight w:val="1327"/>
        </w:trPr>
        <w:tc>
          <w:tcPr>
            <w:tcW w:w="1372" w:type="pct"/>
            <w:vAlign w:val="center"/>
          </w:tcPr>
          <w:p w14:paraId="67491ECC" w14:textId="2DE06046" w:rsidR="00483A7F" w:rsidRPr="009B78DA" w:rsidRDefault="00483A7F" w:rsidP="00D40C5D">
            <w:pPr>
              <w:jc w:val="center"/>
              <w:rPr>
                <w:rFonts w:ascii="Arial" w:hAnsi="Arial" w:cs="Arial"/>
                <w:iCs/>
                <w:color w:val="000000" w:themeColor="text1"/>
                <w:sz w:val="22"/>
                <w:szCs w:val="22"/>
              </w:rPr>
            </w:pPr>
            <w:r w:rsidRPr="009B78DA">
              <w:rPr>
                <w:rFonts w:ascii="Arial" w:hAnsi="Arial" w:cs="Arial"/>
                <w:iCs/>
                <w:color w:val="000000" w:themeColor="text1"/>
                <w:sz w:val="22"/>
                <w:szCs w:val="22"/>
              </w:rPr>
              <w:t>Zakup bezemisyjnego taboru kolejowego do wykonywania przewozów pasażerskich na terenie Województwa Podkarpackiego</w:t>
            </w:r>
          </w:p>
        </w:tc>
        <w:tc>
          <w:tcPr>
            <w:tcW w:w="457" w:type="pct"/>
            <w:vAlign w:val="center"/>
          </w:tcPr>
          <w:p w14:paraId="7B2F6DE5" w14:textId="13DA395F" w:rsidR="00483A7F" w:rsidRPr="009B78DA" w:rsidRDefault="00E73B44" w:rsidP="00D40C5D">
            <w:pPr>
              <w:jc w:val="center"/>
              <w:rPr>
                <w:rFonts w:ascii="Arial" w:hAnsi="Arial" w:cs="Arial"/>
                <w:iCs/>
                <w:color w:val="000000" w:themeColor="text1"/>
                <w:sz w:val="22"/>
                <w:szCs w:val="22"/>
              </w:rPr>
            </w:pPr>
            <w:r w:rsidRPr="009B78DA">
              <w:rPr>
                <w:rFonts w:ascii="Arial" w:hAnsi="Arial" w:cs="Arial"/>
                <w:iCs/>
                <w:color w:val="000000" w:themeColor="text1"/>
                <w:sz w:val="22"/>
                <w:szCs w:val="22"/>
              </w:rPr>
              <w:t>6</w:t>
            </w:r>
            <w:r w:rsidR="00483A7F" w:rsidRPr="009B78DA">
              <w:rPr>
                <w:rFonts w:ascii="Arial" w:hAnsi="Arial" w:cs="Arial"/>
                <w:iCs/>
                <w:color w:val="000000" w:themeColor="text1"/>
                <w:sz w:val="22"/>
                <w:szCs w:val="22"/>
              </w:rPr>
              <w:t xml:space="preserve"> szt.</w:t>
            </w:r>
          </w:p>
        </w:tc>
        <w:tc>
          <w:tcPr>
            <w:tcW w:w="322" w:type="pct"/>
            <w:vAlign w:val="center"/>
          </w:tcPr>
          <w:p w14:paraId="6597D8B5" w14:textId="7A499921" w:rsidR="00483A7F" w:rsidRPr="009B78DA" w:rsidRDefault="00E73B44" w:rsidP="00D40C5D">
            <w:pPr>
              <w:jc w:val="center"/>
              <w:rPr>
                <w:rFonts w:ascii="Arial" w:hAnsi="Arial" w:cs="Arial"/>
                <w:iCs/>
                <w:color w:val="000000" w:themeColor="text1"/>
                <w:sz w:val="22"/>
                <w:szCs w:val="22"/>
              </w:rPr>
            </w:pPr>
            <w:r w:rsidRPr="009B78DA">
              <w:rPr>
                <w:rFonts w:ascii="Arial" w:hAnsi="Arial" w:cs="Arial"/>
                <w:iCs/>
                <w:color w:val="000000" w:themeColor="text1"/>
                <w:sz w:val="22"/>
                <w:szCs w:val="22"/>
              </w:rPr>
              <w:t>175</w:t>
            </w:r>
          </w:p>
        </w:tc>
        <w:tc>
          <w:tcPr>
            <w:tcW w:w="486" w:type="pct"/>
            <w:vAlign w:val="center"/>
          </w:tcPr>
          <w:p w14:paraId="0D6194F6" w14:textId="77777777" w:rsidR="00483A7F" w:rsidRPr="009B78DA" w:rsidRDefault="00483A7F" w:rsidP="00D40C5D">
            <w:pPr>
              <w:jc w:val="center"/>
              <w:rPr>
                <w:rFonts w:ascii="Arial" w:hAnsi="Arial" w:cs="Arial"/>
                <w:iCs/>
                <w:color w:val="000000" w:themeColor="text1"/>
                <w:sz w:val="22"/>
                <w:szCs w:val="22"/>
              </w:rPr>
            </w:pPr>
            <w:r w:rsidRPr="009B78DA">
              <w:rPr>
                <w:rFonts w:ascii="Arial" w:hAnsi="Arial" w:cs="Arial"/>
                <w:iCs/>
                <w:color w:val="000000" w:themeColor="text1"/>
                <w:sz w:val="22"/>
                <w:szCs w:val="22"/>
              </w:rPr>
              <w:t>tak</w:t>
            </w:r>
          </w:p>
        </w:tc>
        <w:tc>
          <w:tcPr>
            <w:tcW w:w="417" w:type="pct"/>
            <w:vAlign w:val="center"/>
          </w:tcPr>
          <w:p w14:paraId="739C68D9" w14:textId="77777777" w:rsidR="00483A7F" w:rsidRPr="009B78DA" w:rsidRDefault="00483A7F" w:rsidP="00D40C5D">
            <w:pPr>
              <w:jc w:val="center"/>
              <w:rPr>
                <w:rFonts w:ascii="Arial" w:hAnsi="Arial" w:cs="Arial"/>
                <w:iCs/>
                <w:color w:val="000000" w:themeColor="text1"/>
                <w:sz w:val="22"/>
                <w:szCs w:val="22"/>
              </w:rPr>
            </w:pPr>
            <w:r w:rsidRPr="009B78DA">
              <w:rPr>
                <w:rFonts w:ascii="Arial" w:hAnsi="Arial" w:cs="Arial"/>
                <w:iCs/>
                <w:color w:val="000000" w:themeColor="text1"/>
                <w:sz w:val="22"/>
                <w:szCs w:val="22"/>
              </w:rPr>
              <w:t>tak</w:t>
            </w:r>
          </w:p>
        </w:tc>
        <w:tc>
          <w:tcPr>
            <w:tcW w:w="695" w:type="pct"/>
            <w:vAlign w:val="center"/>
          </w:tcPr>
          <w:p w14:paraId="526F319C" w14:textId="77777777" w:rsidR="00483A7F" w:rsidRPr="009B78DA" w:rsidRDefault="00483A7F" w:rsidP="00D40C5D">
            <w:pPr>
              <w:jc w:val="center"/>
              <w:rPr>
                <w:rFonts w:ascii="Arial" w:hAnsi="Arial" w:cs="Arial"/>
                <w:iCs/>
                <w:color w:val="000000" w:themeColor="text1"/>
                <w:sz w:val="22"/>
                <w:szCs w:val="22"/>
              </w:rPr>
            </w:pPr>
            <w:r w:rsidRPr="009B78DA">
              <w:rPr>
                <w:rFonts w:ascii="Arial" w:hAnsi="Arial" w:cs="Arial"/>
                <w:iCs/>
                <w:color w:val="000000" w:themeColor="text1"/>
                <w:sz w:val="22"/>
                <w:szCs w:val="22"/>
              </w:rPr>
              <w:t>tak</w:t>
            </w:r>
          </w:p>
        </w:tc>
        <w:tc>
          <w:tcPr>
            <w:tcW w:w="556" w:type="pct"/>
            <w:vAlign w:val="center"/>
          </w:tcPr>
          <w:p w14:paraId="0ECF135A" w14:textId="77777777" w:rsidR="00483A7F" w:rsidRPr="009B78DA" w:rsidRDefault="00483A7F" w:rsidP="00D40C5D">
            <w:pPr>
              <w:jc w:val="center"/>
              <w:rPr>
                <w:rFonts w:ascii="Arial" w:hAnsi="Arial" w:cs="Arial"/>
                <w:iCs/>
                <w:color w:val="000000" w:themeColor="text1"/>
                <w:sz w:val="22"/>
                <w:szCs w:val="22"/>
              </w:rPr>
            </w:pPr>
            <w:r w:rsidRPr="009B78DA">
              <w:rPr>
                <w:rFonts w:ascii="Arial" w:hAnsi="Arial" w:cs="Arial"/>
                <w:iCs/>
                <w:color w:val="000000" w:themeColor="text1"/>
                <w:sz w:val="22"/>
                <w:szCs w:val="22"/>
              </w:rPr>
              <w:t>tak</w:t>
            </w:r>
          </w:p>
        </w:tc>
        <w:tc>
          <w:tcPr>
            <w:tcW w:w="695" w:type="pct"/>
            <w:vAlign w:val="center"/>
          </w:tcPr>
          <w:p w14:paraId="392629D4" w14:textId="77777777" w:rsidR="00483A7F" w:rsidRPr="009B78DA" w:rsidRDefault="00483A7F" w:rsidP="00D40C5D">
            <w:pPr>
              <w:jc w:val="center"/>
              <w:rPr>
                <w:rFonts w:ascii="Arial" w:hAnsi="Arial" w:cs="Arial"/>
                <w:iCs/>
                <w:color w:val="000000" w:themeColor="text1"/>
                <w:sz w:val="22"/>
                <w:szCs w:val="22"/>
              </w:rPr>
            </w:pPr>
            <w:r w:rsidRPr="009B78DA">
              <w:rPr>
                <w:rFonts w:ascii="Arial" w:hAnsi="Arial" w:cs="Arial"/>
                <w:iCs/>
                <w:color w:val="000000" w:themeColor="text1"/>
                <w:sz w:val="22"/>
                <w:szCs w:val="22"/>
              </w:rPr>
              <w:t>tak</w:t>
            </w:r>
          </w:p>
        </w:tc>
      </w:tr>
    </w:tbl>
    <w:p w14:paraId="09BE3866" w14:textId="196EBD54" w:rsidR="00934830" w:rsidRPr="009B78DA" w:rsidRDefault="00934830" w:rsidP="00A91E2C">
      <w:pPr>
        <w:spacing w:before="120" w:after="120" w:line="276" w:lineRule="auto"/>
        <w:jc w:val="center"/>
        <w:rPr>
          <w:rFonts w:ascii="Arial" w:hAnsi="Arial" w:cs="Arial"/>
          <w:b/>
          <w:color w:val="000000" w:themeColor="text1"/>
        </w:rPr>
      </w:pPr>
      <w:r w:rsidRPr="009B78DA">
        <w:rPr>
          <w:rFonts w:ascii="Arial" w:hAnsi="Arial" w:cs="Arial"/>
          <w:b/>
          <w:color w:val="000000" w:themeColor="text1"/>
        </w:rPr>
        <w:t>Wojewódzki Fundusz Kolejowy</w:t>
      </w:r>
    </w:p>
    <w:p w14:paraId="1AA93B2E" w14:textId="77777777" w:rsidR="00934830" w:rsidRPr="00A91E2C" w:rsidRDefault="00934830" w:rsidP="00A91E2C">
      <w:pPr>
        <w:spacing w:after="0" w:line="276" w:lineRule="auto"/>
        <w:ind w:firstLine="567"/>
        <w:rPr>
          <w:rFonts w:ascii="Arial" w:hAnsi="Arial" w:cs="Arial"/>
          <w:color w:val="000000" w:themeColor="text1"/>
          <w:sz w:val="22"/>
          <w:szCs w:val="22"/>
        </w:rPr>
      </w:pPr>
      <w:r w:rsidRPr="00A91E2C">
        <w:rPr>
          <w:rFonts w:ascii="Arial" w:hAnsi="Arial" w:cs="Arial"/>
          <w:color w:val="000000" w:themeColor="text1"/>
          <w:sz w:val="22"/>
          <w:szCs w:val="22"/>
        </w:rPr>
        <w:t>Województwo Podkarpackie w latach 2016 – 2023 realizuje projekt Wojewódzkiego Funduszu Kolejowego. Uwzględniając utrudnione warunki dostępu podróżnych do przystanków komunikacyjnych, które często nie odpowiadają standardom jakościowym przewidzianym dla komunikacji zbiorowej, Marszałek Województwa Podkarpackiego podjął działania celem zainteresowania Jednostek Samorządu Terytorialnego poprawą warunków dostępu mieszkańców do przystanków kolejowych, na ich terenie.</w:t>
      </w:r>
    </w:p>
    <w:p w14:paraId="695014AC" w14:textId="7328994E" w:rsidR="00934830" w:rsidRPr="00A91E2C" w:rsidRDefault="00934830" w:rsidP="00A91E2C">
      <w:pPr>
        <w:spacing w:after="0" w:line="276" w:lineRule="auto"/>
        <w:ind w:firstLine="567"/>
        <w:rPr>
          <w:rFonts w:ascii="Arial" w:hAnsi="Arial" w:cs="Arial"/>
          <w:color w:val="000000" w:themeColor="text1"/>
          <w:sz w:val="22"/>
          <w:szCs w:val="22"/>
        </w:rPr>
      </w:pPr>
      <w:r w:rsidRPr="00A91E2C">
        <w:rPr>
          <w:rFonts w:ascii="Arial" w:hAnsi="Arial" w:cs="Arial"/>
          <w:color w:val="000000" w:themeColor="text1"/>
          <w:sz w:val="22"/>
          <w:szCs w:val="22"/>
        </w:rPr>
        <w:t xml:space="preserve">W dniu 3 września 2015 r. nastąpiło uroczyste podpisanie Listów Intencyjnych określających zasad </w:t>
      </w:r>
      <w:r w:rsidRPr="00A91E2C">
        <w:rPr>
          <w:rFonts w:ascii="Arial" w:hAnsi="Arial" w:cs="Arial"/>
          <w:color w:val="000000" w:themeColor="text1"/>
          <w:sz w:val="22"/>
          <w:szCs w:val="22"/>
          <w:shd w:val="clear" w:color="auto" w:fill="FFFFFF"/>
        </w:rPr>
        <w:t xml:space="preserve">współpracy przy tworzeniu ww. projektu, następnie w dniu </w:t>
      </w:r>
      <w:r w:rsidRPr="00A91E2C">
        <w:rPr>
          <w:rFonts w:ascii="Arial" w:hAnsi="Arial" w:cs="Arial"/>
          <w:color w:val="000000" w:themeColor="text1"/>
          <w:sz w:val="22"/>
          <w:szCs w:val="22"/>
        </w:rPr>
        <w:t>19.02.2016</w:t>
      </w:r>
      <w:r w:rsidR="000D5E09" w:rsidRPr="00A91E2C">
        <w:rPr>
          <w:rFonts w:ascii="Arial" w:hAnsi="Arial" w:cs="Arial"/>
          <w:color w:val="000000" w:themeColor="text1"/>
          <w:sz w:val="22"/>
          <w:szCs w:val="22"/>
        </w:rPr>
        <w:t xml:space="preserve"> </w:t>
      </w:r>
      <w:r w:rsidRPr="00A91E2C">
        <w:rPr>
          <w:rFonts w:ascii="Arial" w:hAnsi="Arial" w:cs="Arial"/>
          <w:color w:val="000000" w:themeColor="text1"/>
          <w:sz w:val="22"/>
          <w:szCs w:val="22"/>
        </w:rPr>
        <w:t>r. podpisano Porozumienia uszczegóławiające zapisy Listu oraz wdrażającego harmonogram realizacji inwestycji w poszczególnyc</w:t>
      </w:r>
      <w:r w:rsidR="007B0436">
        <w:rPr>
          <w:rFonts w:ascii="Arial" w:hAnsi="Arial" w:cs="Arial"/>
          <w:color w:val="000000" w:themeColor="text1"/>
          <w:sz w:val="22"/>
          <w:szCs w:val="22"/>
        </w:rPr>
        <w:t>h latach na liniach kolejowych.</w:t>
      </w:r>
    </w:p>
    <w:p w14:paraId="4035F6D5" w14:textId="6C2FBC76" w:rsidR="00934830" w:rsidRPr="00A91E2C" w:rsidRDefault="00934830" w:rsidP="00A91E2C">
      <w:pPr>
        <w:spacing w:after="0" w:line="276" w:lineRule="auto"/>
        <w:ind w:firstLine="567"/>
        <w:rPr>
          <w:rFonts w:ascii="Arial" w:hAnsi="Arial" w:cs="Arial"/>
          <w:color w:val="000000" w:themeColor="text1"/>
          <w:sz w:val="22"/>
          <w:szCs w:val="22"/>
        </w:rPr>
      </w:pPr>
      <w:r w:rsidRPr="00A91E2C">
        <w:rPr>
          <w:rFonts w:ascii="Arial" w:hAnsi="Arial" w:cs="Arial"/>
          <w:color w:val="000000" w:themeColor="text1"/>
          <w:sz w:val="22"/>
          <w:szCs w:val="22"/>
        </w:rPr>
        <w:t>Projekt jest wspólną inicjatywą Województwa Podkarpa</w:t>
      </w:r>
      <w:r w:rsidR="007B0436">
        <w:rPr>
          <w:rFonts w:ascii="Arial" w:hAnsi="Arial" w:cs="Arial"/>
          <w:color w:val="000000" w:themeColor="text1"/>
          <w:sz w:val="22"/>
          <w:szCs w:val="22"/>
        </w:rPr>
        <w:t xml:space="preserve">ckiego oraz poszczególnych JST </w:t>
      </w:r>
      <w:r w:rsidRPr="00A91E2C">
        <w:rPr>
          <w:rFonts w:ascii="Arial" w:hAnsi="Arial" w:cs="Arial"/>
          <w:color w:val="000000" w:themeColor="text1"/>
          <w:sz w:val="22"/>
          <w:szCs w:val="22"/>
        </w:rPr>
        <w:t>zlokalizowanych wzdłuż przebiegu linii kolejowych zakładającą wzajemne współdziałanie</w:t>
      </w:r>
      <w:r w:rsidR="007B0436">
        <w:rPr>
          <w:rFonts w:ascii="Arial" w:hAnsi="Arial" w:cs="Arial"/>
          <w:color w:val="000000" w:themeColor="text1"/>
          <w:sz w:val="22"/>
          <w:szCs w:val="22"/>
        </w:rPr>
        <w:t xml:space="preserve"> </w:t>
      </w:r>
      <w:r w:rsidRPr="00A91E2C">
        <w:rPr>
          <w:rFonts w:ascii="Arial" w:hAnsi="Arial" w:cs="Arial"/>
          <w:color w:val="000000" w:themeColor="text1"/>
          <w:sz w:val="22"/>
          <w:szCs w:val="22"/>
        </w:rPr>
        <w:t>i pomoc finansową w realizacji zadań inwestycyjnych tj. budowa zadaszeń (wiat przystankowych), ścieżek dojścia i dróg dojazdowych, parkingów, oświetlenia przystanków, miejsc do siedzenia (ławek), podjazdów dla osób niepełnosprawnych, stojaków rowerowych itp.</w:t>
      </w:r>
    </w:p>
    <w:p w14:paraId="68934409" w14:textId="254ECCC7" w:rsidR="00934830" w:rsidRPr="00A91E2C" w:rsidRDefault="00934830" w:rsidP="00A91E2C">
      <w:pPr>
        <w:spacing w:after="0" w:line="276" w:lineRule="auto"/>
        <w:ind w:firstLine="426"/>
        <w:rPr>
          <w:rFonts w:ascii="Arial" w:hAnsi="Arial" w:cs="Arial"/>
          <w:vanish/>
          <w:color w:val="000000" w:themeColor="text1"/>
          <w:sz w:val="22"/>
          <w:szCs w:val="22"/>
        </w:rPr>
      </w:pPr>
      <w:r w:rsidRPr="00A91E2C">
        <w:rPr>
          <w:rFonts w:ascii="Arial" w:hAnsi="Arial" w:cs="Arial"/>
          <w:color w:val="000000" w:themeColor="text1"/>
          <w:sz w:val="22"/>
          <w:szCs w:val="22"/>
        </w:rPr>
        <w:t>Projekt zakłada, że funkcję inwestora i beneficjentem wsparcia dla poszczególnych robót inwestycyjnych pełnić będzie w danym roku jedna JST (lub kilka JST) na terenie której prowadzona będzie inwestycja zgodnie z wypracowanym przez jednostki samorządu terytorialnego zlokalizowane wzdłuż danej linii kolejowej harmonogramem robót na kolejne lata.</w:t>
      </w:r>
    </w:p>
    <w:p w14:paraId="74A5EB4D" w14:textId="0B30C9F3" w:rsidR="00934830" w:rsidRPr="00A91E2C" w:rsidRDefault="00934830" w:rsidP="00A91E2C">
      <w:pPr>
        <w:spacing w:after="0" w:line="276" w:lineRule="auto"/>
        <w:ind w:firstLine="360"/>
        <w:rPr>
          <w:rFonts w:ascii="Arial" w:hAnsi="Arial" w:cs="Arial"/>
          <w:color w:val="000000" w:themeColor="text1"/>
          <w:sz w:val="22"/>
          <w:szCs w:val="22"/>
        </w:rPr>
      </w:pPr>
      <w:r w:rsidRPr="00A91E2C">
        <w:rPr>
          <w:rFonts w:ascii="Arial" w:hAnsi="Arial" w:cs="Arial"/>
          <w:color w:val="000000" w:themeColor="text1"/>
          <w:sz w:val="22"/>
          <w:szCs w:val="22"/>
        </w:rPr>
        <w:t xml:space="preserve">JST prowadząca inwestycję będzie otrzymywać dotacje celowe przeznaczone na dofinansowanie kosztów wykonania danego zadania na podstawie art. 220 </w:t>
      </w:r>
      <w:r w:rsidRPr="00A91E2C">
        <w:rPr>
          <w:rFonts w:ascii="Arial" w:hAnsi="Arial" w:cs="Arial"/>
          <w:i/>
          <w:color w:val="000000" w:themeColor="text1"/>
          <w:sz w:val="22"/>
          <w:szCs w:val="22"/>
        </w:rPr>
        <w:t xml:space="preserve">ustawy </w:t>
      </w:r>
      <w:r w:rsidR="007B0436">
        <w:rPr>
          <w:rFonts w:ascii="Arial" w:hAnsi="Arial" w:cs="Arial"/>
          <w:i/>
          <w:color w:val="000000" w:themeColor="text1"/>
          <w:sz w:val="22"/>
          <w:szCs w:val="22"/>
        </w:rPr>
        <w:br/>
      </w:r>
      <w:r w:rsidRPr="00A91E2C">
        <w:rPr>
          <w:rFonts w:ascii="Arial" w:hAnsi="Arial" w:cs="Arial"/>
          <w:i/>
          <w:color w:val="000000" w:themeColor="text1"/>
          <w:sz w:val="22"/>
          <w:szCs w:val="22"/>
        </w:rPr>
        <w:t>o finansach publicznych</w:t>
      </w:r>
      <w:r w:rsidRPr="00A91E2C">
        <w:rPr>
          <w:rFonts w:ascii="Arial" w:hAnsi="Arial" w:cs="Arial"/>
          <w:color w:val="000000" w:themeColor="text1"/>
          <w:sz w:val="22"/>
          <w:szCs w:val="22"/>
        </w:rPr>
        <w:t>. Dotacje celowe pochodzić będą z budżetów JST położonych wzdłuż danej linii kolejowej i z budżetu Województwa Podkarpackiego. Dotacje będą przekazywane na podstawie umowy w sprawie udzielenia pomocy finansow</w:t>
      </w:r>
      <w:r w:rsidR="007B0436">
        <w:rPr>
          <w:rFonts w:ascii="Arial" w:hAnsi="Arial" w:cs="Arial"/>
          <w:color w:val="000000" w:themeColor="text1"/>
          <w:sz w:val="22"/>
          <w:szCs w:val="22"/>
        </w:rPr>
        <w:t>ej.</w:t>
      </w:r>
    </w:p>
    <w:p w14:paraId="1C40E79B" w14:textId="69C03782" w:rsidR="00934830" w:rsidRPr="00A91E2C" w:rsidRDefault="00934830" w:rsidP="00A91E2C">
      <w:pPr>
        <w:pStyle w:val="Akapitzlist"/>
        <w:spacing w:after="0" w:line="276" w:lineRule="auto"/>
        <w:ind w:left="0" w:firstLine="360"/>
        <w:contextualSpacing w:val="0"/>
        <w:rPr>
          <w:rFonts w:ascii="Arial" w:hAnsi="Arial" w:cs="Arial"/>
          <w:color w:val="000000" w:themeColor="text1"/>
          <w:sz w:val="22"/>
          <w:szCs w:val="22"/>
        </w:rPr>
      </w:pPr>
      <w:r w:rsidRPr="00A91E2C">
        <w:rPr>
          <w:rFonts w:ascii="Arial" w:hAnsi="Arial" w:cs="Arial"/>
          <w:color w:val="000000" w:themeColor="text1"/>
          <w:sz w:val="22"/>
          <w:szCs w:val="22"/>
        </w:rPr>
        <w:t xml:space="preserve">Uczestnicy projektu zadeklarowali stałą kwotę wkładu finansowego w formie dotacji celowej w wysokości 20 000 PLN na rok, przekazywanej na podstawie stosownych umów </w:t>
      </w:r>
      <w:r w:rsidR="007B0436">
        <w:rPr>
          <w:rFonts w:ascii="Arial" w:hAnsi="Arial" w:cs="Arial"/>
          <w:color w:val="000000" w:themeColor="text1"/>
          <w:sz w:val="22"/>
          <w:szCs w:val="22"/>
        </w:rPr>
        <w:br/>
      </w:r>
      <w:r w:rsidRPr="00A91E2C">
        <w:rPr>
          <w:rFonts w:ascii="Arial" w:hAnsi="Arial" w:cs="Arial"/>
          <w:color w:val="000000" w:themeColor="text1"/>
          <w:sz w:val="22"/>
          <w:szCs w:val="22"/>
        </w:rPr>
        <w:t>o wzajemnej pomocy finansowej. Województwo Podkarpackie zadeklarowało wsparcie finansowe dla powyższego projektu poprzez coroczne przekazywanie wspomnianej kwoty dla każdej linii kolejowej na realizowane projekty.</w:t>
      </w:r>
    </w:p>
    <w:p w14:paraId="3EC3EA3E" w14:textId="5DD11DCD" w:rsidR="00934830" w:rsidRPr="007B0436" w:rsidRDefault="00934830" w:rsidP="007B0436">
      <w:pPr>
        <w:spacing w:after="120" w:line="276" w:lineRule="auto"/>
        <w:ind w:firstLine="357"/>
        <w:rPr>
          <w:rFonts w:ascii="Arial" w:hAnsi="Arial" w:cs="Arial"/>
          <w:color w:val="000000" w:themeColor="text1"/>
          <w:sz w:val="22"/>
          <w:szCs w:val="22"/>
        </w:rPr>
      </w:pPr>
      <w:r w:rsidRPr="00A91E2C">
        <w:rPr>
          <w:rFonts w:ascii="Arial" w:hAnsi="Arial" w:cs="Arial"/>
          <w:color w:val="000000" w:themeColor="text1"/>
          <w:sz w:val="22"/>
          <w:szCs w:val="22"/>
        </w:rPr>
        <w:t>JST uczestniczące w projekcie „Wojewódzki Fundusz Kolejowy” na pos</w:t>
      </w:r>
      <w:r w:rsidR="007B0436">
        <w:rPr>
          <w:rFonts w:ascii="Arial" w:hAnsi="Arial" w:cs="Arial"/>
          <w:color w:val="000000" w:themeColor="text1"/>
          <w:sz w:val="22"/>
          <w:szCs w:val="22"/>
        </w:rPr>
        <w:t>zczególnych liniach kolejowych:</w:t>
      </w:r>
    </w:p>
    <w:p w14:paraId="7CFE3100" w14:textId="77777777" w:rsidR="00934830" w:rsidRPr="00A91E2C" w:rsidRDefault="00934830" w:rsidP="00A91E2C">
      <w:pPr>
        <w:spacing w:after="0" w:line="276" w:lineRule="auto"/>
        <w:rPr>
          <w:rFonts w:ascii="Arial" w:hAnsi="Arial" w:cs="Arial"/>
          <w:b/>
          <w:color w:val="000000" w:themeColor="text1"/>
          <w:sz w:val="22"/>
          <w:szCs w:val="22"/>
        </w:rPr>
      </w:pPr>
      <w:r w:rsidRPr="00A91E2C">
        <w:rPr>
          <w:rFonts w:ascii="Arial" w:hAnsi="Arial" w:cs="Arial"/>
          <w:b/>
          <w:color w:val="000000" w:themeColor="text1"/>
          <w:sz w:val="22"/>
          <w:szCs w:val="22"/>
        </w:rPr>
        <w:t>Linia nr 68:</w:t>
      </w:r>
    </w:p>
    <w:p w14:paraId="3EAAC88F" w14:textId="77777777" w:rsidR="00934830" w:rsidRPr="00A91E2C" w:rsidRDefault="00934830" w:rsidP="00A91E2C">
      <w:pPr>
        <w:pStyle w:val="Akapitzlist"/>
        <w:numPr>
          <w:ilvl w:val="0"/>
          <w:numId w:val="295"/>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Miasto Stalowa Wola.</w:t>
      </w:r>
    </w:p>
    <w:p w14:paraId="55DC4954" w14:textId="5FCC0D00" w:rsidR="00934830" w:rsidRPr="007B0436" w:rsidRDefault="00934830" w:rsidP="007B0436">
      <w:pPr>
        <w:pStyle w:val="Akapitzlist"/>
        <w:numPr>
          <w:ilvl w:val="0"/>
          <w:numId w:val="295"/>
        </w:numPr>
        <w:spacing w:after="120" w:line="276" w:lineRule="auto"/>
        <w:ind w:left="714" w:hanging="357"/>
        <w:contextualSpacing w:val="0"/>
        <w:rPr>
          <w:rFonts w:ascii="Arial" w:hAnsi="Arial" w:cs="Arial"/>
          <w:color w:val="000000" w:themeColor="text1"/>
          <w:sz w:val="22"/>
          <w:szCs w:val="22"/>
        </w:rPr>
      </w:pPr>
      <w:r w:rsidRPr="00A91E2C">
        <w:rPr>
          <w:rFonts w:ascii="Arial" w:hAnsi="Arial" w:cs="Arial"/>
          <w:color w:val="000000" w:themeColor="text1"/>
          <w:sz w:val="22"/>
          <w:szCs w:val="22"/>
        </w:rPr>
        <w:t>Miasto Nisko.</w:t>
      </w:r>
    </w:p>
    <w:p w14:paraId="0C30495B" w14:textId="77777777" w:rsidR="00934830" w:rsidRPr="00A91E2C" w:rsidRDefault="00934830" w:rsidP="00A91E2C">
      <w:pPr>
        <w:spacing w:after="0" w:line="276" w:lineRule="auto"/>
        <w:rPr>
          <w:rFonts w:ascii="Arial" w:hAnsi="Arial" w:cs="Arial"/>
          <w:b/>
          <w:color w:val="000000" w:themeColor="text1"/>
          <w:sz w:val="22"/>
          <w:szCs w:val="22"/>
        </w:rPr>
      </w:pPr>
      <w:r w:rsidRPr="00A91E2C">
        <w:rPr>
          <w:rFonts w:ascii="Arial" w:hAnsi="Arial" w:cs="Arial"/>
          <w:b/>
          <w:color w:val="000000" w:themeColor="text1"/>
          <w:sz w:val="22"/>
          <w:szCs w:val="22"/>
        </w:rPr>
        <w:t>Linia nr 71:</w:t>
      </w:r>
    </w:p>
    <w:p w14:paraId="337ADAF0" w14:textId="77777777" w:rsidR="00934830" w:rsidRPr="00A91E2C" w:rsidRDefault="00934830" w:rsidP="00A91E2C">
      <w:pPr>
        <w:pStyle w:val="Akapitzlist"/>
        <w:numPr>
          <w:ilvl w:val="0"/>
          <w:numId w:val="296"/>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Głogów Małopolski.</w:t>
      </w:r>
    </w:p>
    <w:p w14:paraId="0B2DE97B" w14:textId="77777777" w:rsidR="00934830" w:rsidRPr="00A91E2C" w:rsidRDefault="00934830" w:rsidP="00A91E2C">
      <w:pPr>
        <w:pStyle w:val="Akapitzlist"/>
        <w:numPr>
          <w:ilvl w:val="0"/>
          <w:numId w:val="296"/>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Kolbuszowa.</w:t>
      </w:r>
    </w:p>
    <w:p w14:paraId="52101AB1" w14:textId="4824A97F" w:rsidR="00934830" w:rsidRPr="007B0436" w:rsidRDefault="00934830" w:rsidP="007B0436">
      <w:pPr>
        <w:pStyle w:val="Akapitzlist"/>
        <w:numPr>
          <w:ilvl w:val="0"/>
          <w:numId w:val="296"/>
        </w:numPr>
        <w:spacing w:after="120" w:line="276" w:lineRule="auto"/>
        <w:ind w:left="714" w:hanging="357"/>
        <w:contextualSpacing w:val="0"/>
        <w:rPr>
          <w:rFonts w:ascii="Arial" w:hAnsi="Arial" w:cs="Arial"/>
          <w:color w:val="000000" w:themeColor="text1"/>
          <w:sz w:val="22"/>
          <w:szCs w:val="22"/>
        </w:rPr>
      </w:pPr>
      <w:r w:rsidRPr="00A91E2C">
        <w:rPr>
          <w:rFonts w:ascii="Arial" w:hAnsi="Arial" w:cs="Arial"/>
          <w:color w:val="000000" w:themeColor="text1"/>
          <w:sz w:val="22"/>
          <w:szCs w:val="22"/>
        </w:rPr>
        <w:t>Miasto Tarnobrzeg.</w:t>
      </w:r>
    </w:p>
    <w:p w14:paraId="169F0BA8" w14:textId="77777777" w:rsidR="00934830" w:rsidRPr="00A91E2C" w:rsidRDefault="00934830" w:rsidP="00A91E2C">
      <w:pPr>
        <w:spacing w:after="0" w:line="276" w:lineRule="auto"/>
        <w:rPr>
          <w:rFonts w:ascii="Arial" w:hAnsi="Arial" w:cs="Arial"/>
          <w:b/>
          <w:color w:val="000000" w:themeColor="text1"/>
          <w:sz w:val="22"/>
          <w:szCs w:val="22"/>
        </w:rPr>
      </w:pPr>
      <w:r w:rsidRPr="00A91E2C">
        <w:rPr>
          <w:rFonts w:ascii="Arial" w:hAnsi="Arial" w:cs="Arial"/>
          <w:b/>
          <w:color w:val="000000" w:themeColor="text1"/>
          <w:sz w:val="22"/>
          <w:szCs w:val="22"/>
        </w:rPr>
        <w:t>Linia nr 101:</w:t>
      </w:r>
    </w:p>
    <w:p w14:paraId="6E8EED97" w14:textId="77777777" w:rsidR="00934830" w:rsidRPr="00A91E2C" w:rsidRDefault="00934830" w:rsidP="00A91E2C">
      <w:pPr>
        <w:pStyle w:val="Akapitzlist"/>
        <w:numPr>
          <w:ilvl w:val="0"/>
          <w:numId w:val="297"/>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Horyniec Zdrój.</w:t>
      </w:r>
    </w:p>
    <w:p w14:paraId="7C3DB795" w14:textId="77777777" w:rsidR="00934830" w:rsidRPr="00A91E2C" w:rsidRDefault="00934830" w:rsidP="00A91E2C">
      <w:pPr>
        <w:pStyle w:val="Akapitzlist"/>
        <w:numPr>
          <w:ilvl w:val="0"/>
          <w:numId w:val="297"/>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Miasto Lubaczów.</w:t>
      </w:r>
    </w:p>
    <w:p w14:paraId="66B8C789" w14:textId="77777777" w:rsidR="00934830" w:rsidRPr="00A91E2C" w:rsidRDefault="00934830" w:rsidP="00A91E2C">
      <w:pPr>
        <w:pStyle w:val="Akapitzlist"/>
        <w:numPr>
          <w:ilvl w:val="0"/>
          <w:numId w:val="297"/>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Oleszyce.</w:t>
      </w:r>
    </w:p>
    <w:p w14:paraId="07FDC62F" w14:textId="7288E666" w:rsidR="00934830" w:rsidRPr="007B0436" w:rsidRDefault="00934830" w:rsidP="007B0436">
      <w:pPr>
        <w:pStyle w:val="Akapitzlist"/>
        <w:numPr>
          <w:ilvl w:val="0"/>
          <w:numId w:val="297"/>
        </w:numPr>
        <w:spacing w:after="120" w:line="276" w:lineRule="auto"/>
        <w:ind w:left="714" w:hanging="357"/>
        <w:contextualSpacing w:val="0"/>
        <w:rPr>
          <w:rFonts w:ascii="Arial" w:hAnsi="Arial" w:cs="Arial"/>
          <w:color w:val="000000" w:themeColor="text1"/>
          <w:sz w:val="22"/>
          <w:szCs w:val="22"/>
        </w:rPr>
      </w:pPr>
      <w:r w:rsidRPr="00A91E2C">
        <w:rPr>
          <w:rFonts w:ascii="Arial" w:hAnsi="Arial" w:cs="Arial"/>
          <w:color w:val="000000" w:themeColor="text1"/>
          <w:sz w:val="22"/>
          <w:szCs w:val="22"/>
        </w:rPr>
        <w:t>Gmina Lubaczów.</w:t>
      </w:r>
    </w:p>
    <w:p w14:paraId="7AD3F2DA" w14:textId="77777777" w:rsidR="00934830" w:rsidRPr="00A91E2C" w:rsidRDefault="00934830" w:rsidP="00A91E2C">
      <w:pPr>
        <w:spacing w:after="0" w:line="276" w:lineRule="auto"/>
        <w:rPr>
          <w:rFonts w:ascii="Arial" w:hAnsi="Arial" w:cs="Arial"/>
          <w:b/>
          <w:color w:val="000000" w:themeColor="text1"/>
          <w:sz w:val="22"/>
          <w:szCs w:val="22"/>
        </w:rPr>
      </w:pPr>
      <w:r w:rsidRPr="00A91E2C">
        <w:rPr>
          <w:rFonts w:ascii="Arial" w:hAnsi="Arial" w:cs="Arial"/>
          <w:b/>
          <w:color w:val="000000" w:themeColor="text1"/>
          <w:sz w:val="22"/>
          <w:szCs w:val="22"/>
        </w:rPr>
        <w:t>Linia nr 106:</w:t>
      </w:r>
    </w:p>
    <w:p w14:paraId="30188511" w14:textId="77777777" w:rsidR="00934830" w:rsidRPr="00A91E2C" w:rsidRDefault="00934830" w:rsidP="00A91E2C">
      <w:pPr>
        <w:pStyle w:val="Akapitzlist"/>
        <w:numPr>
          <w:ilvl w:val="0"/>
          <w:numId w:val="298"/>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Boguchwała.</w:t>
      </w:r>
    </w:p>
    <w:p w14:paraId="37B597FF" w14:textId="77777777" w:rsidR="00934830" w:rsidRPr="00A91E2C" w:rsidRDefault="00934830" w:rsidP="00A91E2C">
      <w:pPr>
        <w:pStyle w:val="Akapitzlist"/>
        <w:numPr>
          <w:ilvl w:val="0"/>
          <w:numId w:val="298"/>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Czudec.</w:t>
      </w:r>
    </w:p>
    <w:p w14:paraId="4C94DBAA" w14:textId="77777777" w:rsidR="00934830" w:rsidRPr="00A91E2C" w:rsidRDefault="00934830" w:rsidP="00A91E2C">
      <w:pPr>
        <w:pStyle w:val="Akapitzlist"/>
        <w:numPr>
          <w:ilvl w:val="0"/>
          <w:numId w:val="298"/>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Wiśniowa.</w:t>
      </w:r>
    </w:p>
    <w:p w14:paraId="05BBF449" w14:textId="77777777" w:rsidR="00934830" w:rsidRPr="00A91E2C" w:rsidRDefault="00934830" w:rsidP="00A91E2C">
      <w:pPr>
        <w:pStyle w:val="Akapitzlist"/>
        <w:numPr>
          <w:ilvl w:val="0"/>
          <w:numId w:val="298"/>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Strzyżów.</w:t>
      </w:r>
    </w:p>
    <w:p w14:paraId="16973ABC" w14:textId="77777777" w:rsidR="00934830" w:rsidRPr="00A91E2C" w:rsidRDefault="00934830" w:rsidP="00A91E2C">
      <w:pPr>
        <w:pStyle w:val="Akapitzlist"/>
        <w:numPr>
          <w:ilvl w:val="0"/>
          <w:numId w:val="298"/>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Frysztak.</w:t>
      </w:r>
    </w:p>
    <w:p w14:paraId="42B50A33" w14:textId="77777777" w:rsidR="00934830" w:rsidRPr="00A91E2C" w:rsidRDefault="00934830" w:rsidP="00A91E2C">
      <w:pPr>
        <w:pStyle w:val="Akapitzlist"/>
        <w:numPr>
          <w:ilvl w:val="0"/>
          <w:numId w:val="298"/>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Wojaszówka.</w:t>
      </w:r>
    </w:p>
    <w:p w14:paraId="36552071" w14:textId="77777777" w:rsidR="00934830" w:rsidRPr="00A91E2C" w:rsidRDefault="00934830" w:rsidP="00A91E2C">
      <w:pPr>
        <w:pStyle w:val="Akapitzlist"/>
        <w:numPr>
          <w:ilvl w:val="0"/>
          <w:numId w:val="298"/>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Jasło.</w:t>
      </w:r>
    </w:p>
    <w:p w14:paraId="3DD04DCA" w14:textId="317571DB" w:rsidR="00934830" w:rsidRPr="007B0436" w:rsidRDefault="00934830" w:rsidP="007B0436">
      <w:pPr>
        <w:pStyle w:val="Akapitzlist"/>
        <w:numPr>
          <w:ilvl w:val="0"/>
          <w:numId w:val="298"/>
        </w:numPr>
        <w:spacing w:after="120" w:line="276" w:lineRule="auto"/>
        <w:ind w:left="714" w:hanging="357"/>
        <w:contextualSpacing w:val="0"/>
        <w:rPr>
          <w:rFonts w:ascii="Arial" w:hAnsi="Arial" w:cs="Arial"/>
          <w:color w:val="000000" w:themeColor="text1"/>
          <w:sz w:val="22"/>
          <w:szCs w:val="22"/>
        </w:rPr>
      </w:pPr>
      <w:r w:rsidRPr="00A91E2C">
        <w:rPr>
          <w:rFonts w:ascii="Arial" w:hAnsi="Arial" w:cs="Arial"/>
          <w:color w:val="000000" w:themeColor="text1"/>
          <w:sz w:val="22"/>
          <w:szCs w:val="22"/>
        </w:rPr>
        <w:t>Miasto Jasło.</w:t>
      </w:r>
    </w:p>
    <w:p w14:paraId="41F8C692" w14:textId="77777777" w:rsidR="00934830" w:rsidRPr="00A91E2C" w:rsidRDefault="00934830" w:rsidP="00A91E2C">
      <w:pPr>
        <w:spacing w:after="0" w:line="276" w:lineRule="auto"/>
        <w:rPr>
          <w:rFonts w:ascii="Arial" w:hAnsi="Arial" w:cs="Arial"/>
          <w:b/>
          <w:color w:val="000000" w:themeColor="text1"/>
          <w:sz w:val="22"/>
          <w:szCs w:val="22"/>
        </w:rPr>
      </w:pPr>
      <w:r w:rsidRPr="00A91E2C">
        <w:rPr>
          <w:rFonts w:ascii="Arial" w:hAnsi="Arial" w:cs="Arial"/>
          <w:b/>
          <w:color w:val="000000" w:themeColor="text1"/>
          <w:sz w:val="22"/>
          <w:szCs w:val="22"/>
        </w:rPr>
        <w:t>Linia nr 108:</w:t>
      </w:r>
    </w:p>
    <w:p w14:paraId="7FE69DC9" w14:textId="77777777" w:rsidR="00934830" w:rsidRPr="00A91E2C" w:rsidRDefault="00934830" w:rsidP="00A91E2C">
      <w:pPr>
        <w:pStyle w:val="Akapitzlist"/>
        <w:numPr>
          <w:ilvl w:val="0"/>
          <w:numId w:val="299"/>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Miasto Krosno.</w:t>
      </w:r>
    </w:p>
    <w:p w14:paraId="4D40248D" w14:textId="77777777" w:rsidR="00934830" w:rsidRPr="00A91E2C" w:rsidRDefault="00934830" w:rsidP="00A91E2C">
      <w:pPr>
        <w:pStyle w:val="Akapitzlist"/>
        <w:numPr>
          <w:ilvl w:val="0"/>
          <w:numId w:val="299"/>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Miejsce Piastowe.</w:t>
      </w:r>
    </w:p>
    <w:p w14:paraId="30C70ADE" w14:textId="77777777" w:rsidR="00934830" w:rsidRPr="00A91E2C" w:rsidRDefault="00934830" w:rsidP="00A91E2C">
      <w:pPr>
        <w:pStyle w:val="Akapitzlist"/>
        <w:numPr>
          <w:ilvl w:val="0"/>
          <w:numId w:val="299"/>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Miasto Sanok.</w:t>
      </w:r>
    </w:p>
    <w:p w14:paraId="5EF8B1BA" w14:textId="77777777" w:rsidR="00934830" w:rsidRPr="00A91E2C" w:rsidRDefault="00934830" w:rsidP="00A91E2C">
      <w:pPr>
        <w:pStyle w:val="Akapitzlist"/>
        <w:numPr>
          <w:ilvl w:val="0"/>
          <w:numId w:val="299"/>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Jedlicze.</w:t>
      </w:r>
    </w:p>
    <w:p w14:paraId="22F70653" w14:textId="62BC8E27" w:rsidR="00934830" w:rsidRPr="007B0436" w:rsidRDefault="00934830" w:rsidP="007B0436">
      <w:pPr>
        <w:pStyle w:val="Akapitzlist"/>
        <w:numPr>
          <w:ilvl w:val="0"/>
          <w:numId w:val="299"/>
        </w:numPr>
        <w:spacing w:after="120" w:line="276" w:lineRule="auto"/>
        <w:ind w:left="714" w:hanging="357"/>
        <w:contextualSpacing w:val="0"/>
        <w:rPr>
          <w:rFonts w:ascii="Arial" w:hAnsi="Arial" w:cs="Arial"/>
          <w:color w:val="000000" w:themeColor="text1"/>
          <w:sz w:val="22"/>
          <w:szCs w:val="22"/>
        </w:rPr>
      </w:pPr>
      <w:r w:rsidRPr="00A91E2C">
        <w:rPr>
          <w:rFonts w:ascii="Arial" w:hAnsi="Arial" w:cs="Arial"/>
          <w:color w:val="000000" w:themeColor="text1"/>
          <w:sz w:val="22"/>
          <w:szCs w:val="22"/>
        </w:rPr>
        <w:t>Gmina Zagórz.</w:t>
      </w:r>
    </w:p>
    <w:p w14:paraId="3F537B8F" w14:textId="77777777" w:rsidR="00934830" w:rsidRPr="00A91E2C" w:rsidRDefault="00934830" w:rsidP="00A91E2C">
      <w:pPr>
        <w:spacing w:after="0" w:line="276" w:lineRule="auto"/>
        <w:rPr>
          <w:rFonts w:ascii="Arial" w:hAnsi="Arial" w:cs="Arial"/>
          <w:color w:val="000000" w:themeColor="text1"/>
          <w:sz w:val="22"/>
          <w:szCs w:val="22"/>
        </w:rPr>
      </w:pPr>
      <w:r w:rsidRPr="00A91E2C">
        <w:rPr>
          <w:rFonts w:ascii="Arial" w:hAnsi="Arial" w:cs="Arial"/>
          <w:b/>
          <w:color w:val="000000" w:themeColor="text1"/>
          <w:sz w:val="22"/>
          <w:szCs w:val="22"/>
        </w:rPr>
        <w:t>Linia nr 91</w:t>
      </w:r>
      <w:r w:rsidRPr="00A91E2C">
        <w:rPr>
          <w:rFonts w:ascii="Arial" w:hAnsi="Arial" w:cs="Arial"/>
          <w:color w:val="000000" w:themeColor="text1"/>
          <w:sz w:val="22"/>
          <w:szCs w:val="22"/>
        </w:rPr>
        <w:t xml:space="preserve"> </w:t>
      </w:r>
      <w:r w:rsidRPr="00A91E2C">
        <w:rPr>
          <w:rFonts w:ascii="Arial" w:hAnsi="Arial" w:cs="Arial"/>
          <w:b/>
          <w:color w:val="000000" w:themeColor="text1"/>
          <w:sz w:val="22"/>
          <w:szCs w:val="22"/>
        </w:rPr>
        <w:t>część zachodnia:</w:t>
      </w:r>
    </w:p>
    <w:p w14:paraId="00B7EE1A" w14:textId="77777777" w:rsidR="00934830" w:rsidRPr="00A91E2C" w:rsidRDefault="00934830" w:rsidP="00A91E2C">
      <w:pPr>
        <w:pStyle w:val="Akapitzlist"/>
        <w:numPr>
          <w:ilvl w:val="0"/>
          <w:numId w:val="300"/>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 xml:space="preserve">Gmina Sędziszów Młp. </w:t>
      </w:r>
    </w:p>
    <w:p w14:paraId="2B36040F" w14:textId="77777777" w:rsidR="00934830" w:rsidRPr="00A91E2C" w:rsidRDefault="00934830" w:rsidP="00A91E2C">
      <w:pPr>
        <w:pStyle w:val="Akapitzlist"/>
        <w:numPr>
          <w:ilvl w:val="0"/>
          <w:numId w:val="300"/>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Świlcza.</w:t>
      </w:r>
    </w:p>
    <w:p w14:paraId="52467829" w14:textId="77777777" w:rsidR="00934830" w:rsidRPr="00A91E2C" w:rsidRDefault="00934830" w:rsidP="00A91E2C">
      <w:pPr>
        <w:pStyle w:val="Akapitzlist"/>
        <w:numPr>
          <w:ilvl w:val="0"/>
          <w:numId w:val="300"/>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Miasto Dębica.</w:t>
      </w:r>
    </w:p>
    <w:p w14:paraId="69E7B4EB" w14:textId="238C27E1" w:rsidR="00934830" w:rsidRPr="007B0436" w:rsidRDefault="00934830" w:rsidP="007B0436">
      <w:pPr>
        <w:pStyle w:val="Akapitzlist"/>
        <w:numPr>
          <w:ilvl w:val="0"/>
          <w:numId w:val="300"/>
        </w:numPr>
        <w:spacing w:after="0" w:line="276" w:lineRule="auto"/>
        <w:rPr>
          <w:rFonts w:ascii="Arial" w:hAnsi="Arial" w:cs="Arial"/>
          <w:color w:val="000000" w:themeColor="text1"/>
          <w:sz w:val="22"/>
          <w:szCs w:val="22"/>
        </w:rPr>
      </w:pPr>
      <w:r w:rsidRPr="00A91E2C">
        <w:rPr>
          <w:rFonts w:ascii="Arial" w:hAnsi="Arial" w:cs="Arial"/>
          <w:color w:val="000000" w:themeColor="text1"/>
          <w:sz w:val="22"/>
          <w:szCs w:val="22"/>
        </w:rPr>
        <w:t>Gmina Krasne.</w:t>
      </w:r>
    </w:p>
    <w:p w14:paraId="612002FC" w14:textId="40E69A88" w:rsidR="00934830" w:rsidRPr="00A91E2C" w:rsidRDefault="00934830" w:rsidP="00A91E2C">
      <w:pPr>
        <w:pStyle w:val="NormalnyWeb"/>
        <w:numPr>
          <w:ilvl w:val="0"/>
          <w:numId w:val="281"/>
        </w:numPr>
        <w:kinsoku w:val="0"/>
        <w:overflowPunct w:val="0"/>
        <w:spacing w:before="0" w:beforeAutospacing="0" w:after="0" w:afterAutospacing="0" w:line="276" w:lineRule="auto"/>
        <w:textAlignment w:val="baseline"/>
        <w:rPr>
          <w:rFonts w:ascii="Arial" w:hAnsi="Arial" w:cs="Arial"/>
          <w:color w:val="000000" w:themeColor="text1"/>
          <w:sz w:val="22"/>
          <w:szCs w:val="22"/>
        </w:rPr>
      </w:pPr>
      <w:r w:rsidRPr="00A91E2C">
        <w:rPr>
          <w:rFonts w:ascii="Arial" w:eastAsiaTheme="minorEastAsia" w:hAnsi="Arial" w:cs="Arial"/>
          <w:bCs/>
          <w:color w:val="000000" w:themeColor="text1"/>
          <w:sz w:val="22"/>
          <w:szCs w:val="22"/>
        </w:rPr>
        <w:t xml:space="preserve">W </w:t>
      </w:r>
      <w:r w:rsidRPr="00A91E2C">
        <w:rPr>
          <w:rFonts w:ascii="Arial" w:eastAsiaTheme="minorEastAsia" w:hAnsi="Arial" w:cs="Arial"/>
          <w:b/>
          <w:bCs/>
          <w:color w:val="000000" w:themeColor="text1"/>
          <w:sz w:val="22"/>
          <w:szCs w:val="22"/>
        </w:rPr>
        <w:t>2016 r.</w:t>
      </w:r>
      <w:r w:rsidRPr="00A91E2C">
        <w:rPr>
          <w:rFonts w:ascii="Arial" w:eastAsiaTheme="minorEastAsia" w:hAnsi="Arial" w:cs="Arial"/>
          <w:bCs/>
          <w:color w:val="000000" w:themeColor="text1"/>
          <w:sz w:val="22"/>
          <w:szCs w:val="22"/>
        </w:rPr>
        <w:t xml:space="preserve"> w ramach projektu zrealizowano i oddano do użytku 6 inwestycji. </w:t>
      </w:r>
      <w:r w:rsidRPr="00A91E2C">
        <w:rPr>
          <w:rFonts w:ascii="Arial" w:eastAsiaTheme="minorEastAsia" w:hAnsi="Arial" w:cs="Arial"/>
          <w:color w:val="000000" w:themeColor="text1"/>
          <w:sz w:val="22"/>
          <w:szCs w:val="22"/>
        </w:rPr>
        <w:t xml:space="preserve">Łączna wartość zrealizowanych inwestycji wyniosła </w:t>
      </w:r>
      <w:r w:rsidRPr="00A91E2C">
        <w:rPr>
          <w:rFonts w:ascii="Arial" w:eastAsiaTheme="minorEastAsia" w:hAnsi="Arial" w:cs="Arial"/>
          <w:bCs/>
          <w:color w:val="000000" w:themeColor="text1"/>
          <w:sz w:val="22"/>
          <w:szCs w:val="22"/>
        </w:rPr>
        <w:t xml:space="preserve">831 550  </w:t>
      </w:r>
      <w:r w:rsidR="003A1DF4" w:rsidRPr="00A91E2C">
        <w:rPr>
          <w:rFonts w:ascii="Arial" w:eastAsiaTheme="minorEastAsia" w:hAnsi="Arial" w:cs="Arial"/>
          <w:bCs/>
          <w:color w:val="000000" w:themeColor="text1"/>
          <w:sz w:val="22"/>
          <w:szCs w:val="22"/>
        </w:rPr>
        <w:t>PLN</w:t>
      </w:r>
      <w:r w:rsidRPr="00A91E2C">
        <w:rPr>
          <w:rFonts w:ascii="Arial" w:eastAsiaTheme="minorEastAsia" w:hAnsi="Arial" w:cs="Arial"/>
          <w:bCs/>
          <w:color w:val="000000" w:themeColor="text1"/>
          <w:sz w:val="22"/>
          <w:szCs w:val="22"/>
        </w:rPr>
        <w:t>.</w:t>
      </w:r>
    </w:p>
    <w:p w14:paraId="3BEEC12D" w14:textId="732DFA26" w:rsidR="00934830" w:rsidRPr="00A91E2C" w:rsidRDefault="00934830" w:rsidP="00A91E2C">
      <w:pPr>
        <w:pStyle w:val="NormalnyWeb"/>
        <w:numPr>
          <w:ilvl w:val="0"/>
          <w:numId w:val="281"/>
        </w:numPr>
        <w:kinsoku w:val="0"/>
        <w:overflowPunct w:val="0"/>
        <w:spacing w:before="0" w:beforeAutospacing="0" w:after="0" w:afterAutospacing="0" w:line="276" w:lineRule="auto"/>
        <w:textAlignment w:val="baseline"/>
        <w:rPr>
          <w:rFonts w:ascii="Arial" w:hAnsi="Arial" w:cs="Arial"/>
          <w:color w:val="000000" w:themeColor="text1"/>
          <w:sz w:val="22"/>
          <w:szCs w:val="22"/>
        </w:rPr>
      </w:pPr>
      <w:r w:rsidRPr="00A91E2C">
        <w:rPr>
          <w:rFonts w:ascii="Arial" w:eastAsiaTheme="minorEastAsia" w:hAnsi="Arial" w:cs="Arial"/>
          <w:bCs/>
          <w:color w:val="000000" w:themeColor="text1"/>
          <w:sz w:val="22"/>
          <w:szCs w:val="22"/>
        </w:rPr>
        <w:t xml:space="preserve">W </w:t>
      </w:r>
      <w:r w:rsidRPr="00A91E2C">
        <w:rPr>
          <w:rFonts w:ascii="Arial" w:eastAsiaTheme="minorEastAsia" w:hAnsi="Arial" w:cs="Arial"/>
          <w:b/>
          <w:bCs/>
          <w:color w:val="000000" w:themeColor="text1"/>
          <w:sz w:val="22"/>
          <w:szCs w:val="22"/>
        </w:rPr>
        <w:t>2017 r.</w:t>
      </w:r>
      <w:r w:rsidRPr="00A91E2C">
        <w:rPr>
          <w:rFonts w:ascii="Arial" w:eastAsiaTheme="minorEastAsia" w:hAnsi="Arial" w:cs="Arial"/>
          <w:bCs/>
          <w:color w:val="000000" w:themeColor="text1"/>
          <w:sz w:val="22"/>
          <w:szCs w:val="22"/>
        </w:rPr>
        <w:t xml:space="preserve"> w ramach projektu zrealizowano i oddano do użytku 5 inwestycji.</w:t>
      </w:r>
      <w:r w:rsidRPr="00A91E2C">
        <w:rPr>
          <w:rFonts w:ascii="Arial" w:hAnsi="Arial" w:cs="Arial"/>
          <w:color w:val="000000" w:themeColor="text1"/>
          <w:sz w:val="22"/>
          <w:szCs w:val="22"/>
        </w:rPr>
        <w:t xml:space="preserve"> </w:t>
      </w:r>
      <w:r w:rsidRPr="00A91E2C">
        <w:rPr>
          <w:rFonts w:ascii="Arial" w:eastAsiaTheme="minorEastAsia" w:hAnsi="Arial" w:cs="Arial"/>
          <w:color w:val="000000" w:themeColor="text1"/>
          <w:sz w:val="22"/>
          <w:szCs w:val="22"/>
        </w:rPr>
        <w:t xml:space="preserve">Łączna wartość zrealizowanych inwestycji wyniosła </w:t>
      </w:r>
      <w:r w:rsidRPr="00A91E2C">
        <w:rPr>
          <w:rFonts w:ascii="Arial" w:eastAsiaTheme="minorEastAsia" w:hAnsi="Arial" w:cs="Arial"/>
          <w:bCs/>
          <w:color w:val="000000" w:themeColor="text1"/>
          <w:sz w:val="22"/>
          <w:szCs w:val="22"/>
        </w:rPr>
        <w:t xml:space="preserve">512 002,85 </w:t>
      </w:r>
      <w:r w:rsidR="003A1DF4" w:rsidRPr="00A91E2C">
        <w:rPr>
          <w:rFonts w:ascii="Arial" w:eastAsiaTheme="minorEastAsia" w:hAnsi="Arial" w:cs="Arial"/>
          <w:bCs/>
          <w:color w:val="000000" w:themeColor="text1"/>
          <w:sz w:val="22"/>
          <w:szCs w:val="22"/>
        </w:rPr>
        <w:t>PLN</w:t>
      </w:r>
      <w:r w:rsidRPr="00A91E2C">
        <w:rPr>
          <w:rFonts w:ascii="Arial" w:eastAsiaTheme="minorEastAsia" w:hAnsi="Arial" w:cs="Arial"/>
          <w:bCs/>
          <w:color w:val="000000" w:themeColor="text1"/>
          <w:sz w:val="22"/>
          <w:szCs w:val="22"/>
        </w:rPr>
        <w:t>.</w:t>
      </w:r>
    </w:p>
    <w:p w14:paraId="082AA8D1" w14:textId="4D2920B3" w:rsidR="00934830" w:rsidRPr="00A91E2C" w:rsidRDefault="00934830" w:rsidP="00A91E2C">
      <w:pPr>
        <w:pStyle w:val="NormalnyWeb"/>
        <w:numPr>
          <w:ilvl w:val="0"/>
          <w:numId w:val="281"/>
        </w:numPr>
        <w:kinsoku w:val="0"/>
        <w:overflowPunct w:val="0"/>
        <w:spacing w:before="0" w:beforeAutospacing="0" w:after="0" w:afterAutospacing="0" w:line="276" w:lineRule="auto"/>
        <w:textAlignment w:val="baseline"/>
        <w:rPr>
          <w:rFonts w:ascii="Arial" w:hAnsi="Arial" w:cs="Arial"/>
          <w:color w:val="000000" w:themeColor="text1"/>
          <w:sz w:val="22"/>
          <w:szCs w:val="22"/>
        </w:rPr>
      </w:pPr>
      <w:r w:rsidRPr="00A91E2C">
        <w:rPr>
          <w:rFonts w:ascii="Arial" w:eastAsiaTheme="minorEastAsia" w:hAnsi="Arial" w:cs="Arial"/>
          <w:bCs/>
          <w:color w:val="000000" w:themeColor="text1"/>
          <w:sz w:val="22"/>
          <w:szCs w:val="22"/>
        </w:rPr>
        <w:t xml:space="preserve">W </w:t>
      </w:r>
      <w:r w:rsidRPr="00A91E2C">
        <w:rPr>
          <w:rFonts w:ascii="Arial" w:eastAsiaTheme="minorEastAsia" w:hAnsi="Arial" w:cs="Arial"/>
          <w:b/>
          <w:bCs/>
          <w:color w:val="000000" w:themeColor="text1"/>
          <w:sz w:val="22"/>
          <w:szCs w:val="22"/>
        </w:rPr>
        <w:t>2018 r.</w:t>
      </w:r>
      <w:r w:rsidRPr="00A91E2C">
        <w:rPr>
          <w:rFonts w:ascii="Arial" w:eastAsiaTheme="minorEastAsia" w:hAnsi="Arial" w:cs="Arial"/>
          <w:bCs/>
          <w:color w:val="000000" w:themeColor="text1"/>
          <w:sz w:val="22"/>
          <w:szCs w:val="22"/>
        </w:rPr>
        <w:t xml:space="preserve"> w ramach projektu zrealizowano i oddano do użytku 4 inwestycji.</w:t>
      </w:r>
      <w:r w:rsidRPr="00A91E2C">
        <w:rPr>
          <w:rFonts w:ascii="Arial" w:hAnsi="Arial" w:cs="Arial"/>
          <w:color w:val="000000" w:themeColor="text1"/>
          <w:sz w:val="22"/>
          <w:szCs w:val="22"/>
        </w:rPr>
        <w:t xml:space="preserve"> </w:t>
      </w:r>
      <w:r w:rsidRPr="00A91E2C">
        <w:rPr>
          <w:rFonts w:ascii="Arial" w:eastAsiaTheme="minorEastAsia" w:hAnsi="Arial" w:cs="Arial"/>
          <w:color w:val="000000" w:themeColor="text1"/>
          <w:sz w:val="22"/>
          <w:szCs w:val="22"/>
        </w:rPr>
        <w:t xml:space="preserve">Łączna wartość zrealizowanych inwestycji wyniosła 456 509,41 </w:t>
      </w:r>
      <w:r w:rsidR="003A1DF4" w:rsidRPr="00A91E2C">
        <w:rPr>
          <w:rFonts w:ascii="Arial" w:eastAsiaTheme="minorEastAsia" w:hAnsi="Arial" w:cs="Arial"/>
          <w:color w:val="000000" w:themeColor="text1"/>
          <w:sz w:val="22"/>
          <w:szCs w:val="22"/>
        </w:rPr>
        <w:t>PLN</w:t>
      </w:r>
      <w:r w:rsidRPr="00A91E2C">
        <w:rPr>
          <w:rFonts w:ascii="Arial" w:eastAsiaTheme="minorEastAsia" w:hAnsi="Arial" w:cs="Arial"/>
          <w:color w:val="000000" w:themeColor="text1"/>
          <w:sz w:val="22"/>
          <w:szCs w:val="22"/>
        </w:rPr>
        <w:t xml:space="preserve">. </w:t>
      </w:r>
    </w:p>
    <w:p w14:paraId="459303B8" w14:textId="6FF9D8D4" w:rsidR="00934830" w:rsidRPr="00A91E2C" w:rsidRDefault="00934830" w:rsidP="00A91E2C">
      <w:pPr>
        <w:pStyle w:val="NormalnyWeb"/>
        <w:numPr>
          <w:ilvl w:val="0"/>
          <w:numId w:val="281"/>
        </w:numPr>
        <w:kinsoku w:val="0"/>
        <w:overflowPunct w:val="0"/>
        <w:spacing w:before="0" w:beforeAutospacing="0" w:after="0" w:afterAutospacing="0" w:line="276" w:lineRule="auto"/>
        <w:textAlignment w:val="baseline"/>
        <w:rPr>
          <w:rFonts w:ascii="Arial" w:hAnsi="Arial" w:cs="Arial"/>
          <w:color w:val="000000" w:themeColor="text1"/>
          <w:sz w:val="22"/>
          <w:szCs w:val="22"/>
        </w:rPr>
      </w:pPr>
      <w:r w:rsidRPr="00A91E2C">
        <w:rPr>
          <w:rFonts w:ascii="Arial" w:hAnsi="Arial" w:cs="Arial"/>
          <w:color w:val="000000" w:themeColor="text1"/>
          <w:sz w:val="22"/>
          <w:szCs w:val="22"/>
        </w:rPr>
        <w:t xml:space="preserve">W </w:t>
      </w:r>
      <w:r w:rsidRPr="00A91E2C">
        <w:rPr>
          <w:rFonts w:ascii="Arial" w:hAnsi="Arial" w:cs="Arial"/>
          <w:b/>
          <w:bCs/>
          <w:color w:val="000000" w:themeColor="text1"/>
          <w:sz w:val="22"/>
          <w:szCs w:val="22"/>
        </w:rPr>
        <w:t>2019 r</w:t>
      </w:r>
      <w:r w:rsidRPr="00A91E2C">
        <w:rPr>
          <w:rFonts w:ascii="Arial" w:hAnsi="Arial" w:cs="Arial"/>
          <w:color w:val="000000" w:themeColor="text1"/>
          <w:sz w:val="22"/>
          <w:szCs w:val="22"/>
        </w:rPr>
        <w:t>. w ramach projektu zrealizowano i oddano do użytku 4 inwestycje.</w:t>
      </w:r>
      <w:r w:rsidRPr="00A91E2C">
        <w:rPr>
          <w:rFonts w:ascii="Arial" w:eastAsiaTheme="minorEastAsia" w:hAnsi="Arial" w:cs="Arial"/>
          <w:bCs/>
          <w:color w:val="000000" w:themeColor="text1"/>
          <w:sz w:val="22"/>
          <w:szCs w:val="22"/>
        </w:rPr>
        <w:t xml:space="preserve"> </w:t>
      </w:r>
      <w:r w:rsidRPr="00A91E2C">
        <w:rPr>
          <w:rFonts w:ascii="Arial" w:eastAsiaTheme="minorEastAsia" w:hAnsi="Arial" w:cs="Arial"/>
          <w:color w:val="000000" w:themeColor="text1"/>
          <w:sz w:val="22"/>
          <w:szCs w:val="22"/>
        </w:rPr>
        <w:t xml:space="preserve">Łączna wartość zrealizowanych inwestycji wyniosła </w:t>
      </w:r>
      <w:r w:rsidRPr="00A91E2C">
        <w:rPr>
          <w:rFonts w:ascii="Arial" w:eastAsiaTheme="minorEastAsia" w:hAnsi="Arial" w:cs="Arial"/>
          <w:bCs/>
          <w:color w:val="000000" w:themeColor="text1"/>
          <w:sz w:val="22"/>
          <w:szCs w:val="22"/>
        </w:rPr>
        <w:t xml:space="preserve">596 283,68 </w:t>
      </w:r>
      <w:r w:rsidR="003A1DF4" w:rsidRPr="00A91E2C">
        <w:rPr>
          <w:rFonts w:ascii="Arial" w:eastAsiaTheme="minorEastAsia" w:hAnsi="Arial" w:cs="Arial"/>
          <w:bCs/>
          <w:color w:val="000000" w:themeColor="text1"/>
          <w:sz w:val="22"/>
          <w:szCs w:val="22"/>
        </w:rPr>
        <w:t>PLN</w:t>
      </w:r>
      <w:r w:rsidRPr="00A91E2C">
        <w:rPr>
          <w:rFonts w:ascii="Arial" w:eastAsiaTheme="minorEastAsia" w:hAnsi="Arial" w:cs="Arial"/>
          <w:bCs/>
          <w:color w:val="000000" w:themeColor="text1"/>
          <w:sz w:val="22"/>
          <w:szCs w:val="22"/>
        </w:rPr>
        <w:t>.</w:t>
      </w:r>
    </w:p>
    <w:p w14:paraId="0104406D" w14:textId="1C111B1E" w:rsidR="00934830" w:rsidRPr="00A91E2C" w:rsidRDefault="00934830" w:rsidP="00A91E2C">
      <w:pPr>
        <w:pStyle w:val="NormalnyWeb"/>
        <w:numPr>
          <w:ilvl w:val="0"/>
          <w:numId w:val="281"/>
        </w:numPr>
        <w:kinsoku w:val="0"/>
        <w:overflowPunct w:val="0"/>
        <w:spacing w:before="0" w:beforeAutospacing="0" w:after="0" w:afterAutospacing="0" w:line="276" w:lineRule="auto"/>
        <w:textAlignment w:val="baseline"/>
        <w:rPr>
          <w:rFonts w:ascii="Arial" w:hAnsi="Arial" w:cs="Arial"/>
          <w:color w:val="000000" w:themeColor="text1"/>
          <w:sz w:val="22"/>
          <w:szCs w:val="22"/>
        </w:rPr>
      </w:pPr>
      <w:r w:rsidRPr="00A91E2C">
        <w:rPr>
          <w:rFonts w:ascii="Arial" w:hAnsi="Arial" w:cs="Arial"/>
          <w:color w:val="000000" w:themeColor="text1"/>
          <w:sz w:val="22"/>
          <w:szCs w:val="22"/>
        </w:rPr>
        <w:t xml:space="preserve">W </w:t>
      </w:r>
      <w:r w:rsidRPr="00A91E2C">
        <w:rPr>
          <w:rFonts w:ascii="Arial" w:hAnsi="Arial" w:cs="Arial"/>
          <w:b/>
          <w:bCs/>
          <w:color w:val="000000" w:themeColor="text1"/>
          <w:sz w:val="22"/>
          <w:szCs w:val="22"/>
        </w:rPr>
        <w:t>2020 r</w:t>
      </w:r>
      <w:r w:rsidRPr="00A91E2C">
        <w:rPr>
          <w:rFonts w:ascii="Arial" w:hAnsi="Arial" w:cs="Arial"/>
          <w:color w:val="000000" w:themeColor="text1"/>
          <w:sz w:val="22"/>
          <w:szCs w:val="22"/>
        </w:rPr>
        <w:t xml:space="preserve">. w ramach projektu zrealizowano i oddano do użytku 1 inwestycję </w:t>
      </w:r>
      <w:r w:rsidR="00A339F0">
        <w:rPr>
          <w:rFonts w:ascii="Arial" w:hAnsi="Arial" w:cs="Arial"/>
          <w:color w:val="000000" w:themeColor="text1"/>
          <w:sz w:val="22"/>
          <w:szCs w:val="22"/>
        </w:rPr>
        <w:br/>
      </w:r>
      <w:r w:rsidRPr="00A91E2C">
        <w:rPr>
          <w:rFonts w:ascii="Arial" w:hAnsi="Arial" w:cs="Arial"/>
          <w:color w:val="000000" w:themeColor="text1"/>
          <w:sz w:val="22"/>
          <w:szCs w:val="22"/>
        </w:rPr>
        <w:t>o</w:t>
      </w:r>
      <w:r w:rsidRPr="00A91E2C">
        <w:rPr>
          <w:rFonts w:ascii="Arial" w:eastAsiaTheme="minorEastAsia" w:hAnsi="Arial" w:cs="Arial"/>
          <w:color w:val="000000" w:themeColor="text1"/>
          <w:sz w:val="22"/>
          <w:szCs w:val="22"/>
        </w:rPr>
        <w:t xml:space="preserve"> wartości </w:t>
      </w:r>
      <w:r w:rsidRPr="00A91E2C">
        <w:rPr>
          <w:rFonts w:ascii="Arial" w:eastAsiaTheme="minorEastAsia" w:hAnsi="Arial" w:cs="Arial"/>
          <w:bCs/>
          <w:color w:val="000000" w:themeColor="text1"/>
          <w:sz w:val="22"/>
          <w:szCs w:val="22"/>
        </w:rPr>
        <w:t xml:space="preserve">81 344,91 </w:t>
      </w:r>
      <w:r w:rsidR="003A1DF4" w:rsidRPr="00A91E2C">
        <w:rPr>
          <w:rFonts w:ascii="Arial" w:eastAsiaTheme="minorEastAsia" w:hAnsi="Arial" w:cs="Arial"/>
          <w:bCs/>
          <w:color w:val="000000" w:themeColor="text1"/>
          <w:sz w:val="22"/>
          <w:szCs w:val="22"/>
        </w:rPr>
        <w:t>PLN</w:t>
      </w:r>
      <w:r w:rsidRPr="00A91E2C">
        <w:rPr>
          <w:rFonts w:ascii="Arial" w:eastAsiaTheme="minorEastAsia" w:hAnsi="Arial" w:cs="Arial"/>
          <w:bCs/>
          <w:color w:val="000000" w:themeColor="text1"/>
          <w:sz w:val="22"/>
          <w:szCs w:val="22"/>
        </w:rPr>
        <w:t>.</w:t>
      </w:r>
    </w:p>
    <w:p w14:paraId="08538DF1" w14:textId="77777777" w:rsidR="00934830" w:rsidRPr="00A91E2C" w:rsidRDefault="00934830" w:rsidP="00A91E2C">
      <w:pPr>
        <w:pStyle w:val="NormalnyWeb"/>
        <w:numPr>
          <w:ilvl w:val="0"/>
          <w:numId w:val="281"/>
        </w:numPr>
        <w:kinsoku w:val="0"/>
        <w:overflowPunct w:val="0"/>
        <w:spacing w:before="0" w:beforeAutospacing="0" w:after="0" w:afterAutospacing="0" w:line="276" w:lineRule="auto"/>
        <w:textAlignment w:val="baseline"/>
        <w:rPr>
          <w:rFonts w:ascii="Arial" w:hAnsi="Arial" w:cs="Arial"/>
          <w:color w:val="000000" w:themeColor="text1"/>
          <w:sz w:val="22"/>
          <w:szCs w:val="22"/>
        </w:rPr>
      </w:pPr>
      <w:r w:rsidRPr="00A91E2C">
        <w:rPr>
          <w:rFonts w:ascii="Arial" w:eastAsiaTheme="minorEastAsia" w:hAnsi="Arial" w:cs="Arial"/>
          <w:bCs/>
          <w:color w:val="000000" w:themeColor="text1"/>
          <w:sz w:val="22"/>
          <w:szCs w:val="22"/>
        </w:rPr>
        <w:t xml:space="preserve">W </w:t>
      </w:r>
      <w:r w:rsidRPr="00A91E2C">
        <w:rPr>
          <w:rFonts w:ascii="Arial" w:eastAsiaTheme="minorEastAsia" w:hAnsi="Arial" w:cs="Arial"/>
          <w:b/>
          <w:color w:val="000000" w:themeColor="text1"/>
          <w:sz w:val="22"/>
          <w:szCs w:val="22"/>
        </w:rPr>
        <w:t>2021 r.</w:t>
      </w:r>
      <w:r w:rsidRPr="00A91E2C">
        <w:rPr>
          <w:rFonts w:ascii="Arial" w:eastAsiaTheme="minorEastAsia" w:hAnsi="Arial" w:cs="Arial"/>
          <w:bCs/>
          <w:color w:val="000000" w:themeColor="text1"/>
          <w:sz w:val="22"/>
          <w:szCs w:val="22"/>
        </w:rPr>
        <w:t xml:space="preserve"> nie została zrealizowana żadna inwestycja.</w:t>
      </w:r>
    </w:p>
    <w:p w14:paraId="6D6A44E5" w14:textId="574A1814" w:rsidR="00934830" w:rsidRPr="00A91E2C" w:rsidRDefault="00934830" w:rsidP="007B0436">
      <w:pPr>
        <w:pStyle w:val="NormalnyWeb"/>
        <w:numPr>
          <w:ilvl w:val="0"/>
          <w:numId w:val="281"/>
        </w:numPr>
        <w:kinsoku w:val="0"/>
        <w:overflowPunct w:val="0"/>
        <w:spacing w:before="0" w:beforeAutospacing="0" w:after="120" w:afterAutospacing="0" w:line="276" w:lineRule="auto"/>
        <w:ind w:left="1037" w:hanging="357"/>
        <w:textAlignment w:val="baseline"/>
        <w:rPr>
          <w:rFonts w:ascii="Arial" w:hAnsi="Arial" w:cs="Arial"/>
          <w:color w:val="000000" w:themeColor="text1"/>
          <w:sz w:val="22"/>
          <w:szCs w:val="22"/>
        </w:rPr>
      </w:pPr>
      <w:r w:rsidRPr="00A91E2C">
        <w:rPr>
          <w:rFonts w:ascii="Arial" w:eastAsiaTheme="minorEastAsia" w:hAnsi="Arial" w:cs="Arial"/>
          <w:bCs/>
          <w:color w:val="000000" w:themeColor="text1"/>
          <w:sz w:val="22"/>
          <w:szCs w:val="22"/>
        </w:rPr>
        <w:t>W</w:t>
      </w:r>
      <w:r w:rsidRPr="00A91E2C">
        <w:rPr>
          <w:rFonts w:ascii="Arial" w:eastAsiaTheme="minorEastAsia" w:hAnsi="Arial" w:cs="Arial"/>
          <w:b/>
          <w:color w:val="000000" w:themeColor="text1"/>
          <w:sz w:val="22"/>
          <w:szCs w:val="22"/>
        </w:rPr>
        <w:t xml:space="preserve"> 2022 r.</w:t>
      </w:r>
      <w:r w:rsidRPr="00A91E2C">
        <w:rPr>
          <w:rFonts w:ascii="Arial" w:eastAsiaTheme="minorEastAsia" w:hAnsi="Arial" w:cs="Arial"/>
          <w:bCs/>
          <w:color w:val="000000" w:themeColor="text1"/>
          <w:sz w:val="22"/>
          <w:szCs w:val="22"/>
        </w:rPr>
        <w:t xml:space="preserve"> </w:t>
      </w:r>
      <w:r w:rsidRPr="00A91E2C">
        <w:rPr>
          <w:rFonts w:ascii="Arial" w:hAnsi="Arial" w:cs="Arial"/>
          <w:color w:val="000000" w:themeColor="text1"/>
          <w:sz w:val="22"/>
          <w:szCs w:val="22"/>
        </w:rPr>
        <w:t xml:space="preserve">w ramach projektu zrealizowano i oddano do użytku 1 inwestycję </w:t>
      </w:r>
      <w:r w:rsidR="00A339F0">
        <w:rPr>
          <w:rFonts w:ascii="Arial" w:hAnsi="Arial" w:cs="Arial"/>
          <w:color w:val="000000" w:themeColor="text1"/>
          <w:sz w:val="22"/>
          <w:szCs w:val="22"/>
        </w:rPr>
        <w:br/>
      </w:r>
      <w:r w:rsidRPr="00A91E2C">
        <w:rPr>
          <w:rFonts w:ascii="Arial" w:hAnsi="Arial" w:cs="Arial"/>
          <w:color w:val="000000" w:themeColor="text1"/>
          <w:sz w:val="22"/>
          <w:szCs w:val="22"/>
        </w:rPr>
        <w:t>o</w:t>
      </w:r>
      <w:r w:rsidRPr="00A91E2C">
        <w:rPr>
          <w:rFonts w:ascii="Arial" w:eastAsiaTheme="minorEastAsia" w:hAnsi="Arial" w:cs="Arial"/>
          <w:color w:val="000000" w:themeColor="text1"/>
          <w:sz w:val="22"/>
          <w:szCs w:val="22"/>
        </w:rPr>
        <w:t xml:space="preserve"> wartości 159 842,77 </w:t>
      </w:r>
      <w:r w:rsidR="003A1DF4" w:rsidRPr="00A91E2C">
        <w:rPr>
          <w:rFonts w:ascii="Arial" w:eastAsiaTheme="minorEastAsia" w:hAnsi="Arial" w:cs="Arial"/>
          <w:color w:val="000000" w:themeColor="text1"/>
          <w:sz w:val="22"/>
          <w:szCs w:val="22"/>
        </w:rPr>
        <w:t>PLN</w:t>
      </w:r>
      <w:r w:rsidRPr="00A91E2C">
        <w:rPr>
          <w:rFonts w:ascii="Arial" w:eastAsiaTheme="minorEastAsia" w:hAnsi="Arial" w:cs="Arial"/>
          <w:color w:val="000000" w:themeColor="text1"/>
          <w:sz w:val="22"/>
          <w:szCs w:val="22"/>
        </w:rPr>
        <w:t>.</w:t>
      </w:r>
    </w:p>
    <w:p w14:paraId="20E1E613" w14:textId="77777777" w:rsidR="00934830" w:rsidRPr="00A91E2C" w:rsidRDefault="00934830" w:rsidP="007B0436">
      <w:pPr>
        <w:spacing w:after="120" w:line="276" w:lineRule="auto"/>
        <w:rPr>
          <w:rFonts w:ascii="Arial" w:hAnsi="Arial" w:cs="Arial"/>
          <w:color w:val="000000" w:themeColor="text1"/>
          <w:sz w:val="22"/>
          <w:szCs w:val="22"/>
        </w:rPr>
      </w:pPr>
      <w:r w:rsidRPr="00A91E2C">
        <w:rPr>
          <w:rFonts w:ascii="Arial" w:hAnsi="Arial" w:cs="Arial"/>
          <w:color w:val="000000" w:themeColor="text1"/>
          <w:sz w:val="22"/>
          <w:szCs w:val="22"/>
        </w:rPr>
        <w:t>Zadania inwestycyjne zrealizowane w 2016 roku:</w:t>
      </w:r>
    </w:p>
    <w:tbl>
      <w:tblPr>
        <w:tblStyle w:val="Tabela-Siatka"/>
        <w:tblW w:w="5000" w:type="pct"/>
        <w:tblLook w:val="04A0" w:firstRow="1" w:lastRow="0" w:firstColumn="1" w:lastColumn="0" w:noHBand="0" w:noVBand="1"/>
        <w:tblCaption w:val="Zadania inwestycyjne zrealizowane w 2016 roku:"/>
        <w:tblDescription w:val="Tabela zawiera Lp., Jednostka samorządu terytorialnego, Nazwa zadania"/>
      </w:tblPr>
      <w:tblGrid>
        <w:gridCol w:w="546"/>
        <w:gridCol w:w="2905"/>
        <w:gridCol w:w="5612"/>
      </w:tblGrid>
      <w:tr w:rsidR="00776BAF" w:rsidRPr="007B0436" w14:paraId="70D30131" w14:textId="77777777" w:rsidTr="007B0436">
        <w:trPr>
          <w:trHeight w:val="425"/>
          <w:tblHeader/>
        </w:trPr>
        <w:tc>
          <w:tcPr>
            <w:tcW w:w="299" w:type="pct"/>
            <w:shd w:val="clear" w:color="auto" w:fill="DEEAF6" w:themeFill="accent1" w:themeFillTint="33"/>
            <w:vAlign w:val="center"/>
          </w:tcPr>
          <w:p w14:paraId="15443B80" w14:textId="77777777" w:rsidR="00934830" w:rsidRPr="007B0436" w:rsidRDefault="00934830" w:rsidP="007B0436">
            <w:pPr>
              <w:spacing w:line="276" w:lineRule="auto"/>
              <w:jc w:val="center"/>
              <w:rPr>
                <w:rFonts w:ascii="Arial" w:hAnsi="Arial" w:cs="Arial"/>
                <w:b/>
                <w:color w:val="000000" w:themeColor="text1"/>
                <w:sz w:val="22"/>
                <w:szCs w:val="22"/>
              </w:rPr>
            </w:pPr>
            <w:r w:rsidRPr="007B0436">
              <w:rPr>
                <w:rFonts w:ascii="Arial" w:hAnsi="Arial" w:cs="Arial"/>
                <w:b/>
                <w:color w:val="000000" w:themeColor="text1"/>
                <w:sz w:val="22"/>
                <w:szCs w:val="22"/>
              </w:rPr>
              <w:t>Lp.</w:t>
            </w:r>
          </w:p>
        </w:tc>
        <w:tc>
          <w:tcPr>
            <w:tcW w:w="1604" w:type="pct"/>
            <w:shd w:val="clear" w:color="auto" w:fill="DEEAF6" w:themeFill="accent1" w:themeFillTint="33"/>
            <w:vAlign w:val="center"/>
          </w:tcPr>
          <w:p w14:paraId="75AB53BF" w14:textId="77777777" w:rsidR="00934830" w:rsidRPr="007B0436" w:rsidRDefault="00934830" w:rsidP="007B0436">
            <w:pPr>
              <w:spacing w:line="276" w:lineRule="auto"/>
              <w:jc w:val="center"/>
              <w:rPr>
                <w:rFonts w:ascii="Arial" w:hAnsi="Arial" w:cs="Arial"/>
                <w:b/>
                <w:color w:val="000000" w:themeColor="text1"/>
                <w:sz w:val="22"/>
                <w:szCs w:val="22"/>
              </w:rPr>
            </w:pPr>
            <w:r w:rsidRPr="007B0436">
              <w:rPr>
                <w:rFonts w:ascii="Arial" w:hAnsi="Arial" w:cs="Arial"/>
                <w:b/>
                <w:color w:val="000000" w:themeColor="text1"/>
                <w:sz w:val="22"/>
                <w:szCs w:val="22"/>
              </w:rPr>
              <w:t>Jednostka samorządu terytorialnego</w:t>
            </w:r>
          </w:p>
        </w:tc>
        <w:tc>
          <w:tcPr>
            <w:tcW w:w="3097" w:type="pct"/>
            <w:shd w:val="clear" w:color="auto" w:fill="DEEAF6" w:themeFill="accent1" w:themeFillTint="33"/>
            <w:vAlign w:val="center"/>
          </w:tcPr>
          <w:p w14:paraId="48B8B3B5" w14:textId="77777777" w:rsidR="00934830" w:rsidRPr="007B0436" w:rsidRDefault="00934830" w:rsidP="007B0436">
            <w:pPr>
              <w:spacing w:line="276" w:lineRule="auto"/>
              <w:jc w:val="center"/>
              <w:rPr>
                <w:rFonts w:ascii="Arial" w:hAnsi="Arial" w:cs="Arial"/>
                <w:b/>
                <w:color w:val="000000" w:themeColor="text1"/>
                <w:sz w:val="22"/>
                <w:szCs w:val="22"/>
              </w:rPr>
            </w:pPr>
            <w:r w:rsidRPr="007B0436">
              <w:rPr>
                <w:rFonts w:ascii="Arial" w:hAnsi="Arial" w:cs="Arial"/>
                <w:b/>
                <w:color w:val="000000" w:themeColor="text1"/>
                <w:sz w:val="22"/>
                <w:szCs w:val="22"/>
              </w:rPr>
              <w:t>Nazwa zadania</w:t>
            </w:r>
          </w:p>
        </w:tc>
      </w:tr>
      <w:tr w:rsidR="00776BAF" w:rsidRPr="007B0436" w14:paraId="52688186" w14:textId="77777777" w:rsidTr="007B0436">
        <w:trPr>
          <w:trHeight w:val="425"/>
        </w:trPr>
        <w:tc>
          <w:tcPr>
            <w:tcW w:w="299" w:type="pct"/>
            <w:vAlign w:val="center"/>
          </w:tcPr>
          <w:p w14:paraId="69E197DB"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1.</w:t>
            </w:r>
          </w:p>
        </w:tc>
        <w:tc>
          <w:tcPr>
            <w:tcW w:w="1604" w:type="pct"/>
            <w:vAlign w:val="center"/>
          </w:tcPr>
          <w:p w14:paraId="0E8B8B7F"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Gmina Głogów Małopolski</w:t>
            </w:r>
          </w:p>
        </w:tc>
        <w:tc>
          <w:tcPr>
            <w:tcW w:w="3097" w:type="pct"/>
            <w:vAlign w:val="center"/>
          </w:tcPr>
          <w:p w14:paraId="1A733FEF" w14:textId="77777777" w:rsidR="00934830" w:rsidRPr="007B0436" w:rsidRDefault="00934830" w:rsidP="007B0436">
            <w:pPr>
              <w:spacing w:line="276" w:lineRule="auto"/>
              <w:rPr>
                <w:rFonts w:ascii="Arial" w:hAnsi="Arial" w:cs="Arial"/>
                <w:color w:val="000000" w:themeColor="text1"/>
                <w:sz w:val="22"/>
                <w:szCs w:val="22"/>
              </w:rPr>
            </w:pPr>
            <w:r w:rsidRPr="007B0436">
              <w:rPr>
                <w:rFonts w:ascii="Arial" w:hAnsi="Arial" w:cs="Arial"/>
                <w:color w:val="000000" w:themeColor="text1"/>
                <w:sz w:val="22"/>
                <w:szCs w:val="22"/>
              </w:rPr>
              <w:t>Budowa parkingu wraz z oświetleniem i dojściem do kolejowego przystanku osobowego – Rogoźnica na linii kolejowej nr 71.</w:t>
            </w:r>
          </w:p>
        </w:tc>
      </w:tr>
      <w:tr w:rsidR="00776BAF" w:rsidRPr="007B0436" w14:paraId="412712DC" w14:textId="77777777" w:rsidTr="007B0436">
        <w:trPr>
          <w:trHeight w:val="425"/>
        </w:trPr>
        <w:tc>
          <w:tcPr>
            <w:tcW w:w="299" w:type="pct"/>
            <w:vAlign w:val="center"/>
          </w:tcPr>
          <w:p w14:paraId="0E3DD962"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2.</w:t>
            </w:r>
          </w:p>
        </w:tc>
        <w:tc>
          <w:tcPr>
            <w:tcW w:w="1604" w:type="pct"/>
            <w:vAlign w:val="center"/>
          </w:tcPr>
          <w:p w14:paraId="75C9470F"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Gmina Boguchwała</w:t>
            </w:r>
          </w:p>
        </w:tc>
        <w:tc>
          <w:tcPr>
            <w:tcW w:w="3097" w:type="pct"/>
            <w:vAlign w:val="center"/>
          </w:tcPr>
          <w:p w14:paraId="45B80F13" w14:textId="77777777" w:rsidR="00934830" w:rsidRPr="007B0436" w:rsidRDefault="00934830" w:rsidP="007B0436">
            <w:pPr>
              <w:spacing w:line="276" w:lineRule="auto"/>
              <w:rPr>
                <w:rFonts w:ascii="Arial" w:hAnsi="Arial" w:cs="Arial"/>
                <w:color w:val="000000" w:themeColor="text1"/>
                <w:sz w:val="22"/>
                <w:szCs w:val="22"/>
              </w:rPr>
            </w:pPr>
            <w:r w:rsidRPr="007B0436">
              <w:rPr>
                <w:rFonts w:ascii="Arial" w:hAnsi="Arial" w:cs="Arial"/>
                <w:color w:val="000000" w:themeColor="text1"/>
                <w:sz w:val="22"/>
                <w:szCs w:val="22"/>
              </w:rPr>
              <w:t>Budowa oświetlenia miejsc postojowych przy dworcu PKP w Boguchwale</w:t>
            </w:r>
          </w:p>
        </w:tc>
      </w:tr>
      <w:tr w:rsidR="00776BAF" w:rsidRPr="007B0436" w14:paraId="71E58FD3" w14:textId="77777777" w:rsidTr="007B0436">
        <w:trPr>
          <w:trHeight w:val="425"/>
        </w:trPr>
        <w:tc>
          <w:tcPr>
            <w:tcW w:w="299" w:type="pct"/>
            <w:vAlign w:val="center"/>
          </w:tcPr>
          <w:p w14:paraId="130B5C4A"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3.</w:t>
            </w:r>
          </w:p>
        </w:tc>
        <w:tc>
          <w:tcPr>
            <w:tcW w:w="1604" w:type="pct"/>
            <w:vAlign w:val="center"/>
          </w:tcPr>
          <w:p w14:paraId="35E0389B"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Gmina Miasto Krosno</w:t>
            </w:r>
          </w:p>
        </w:tc>
        <w:tc>
          <w:tcPr>
            <w:tcW w:w="3097" w:type="pct"/>
            <w:vAlign w:val="center"/>
          </w:tcPr>
          <w:p w14:paraId="75E87536" w14:textId="77777777" w:rsidR="00934830" w:rsidRPr="007B0436" w:rsidRDefault="00934830" w:rsidP="007B0436">
            <w:pPr>
              <w:spacing w:line="276" w:lineRule="auto"/>
              <w:rPr>
                <w:rFonts w:ascii="Arial" w:hAnsi="Arial" w:cs="Arial"/>
                <w:color w:val="000000" w:themeColor="text1"/>
                <w:sz w:val="22"/>
                <w:szCs w:val="22"/>
              </w:rPr>
            </w:pPr>
            <w:r w:rsidRPr="007B0436">
              <w:rPr>
                <w:rFonts w:ascii="Arial" w:hAnsi="Arial" w:cs="Arial"/>
                <w:color w:val="000000" w:themeColor="text1"/>
                <w:sz w:val="22"/>
                <w:szCs w:val="22"/>
              </w:rPr>
              <w:t>Budowa parkingu przy ul. Decowskiego służącego komunikacji kolejowej w obrębie przystanku Krosno – Polanka.</w:t>
            </w:r>
          </w:p>
        </w:tc>
      </w:tr>
      <w:tr w:rsidR="00776BAF" w:rsidRPr="007B0436" w14:paraId="06B055F6" w14:textId="77777777" w:rsidTr="007B0436">
        <w:trPr>
          <w:trHeight w:val="425"/>
        </w:trPr>
        <w:tc>
          <w:tcPr>
            <w:tcW w:w="299" w:type="pct"/>
            <w:vAlign w:val="center"/>
          </w:tcPr>
          <w:p w14:paraId="0ECB918F"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4.</w:t>
            </w:r>
          </w:p>
        </w:tc>
        <w:tc>
          <w:tcPr>
            <w:tcW w:w="1604" w:type="pct"/>
            <w:vAlign w:val="center"/>
          </w:tcPr>
          <w:p w14:paraId="329BD0D3"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Gmina Miejsce Piastowe</w:t>
            </w:r>
          </w:p>
        </w:tc>
        <w:tc>
          <w:tcPr>
            <w:tcW w:w="3097" w:type="pct"/>
            <w:vAlign w:val="center"/>
          </w:tcPr>
          <w:p w14:paraId="1EA6F922" w14:textId="77777777" w:rsidR="00934830" w:rsidRPr="007B0436" w:rsidRDefault="00934830" w:rsidP="007B0436">
            <w:pPr>
              <w:spacing w:line="276" w:lineRule="auto"/>
              <w:rPr>
                <w:rFonts w:ascii="Arial" w:hAnsi="Arial" w:cs="Arial"/>
                <w:color w:val="000000" w:themeColor="text1"/>
                <w:sz w:val="22"/>
                <w:szCs w:val="22"/>
              </w:rPr>
            </w:pPr>
            <w:r w:rsidRPr="007B0436">
              <w:rPr>
                <w:rFonts w:ascii="Arial" w:hAnsi="Arial" w:cs="Arial"/>
                <w:color w:val="000000" w:themeColor="text1"/>
                <w:sz w:val="22"/>
                <w:szCs w:val="22"/>
              </w:rPr>
              <w:t>Budowa miejsc postojowych przy budynku dworca kolejowego w Targowiskach</w:t>
            </w:r>
          </w:p>
        </w:tc>
      </w:tr>
      <w:tr w:rsidR="00776BAF" w:rsidRPr="007B0436" w14:paraId="31FBC5D5" w14:textId="77777777" w:rsidTr="007B0436">
        <w:trPr>
          <w:trHeight w:val="425"/>
        </w:trPr>
        <w:tc>
          <w:tcPr>
            <w:tcW w:w="299" w:type="pct"/>
            <w:vAlign w:val="center"/>
          </w:tcPr>
          <w:p w14:paraId="35DE7238"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5.</w:t>
            </w:r>
          </w:p>
        </w:tc>
        <w:tc>
          <w:tcPr>
            <w:tcW w:w="1604" w:type="pct"/>
            <w:vAlign w:val="center"/>
          </w:tcPr>
          <w:p w14:paraId="31D09C7F"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Gmina Sędziszów Małopolski</w:t>
            </w:r>
          </w:p>
        </w:tc>
        <w:tc>
          <w:tcPr>
            <w:tcW w:w="3097" w:type="pct"/>
            <w:vAlign w:val="center"/>
          </w:tcPr>
          <w:p w14:paraId="2B1078EC" w14:textId="12582E60" w:rsidR="00934830" w:rsidRPr="007B0436" w:rsidRDefault="00934830" w:rsidP="007B0436">
            <w:pPr>
              <w:spacing w:line="276" w:lineRule="auto"/>
              <w:rPr>
                <w:rFonts w:ascii="Arial" w:hAnsi="Arial" w:cs="Arial"/>
                <w:color w:val="000000" w:themeColor="text1"/>
                <w:sz w:val="22"/>
                <w:szCs w:val="22"/>
              </w:rPr>
            </w:pPr>
            <w:r w:rsidRPr="007B0436">
              <w:rPr>
                <w:rFonts w:ascii="Arial" w:hAnsi="Arial" w:cs="Arial"/>
                <w:color w:val="000000" w:themeColor="text1"/>
                <w:sz w:val="22"/>
                <w:szCs w:val="22"/>
              </w:rPr>
              <w:t xml:space="preserve">Modernizacja parkingów i dróg przejazdowych, zintegrowanego węzła przesiadkowego pomiędzy różnymi środkami transportu pasażerskiego </w:t>
            </w:r>
            <w:r w:rsidR="009B2282">
              <w:rPr>
                <w:rFonts w:ascii="Arial" w:hAnsi="Arial" w:cs="Arial"/>
                <w:color w:val="000000" w:themeColor="text1"/>
                <w:sz w:val="22"/>
                <w:szCs w:val="22"/>
              </w:rPr>
              <w:br/>
            </w:r>
            <w:r w:rsidRPr="007B0436">
              <w:rPr>
                <w:rFonts w:ascii="Arial" w:hAnsi="Arial" w:cs="Arial"/>
                <w:color w:val="000000" w:themeColor="text1"/>
                <w:sz w:val="22"/>
                <w:szCs w:val="22"/>
              </w:rPr>
              <w:t>w Sędziszowie Małopolskim</w:t>
            </w:r>
          </w:p>
        </w:tc>
      </w:tr>
      <w:tr w:rsidR="00776BAF" w:rsidRPr="007B0436" w14:paraId="659F8CBD" w14:textId="77777777" w:rsidTr="007B0436">
        <w:trPr>
          <w:trHeight w:val="425"/>
        </w:trPr>
        <w:tc>
          <w:tcPr>
            <w:tcW w:w="299" w:type="pct"/>
            <w:vAlign w:val="center"/>
          </w:tcPr>
          <w:p w14:paraId="22E15CE3"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6.</w:t>
            </w:r>
          </w:p>
        </w:tc>
        <w:tc>
          <w:tcPr>
            <w:tcW w:w="1604" w:type="pct"/>
            <w:vAlign w:val="center"/>
          </w:tcPr>
          <w:p w14:paraId="3AB54882"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Gmina Horyniec Zdrój</w:t>
            </w:r>
          </w:p>
        </w:tc>
        <w:tc>
          <w:tcPr>
            <w:tcW w:w="3097" w:type="pct"/>
            <w:vAlign w:val="center"/>
          </w:tcPr>
          <w:p w14:paraId="57AB671C" w14:textId="77777777" w:rsidR="00934830" w:rsidRPr="007B0436" w:rsidRDefault="00934830" w:rsidP="007B0436">
            <w:pPr>
              <w:spacing w:line="276" w:lineRule="auto"/>
              <w:rPr>
                <w:rFonts w:ascii="Arial" w:hAnsi="Arial" w:cs="Arial"/>
                <w:b/>
                <w:color w:val="000000" w:themeColor="text1"/>
                <w:sz w:val="22"/>
                <w:szCs w:val="22"/>
              </w:rPr>
            </w:pPr>
            <w:r w:rsidRPr="007B0436">
              <w:rPr>
                <w:rFonts w:ascii="Arial" w:hAnsi="Arial" w:cs="Arial"/>
                <w:color w:val="000000" w:themeColor="text1"/>
                <w:sz w:val="22"/>
                <w:szCs w:val="22"/>
              </w:rPr>
              <w:t>Budowa miejsc postojowych wraz z droga dojazdową do terenów kolejowych w Horyńcu-Zdroju</w:t>
            </w:r>
          </w:p>
        </w:tc>
      </w:tr>
    </w:tbl>
    <w:p w14:paraId="20E72986" w14:textId="77777777" w:rsidR="00934830" w:rsidRPr="009B78DA" w:rsidRDefault="00934830" w:rsidP="0038595A">
      <w:p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Zadania inwestycyjne zrealizowane w 2017 roku:</w:t>
      </w:r>
    </w:p>
    <w:tbl>
      <w:tblPr>
        <w:tblStyle w:val="Tabela-Siatka"/>
        <w:tblW w:w="5000" w:type="pct"/>
        <w:jc w:val="center"/>
        <w:tblLook w:val="04A0" w:firstRow="1" w:lastRow="0" w:firstColumn="1" w:lastColumn="0" w:noHBand="0" w:noVBand="1"/>
        <w:tblCaption w:val="Zadania inwestycyjne zrealizowane w 2017 roku:"/>
        <w:tblDescription w:val="Tabela zawiera Lp., Jednostka samorządu terytorialnego, Nazwa zadania"/>
      </w:tblPr>
      <w:tblGrid>
        <w:gridCol w:w="580"/>
        <w:gridCol w:w="2868"/>
        <w:gridCol w:w="5615"/>
      </w:tblGrid>
      <w:tr w:rsidR="00776BAF" w:rsidRPr="007B0436" w14:paraId="4F28C455" w14:textId="77777777" w:rsidTr="0038595A">
        <w:trPr>
          <w:trHeight w:val="425"/>
          <w:tblHeader/>
          <w:jc w:val="center"/>
        </w:trPr>
        <w:tc>
          <w:tcPr>
            <w:tcW w:w="320" w:type="pct"/>
            <w:shd w:val="clear" w:color="auto" w:fill="DEEAF6" w:themeFill="accent1" w:themeFillTint="33"/>
            <w:vAlign w:val="center"/>
          </w:tcPr>
          <w:p w14:paraId="5F30C176" w14:textId="77777777" w:rsidR="00934830" w:rsidRPr="007B0436" w:rsidRDefault="00934830" w:rsidP="0038595A">
            <w:pPr>
              <w:spacing w:line="276" w:lineRule="auto"/>
              <w:jc w:val="center"/>
              <w:rPr>
                <w:rFonts w:ascii="Arial" w:hAnsi="Arial" w:cs="Arial"/>
                <w:b/>
                <w:color w:val="000000" w:themeColor="text1"/>
                <w:sz w:val="22"/>
                <w:szCs w:val="22"/>
              </w:rPr>
            </w:pPr>
            <w:r w:rsidRPr="007B0436">
              <w:rPr>
                <w:rFonts w:ascii="Arial" w:hAnsi="Arial" w:cs="Arial"/>
                <w:b/>
                <w:color w:val="000000" w:themeColor="text1"/>
                <w:sz w:val="22"/>
                <w:szCs w:val="22"/>
              </w:rPr>
              <w:t>Lp.</w:t>
            </w:r>
          </w:p>
        </w:tc>
        <w:tc>
          <w:tcPr>
            <w:tcW w:w="1582" w:type="pct"/>
            <w:shd w:val="clear" w:color="auto" w:fill="DEEAF6" w:themeFill="accent1" w:themeFillTint="33"/>
            <w:vAlign w:val="center"/>
          </w:tcPr>
          <w:p w14:paraId="6C7AA627" w14:textId="77777777" w:rsidR="00934830" w:rsidRPr="007B0436" w:rsidRDefault="00934830" w:rsidP="0038595A">
            <w:pPr>
              <w:spacing w:line="276" w:lineRule="auto"/>
              <w:jc w:val="center"/>
              <w:rPr>
                <w:rFonts w:ascii="Arial" w:hAnsi="Arial" w:cs="Arial"/>
                <w:b/>
                <w:color w:val="000000" w:themeColor="text1"/>
                <w:sz w:val="22"/>
                <w:szCs w:val="22"/>
              </w:rPr>
            </w:pPr>
            <w:r w:rsidRPr="007B0436">
              <w:rPr>
                <w:rFonts w:ascii="Arial" w:hAnsi="Arial" w:cs="Arial"/>
                <w:b/>
                <w:color w:val="000000" w:themeColor="text1"/>
                <w:sz w:val="22"/>
                <w:szCs w:val="22"/>
              </w:rPr>
              <w:t>Jednostka samorządu terytorialnego</w:t>
            </w:r>
          </w:p>
        </w:tc>
        <w:tc>
          <w:tcPr>
            <w:tcW w:w="3097" w:type="pct"/>
            <w:shd w:val="clear" w:color="auto" w:fill="DEEAF6" w:themeFill="accent1" w:themeFillTint="33"/>
            <w:vAlign w:val="center"/>
          </w:tcPr>
          <w:p w14:paraId="384521A7" w14:textId="77777777" w:rsidR="00934830" w:rsidRPr="007B0436" w:rsidRDefault="00934830" w:rsidP="0038595A">
            <w:pPr>
              <w:spacing w:line="276" w:lineRule="auto"/>
              <w:jc w:val="center"/>
              <w:rPr>
                <w:rFonts w:ascii="Arial" w:hAnsi="Arial" w:cs="Arial"/>
                <w:b/>
                <w:color w:val="000000" w:themeColor="text1"/>
                <w:sz w:val="22"/>
                <w:szCs w:val="22"/>
              </w:rPr>
            </w:pPr>
            <w:r w:rsidRPr="007B0436">
              <w:rPr>
                <w:rFonts w:ascii="Arial" w:hAnsi="Arial" w:cs="Arial"/>
                <w:b/>
                <w:color w:val="000000" w:themeColor="text1"/>
                <w:sz w:val="22"/>
                <w:szCs w:val="22"/>
              </w:rPr>
              <w:t>Nazwa zadania</w:t>
            </w:r>
          </w:p>
        </w:tc>
      </w:tr>
      <w:tr w:rsidR="00776BAF" w:rsidRPr="007B0436" w14:paraId="1FF5C7DA" w14:textId="77777777" w:rsidTr="0038595A">
        <w:trPr>
          <w:trHeight w:val="425"/>
          <w:jc w:val="center"/>
        </w:trPr>
        <w:tc>
          <w:tcPr>
            <w:tcW w:w="320" w:type="pct"/>
            <w:vAlign w:val="center"/>
          </w:tcPr>
          <w:p w14:paraId="6A00C15A" w14:textId="77777777" w:rsidR="00934830" w:rsidRPr="007B0436" w:rsidRDefault="00934830" w:rsidP="0038595A">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1.</w:t>
            </w:r>
          </w:p>
        </w:tc>
        <w:tc>
          <w:tcPr>
            <w:tcW w:w="1582" w:type="pct"/>
            <w:vAlign w:val="center"/>
          </w:tcPr>
          <w:p w14:paraId="3A0676AF" w14:textId="77777777" w:rsidR="00934830" w:rsidRPr="007B0436" w:rsidRDefault="00934830" w:rsidP="0038595A">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Gmina Czudec</w:t>
            </w:r>
          </w:p>
        </w:tc>
        <w:tc>
          <w:tcPr>
            <w:tcW w:w="3097" w:type="pct"/>
            <w:vAlign w:val="center"/>
          </w:tcPr>
          <w:p w14:paraId="2503DB03" w14:textId="7C2D809E" w:rsidR="00934830" w:rsidRPr="007B0436" w:rsidRDefault="00934830" w:rsidP="0038595A">
            <w:pPr>
              <w:spacing w:line="276" w:lineRule="auto"/>
              <w:rPr>
                <w:rFonts w:ascii="Arial" w:hAnsi="Arial" w:cs="Arial"/>
                <w:color w:val="000000" w:themeColor="text1"/>
                <w:sz w:val="22"/>
                <w:szCs w:val="22"/>
              </w:rPr>
            </w:pPr>
            <w:r w:rsidRPr="007B0436">
              <w:rPr>
                <w:rFonts w:ascii="Arial" w:hAnsi="Arial" w:cs="Arial"/>
                <w:color w:val="000000" w:themeColor="text1"/>
                <w:sz w:val="22"/>
                <w:szCs w:val="22"/>
              </w:rPr>
              <w:t xml:space="preserve">Budowa parkingów dla samochodów osobowych, motocykli i rowerów w systemie park&amp;ride </w:t>
            </w:r>
            <w:r w:rsidR="009B2282">
              <w:rPr>
                <w:rFonts w:ascii="Arial" w:hAnsi="Arial" w:cs="Arial"/>
                <w:color w:val="000000" w:themeColor="text1"/>
                <w:sz w:val="22"/>
                <w:szCs w:val="22"/>
              </w:rPr>
              <w:br/>
            </w:r>
            <w:r w:rsidRPr="007B0436">
              <w:rPr>
                <w:rFonts w:ascii="Arial" w:hAnsi="Arial" w:cs="Arial"/>
                <w:color w:val="000000" w:themeColor="text1"/>
                <w:sz w:val="22"/>
                <w:szCs w:val="22"/>
              </w:rPr>
              <w:t>w miejscowości Czudec na części działki o nr ew. 479/4 i w miejscowości Babica na części działki o nr ew. 1232.</w:t>
            </w:r>
          </w:p>
        </w:tc>
      </w:tr>
      <w:tr w:rsidR="00776BAF" w:rsidRPr="007B0436" w14:paraId="77E8271C" w14:textId="77777777" w:rsidTr="0038595A">
        <w:trPr>
          <w:trHeight w:val="425"/>
          <w:jc w:val="center"/>
        </w:trPr>
        <w:tc>
          <w:tcPr>
            <w:tcW w:w="320" w:type="pct"/>
            <w:vAlign w:val="center"/>
          </w:tcPr>
          <w:p w14:paraId="3300ADCB" w14:textId="77777777" w:rsidR="00934830" w:rsidRPr="007B0436" w:rsidRDefault="00934830" w:rsidP="0038595A">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2.</w:t>
            </w:r>
          </w:p>
        </w:tc>
        <w:tc>
          <w:tcPr>
            <w:tcW w:w="1582" w:type="pct"/>
            <w:vAlign w:val="center"/>
          </w:tcPr>
          <w:p w14:paraId="3C18160B" w14:textId="77777777" w:rsidR="00934830" w:rsidRPr="007B0436" w:rsidRDefault="00934830" w:rsidP="0038595A">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Gmina Wiśniowa</w:t>
            </w:r>
          </w:p>
        </w:tc>
        <w:tc>
          <w:tcPr>
            <w:tcW w:w="3097" w:type="pct"/>
            <w:vAlign w:val="center"/>
          </w:tcPr>
          <w:p w14:paraId="031280E9" w14:textId="77777777" w:rsidR="00934830" w:rsidRPr="007B0436" w:rsidRDefault="00934830" w:rsidP="0038595A">
            <w:pPr>
              <w:spacing w:line="276" w:lineRule="auto"/>
              <w:rPr>
                <w:rFonts w:ascii="Arial" w:hAnsi="Arial" w:cs="Arial"/>
                <w:color w:val="000000" w:themeColor="text1"/>
                <w:sz w:val="22"/>
                <w:szCs w:val="22"/>
              </w:rPr>
            </w:pPr>
            <w:r w:rsidRPr="007B0436">
              <w:rPr>
                <w:rFonts w:ascii="Arial" w:hAnsi="Arial" w:cs="Arial"/>
                <w:color w:val="000000" w:themeColor="text1"/>
                <w:sz w:val="22"/>
                <w:szCs w:val="22"/>
              </w:rPr>
              <w:t>Budowa miejsc postojowych w obrębie PKP Wiśniowa oraz PKP Kalembina wraz z dojazdami.</w:t>
            </w:r>
          </w:p>
        </w:tc>
      </w:tr>
      <w:tr w:rsidR="00776BAF" w:rsidRPr="007B0436" w14:paraId="6C6FB99C" w14:textId="77777777" w:rsidTr="0038595A">
        <w:trPr>
          <w:trHeight w:val="425"/>
          <w:jc w:val="center"/>
        </w:trPr>
        <w:tc>
          <w:tcPr>
            <w:tcW w:w="320" w:type="pct"/>
            <w:vAlign w:val="center"/>
          </w:tcPr>
          <w:p w14:paraId="20314D6B" w14:textId="77777777" w:rsidR="00934830" w:rsidRPr="007B0436" w:rsidRDefault="00934830" w:rsidP="0038595A">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3.</w:t>
            </w:r>
          </w:p>
        </w:tc>
        <w:tc>
          <w:tcPr>
            <w:tcW w:w="1582" w:type="pct"/>
            <w:vAlign w:val="center"/>
          </w:tcPr>
          <w:p w14:paraId="1E73D02C" w14:textId="77777777" w:rsidR="00934830" w:rsidRPr="007B0436" w:rsidRDefault="00934830" w:rsidP="0038595A">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Miasto Sanok</w:t>
            </w:r>
          </w:p>
        </w:tc>
        <w:tc>
          <w:tcPr>
            <w:tcW w:w="3097" w:type="pct"/>
            <w:vAlign w:val="center"/>
          </w:tcPr>
          <w:p w14:paraId="5C05FAB4" w14:textId="77777777" w:rsidR="00934830" w:rsidRPr="007B0436" w:rsidRDefault="00934830" w:rsidP="0038595A">
            <w:pPr>
              <w:spacing w:line="276" w:lineRule="auto"/>
              <w:rPr>
                <w:rFonts w:ascii="Arial" w:hAnsi="Arial" w:cs="Arial"/>
                <w:color w:val="000000" w:themeColor="text1"/>
                <w:sz w:val="22"/>
                <w:szCs w:val="22"/>
              </w:rPr>
            </w:pPr>
            <w:r w:rsidRPr="007B0436">
              <w:rPr>
                <w:rFonts w:ascii="Arial" w:hAnsi="Arial" w:cs="Arial"/>
                <w:color w:val="000000" w:themeColor="text1"/>
                <w:sz w:val="22"/>
                <w:szCs w:val="22"/>
              </w:rPr>
              <w:t>Budowa miejsc postojowych wraz z przebudową chodników ul. Grunwaldzkiej w Sanoku w obrębie przystanku kolejowego Sanok-Miasto.</w:t>
            </w:r>
          </w:p>
        </w:tc>
      </w:tr>
      <w:tr w:rsidR="00776BAF" w:rsidRPr="007B0436" w14:paraId="7A6EB752" w14:textId="77777777" w:rsidTr="0038595A">
        <w:trPr>
          <w:trHeight w:val="425"/>
          <w:jc w:val="center"/>
        </w:trPr>
        <w:tc>
          <w:tcPr>
            <w:tcW w:w="320" w:type="pct"/>
            <w:vAlign w:val="center"/>
          </w:tcPr>
          <w:p w14:paraId="153076EF" w14:textId="77777777" w:rsidR="00934830" w:rsidRPr="007B0436" w:rsidRDefault="00934830" w:rsidP="0038595A">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4.</w:t>
            </w:r>
          </w:p>
        </w:tc>
        <w:tc>
          <w:tcPr>
            <w:tcW w:w="1582" w:type="pct"/>
            <w:vAlign w:val="center"/>
          </w:tcPr>
          <w:p w14:paraId="7F4F599B" w14:textId="77777777" w:rsidR="00934830" w:rsidRPr="007B0436" w:rsidRDefault="00934830" w:rsidP="0038595A">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Gmina Świlcza</w:t>
            </w:r>
          </w:p>
        </w:tc>
        <w:tc>
          <w:tcPr>
            <w:tcW w:w="3097" w:type="pct"/>
            <w:vAlign w:val="center"/>
          </w:tcPr>
          <w:p w14:paraId="4746992A" w14:textId="4EBF726A" w:rsidR="00934830" w:rsidRPr="007B0436" w:rsidRDefault="00934830" w:rsidP="0038595A">
            <w:pPr>
              <w:spacing w:line="276" w:lineRule="auto"/>
              <w:rPr>
                <w:rFonts w:ascii="Arial" w:hAnsi="Arial" w:cs="Arial"/>
                <w:color w:val="000000" w:themeColor="text1"/>
                <w:sz w:val="22"/>
                <w:szCs w:val="22"/>
              </w:rPr>
            </w:pPr>
            <w:r w:rsidRPr="007B0436">
              <w:rPr>
                <w:rFonts w:ascii="Arial" w:hAnsi="Arial" w:cs="Arial"/>
                <w:color w:val="000000" w:themeColor="text1"/>
                <w:sz w:val="22"/>
                <w:szCs w:val="22"/>
              </w:rPr>
              <w:t>Zadanie nr 1: Przebudowa drogi gminnej nr 108765R w miejscowości Świlcza polegająca na budowie chodnika dla pieszych w km 0+510 – km 0+710 wraz z przebudową odwodnienia drog</w:t>
            </w:r>
            <w:r w:rsidR="009B2282">
              <w:rPr>
                <w:rFonts w:ascii="Arial" w:hAnsi="Arial" w:cs="Arial"/>
                <w:color w:val="000000" w:themeColor="text1"/>
                <w:sz w:val="22"/>
                <w:szCs w:val="22"/>
              </w:rPr>
              <w:t xml:space="preserve">i: Etap II km 0+595 – km 0+710. </w:t>
            </w:r>
            <w:r w:rsidR="009B2282">
              <w:rPr>
                <w:rFonts w:ascii="Arial" w:hAnsi="Arial" w:cs="Arial"/>
                <w:color w:val="000000" w:themeColor="text1"/>
                <w:sz w:val="22"/>
                <w:szCs w:val="22"/>
              </w:rPr>
              <w:br/>
            </w:r>
            <w:r w:rsidRPr="007B0436">
              <w:rPr>
                <w:rFonts w:ascii="Arial" w:hAnsi="Arial" w:cs="Arial"/>
                <w:color w:val="000000" w:themeColor="text1"/>
                <w:sz w:val="22"/>
                <w:szCs w:val="22"/>
              </w:rPr>
              <w:t>Zadanie nr 2: Przebudowa drogi gminnej nr 108766R w miejscowości Rudna Wielka w km 0+565 – km 0+650.</w:t>
            </w:r>
          </w:p>
        </w:tc>
      </w:tr>
      <w:tr w:rsidR="00776BAF" w:rsidRPr="007B0436" w14:paraId="42419559" w14:textId="77777777" w:rsidTr="0038595A">
        <w:trPr>
          <w:trHeight w:val="425"/>
          <w:jc w:val="center"/>
        </w:trPr>
        <w:tc>
          <w:tcPr>
            <w:tcW w:w="320" w:type="pct"/>
            <w:vAlign w:val="center"/>
          </w:tcPr>
          <w:p w14:paraId="047BC78B" w14:textId="77777777" w:rsidR="00934830" w:rsidRPr="007B0436" w:rsidRDefault="00934830" w:rsidP="0038595A">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5.</w:t>
            </w:r>
          </w:p>
        </w:tc>
        <w:tc>
          <w:tcPr>
            <w:tcW w:w="1582" w:type="pct"/>
            <w:vAlign w:val="center"/>
          </w:tcPr>
          <w:p w14:paraId="1BA2D1A0" w14:textId="77777777" w:rsidR="00934830" w:rsidRPr="007B0436" w:rsidRDefault="00934830" w:rsidP="0038595A">
            <w:pPr>
              <w:spacing w:line="276" w:lineRule="auto"/>
              <w:rPr>
                <w:rFonts w:ascii="Arial" w:hAnsi="Arial" w:cs="Arial"/>
                <w:b/>
                <w:color w:val="000000" w:themeColor="text1"/>
                <w:sz w:val="22"/>
                <w:szCs w:val="22"/>
              </w:rPr>
            </w:pPr>
            <w:r w:rsidRPr="007B0436">
              <w:rPr>
                <w:rFonts w:ascii="Arial" w:hAnsi="Arial" w:cs="Arial"/>
                <w:b/>
                <w:color w:val="000000" w:themeColor="text1"/>
                <w:sz w:val="22"/>
                <w:szCs w:val="22"/>
              </w:rPr>
              <w:t xml:space="preserve">Miasto Lubaczów </w:t>
            </w:r>
          </w:p>
        </w:tc>
        <w:tc>
          <w:tcPr>
            <w:tcW w:w="3097" w:type="pct"/>
            <w:vAlign w:val="center"/>
          </w:tcPr>
          <w:p w14:paraId="5050AE75" w14:textId="77777777" w:rsidR="00934830" w:rsidRPr="007B0436" w:rsidRDefault="00934830" w:rsidP="0038595A">
            <w:pPr>
              <w:spacing w:line="276" w:lineRule="auto"/>
              <w:rPr>
                <w:rFonts w:ascii="Arial" w:hAnsi="Arial" w:cs="Arial"/>
                <w:color w:val="000000" w:themeColor="text1"/>
                <w:sz w:val="22"/>
                <w:szCs w:val="22"/>
              </w:rPr>
            </w:pPr>
            <w:r w:rsidRPr="007B0436">
              <w:rPr>
                <w:rFonts w:ascii="Arial" w:hAnsi="Arial" w:cs="Arial"/>
                <w:color w:val="000000" w:themeColor="text1"/>
                <w:sz w:val="22"/>
                <w:szCs w:val="22"/>
              </w:rPr>
              <w:t>Budowa parkingów przy ul. Kolejowej i ul. Ofiar Katynia w Lubaczowie.</w:t>
            </w:r>
          </w:p>
        </w:tc>
      </w:tr>
    </w:tbl>
    <w:p w14:paraId="6F759657" w14:textId="77777777" w:rsidR="00934830" w:rsidRPr="009B78DA" w:rsidRDefault="00934830" w:rsidP="0038595A">
      <w:pPr>
        <w:spacing w:before="120" w:after="120" w:line="276" w:lineRule="auto"/>
        <w:rPr>
          <w:rFonts w:ascii="Arial" w:hAnsi="Arial" w:cs="Arial"/>
          <w:color w:val="000000" w:themeColor="text1"/>
          <w:sz w:val="22"/>
          <w:szCs w:val="22"/>
        </w:rPr>
      </w:pPr>
      <w:bookmarkStart w:id="464" w:name="_Hlk46481287"/>
      <w:r w:rsidRPr="009B78DA">
        <w:rPr>
          <w:rFonts w:ascii="Arial" w:hAnsi="Arial" w:cs="Arial"/>
          <w:color w:val="000000" w:themeColor="text1"/>
          <w:sz w:val="22"/>
          <w:szCs w:val="22"/>
        </w:rPr>
        <w:t>Zadania inwestycyjne zrealizowane w 2018 roku:</w:t>
      </w:r>
    </w:p>
    <w:tbl>
      <w:tblPr>
        <w:tblStyle w:val="Tabela-Siatka1"/>
        <w:tblW w:w="5000" w:type="pct"/>
        <w:jc w:val="center"/>
        <w:tblLook w:val="04A0" w:firstRow="1" w:lastRow="0" w:firstColumn="1" w:lastColumn="0" w:noHBand="0" w:noVBand="1"/>
        <w:tblCaption w:val="Zadania inwestycyjne zrealizowane w 2018 roku:"/>
        <w:tblDescription w:val="Tabela zawiera Lp., Jednostka samorządu terytorialnego, Nazwa zadania"/>
      </w:tblPr>
      <w:tblGrid>
        <w:gridCol w:w="580"/>
        <w:gridCol w:w="2868"/>
        <w:gridCol w:w="5615"/>
      </w:tblGrid>
      <w:tr w:rsidR="00776BAF" w:rsidRPr="0038595A" w14:paraId="7A7C62A8" w14:textId="77777777" w:rsidTr="002E6FDD">
        <w:trPr>
          <w:trHeight w:val="425"/>
          <w:tblHeader/>
          <w:jc w:val="center"/>
        </w:trPr>
        <w:tc>
          <w:tcPr>
            <w:tcW w:w="320" w:type="pct"/>
            <w:shd w:val="clear" w:color="auto" w:fill="DEEAF6" w:themeFill="accent1" w:themeFillTint="33"/>
            <w:vAlign w:val="center"/>
          </w:tcPr>
          <w:bookmarkEnd w:id="464"/>
          <w:p w14:paraId="0D156D36" w14:textId="77777777" w:rsidR="00934830" w:rsidRPr="0038595A" w:rsidRDefault="00934830" w:rsidP="0038595A">
            <w:pPr>
              <w:spacing w:line="276" w:lineRule="auto"/>
              <w:jc w:val="center"/>
              <w:rPr>
                <w:rFonts w:ascii="Arial" w:hAnsi="Arial" w:cs="Arial"/>
                <w:b/>
                <w:color w:val="000000" w:themeColor="text1"/>
                <w:sz w:val="22"/>
                <w:szCs w:val="22"/>
              </w:rPr>
            </w:pPr>
            <w:r w:rsidRPr="0038595A">
              <w:rPr>
                <w:rFonts w:ascii="Arial" w:hAnsi="Arial" w:cs="Arial"/>
                <w:b/>
                <w:color w:val="000000" w:themeColor="text1"/>
                <w:sz w:val="22"/>
                <w:szCs w:val="22"/>
              </w:rPr>
              <w:t>Lp.</w:t>
            </w:r>
          </w:p>
        </w:tc>
        <w:tc>
          <w:tcPr>
            <w:tcW w:w="1582" w:type="pct"/>
            <w:shd w:val="clear" w:color="auto" w:fill="DEEAF6" w:themeFill="accent1" w:themeFillTint="33"/>
            <w:vAlign w:val="center"/>
          </w:tcPr>
          <w:p w14:paraId="0A0B6FC9" w14:textId="77777777" w:rsidR="00934830" w:rsidRPr="0038595A" w:rsidRDefault="00934830" w:rsidP="0038595A">
            <w:pPr>
              <w:spacing w:line="276" w:lineRule="auto"/>
              <w:jc w:val="center"/>
              <w:rPr>
                <w:rFonts w:ascii="Arial" w:hAnsi="Arial" w:cs="Arial"/>
                <w:b/>
                <w:color w:val="000000" w:themeColor="text1"/>
                <w:sz w:val="22"/>
                <w:szCs w:val="22"/>
              </w:rPr>
            </w:pPr>
            <w:r w:rsidRPr="0038595A">
              <w:rPr>
                <w:rFonts w:ascii="Arial" w:hAnsi="Arial" w:cs="Arial"/>
                <w:b/>
                <w:color w:val="000000" w:themeColor="text1"/>
                <w:sz w:val="22"/>
                <w:szCs w:val="22"/>
              </w:rPr>
              <w:t>Jednostka samorządu terytorialnego</w:t>
            </w:r>
          </w:p>
        </w:tc>
        <w:tc>
          <w:tcPr>
            <w:tcW w:w="3097" w:type="pct"/>
            <w:shd w:val="clear" w:color="auto" w:fill="DEEAF6" w:themeFill="accent1" w:themeFillTint="33"/>
            <w:vAlign w:val="center"/>
          </w:tcPr>
          <w:p w14:paraId="73CC2A37" w14:textId="77777777" w:rsidR="00934830" w:rsidRPr="0038595A" w:rsidRDefault="00934830" w:rsidP="0038595A">
            <w:pPr>
              <w:spacing w:line="276" w:lineRule="auto"/>
              <w:jc w:val="center"/>
              <w:rPr>
                <w:rFonts w:ascii="Arial" w:hAnsi="Arial" w:cs="Arial"/>
                <w:b/>
                <w:color w:val="000000" w:themeColor="text1"/>
                <w:sz w:val="22"/>
                <w:szCs w:val="22"/>
              </w:rPr>
            </w:pPr>
            <w:r w:rsidRPr="0038595A">
              <w:rPr>
                <w:rFonts w:ascii="Arial" w:hAnsi="Arial" w:cs="Arial"/>
                <w:b/>
                <w:color w:val="000000" w:themeColor="text1"/>
                <w:sz w:val="22"/>
                <w:szCs w:val="22"/>
              </w:rPr>
              <w:t>Nazwa zadania</w:t>
            </w:r>
          </w:p>
        </w:tc>
      </w:tr>
      <w:tr w:rsidR="00776BAF" w:rsidRPr="0038595A" w14:paraId="7AF320C6" w14:textId="77777777" w:rsidTr="0038595A">
        <w:trPr>
          <w:trHeight w:val="425"/>
          <w:jc w:val="center"/>
        </w:trPr>
        <w:tc>
          <w:tcPr>
            <w:tcW w:w="320" w:type="pct"/>
            <w:vAlign w:val="center"/>
          </w:tcPr>
          <w:p w14:paraId="10E1CFC7" w14:textId="77777777" w:rsidR="00934830" w:rsidRPr="0038595A" w:rsidRDefault="00934830" w:rsidP="0038595A">
            <w:pPr>
              <w:spacing w:line="276" w:lineRule="auto"/>
              <w:rPr>
                <w:rFonts w:ascii="Arial" w:hAnsi="Arial" w:cs="Arial"/>
                <w:b/>
                <w:color w:val="000000" w:themeColor="text1"/>
                <w:sz w:val="22"/>
                <w:szCs w:val="22"/>
              </w:rPr>
            </w:pPr>
            <w:r w:rsidRPr="0038595A">
              <w:rPr>
                <w:rFonts w:ascii="Arial" w:hAnsi="Arial" w:cs="Arial"/>
                <w:b/>
                <w:color w:val="000000" w:themeColor="text1"/>
                <w:sz w:val="22"/>
                <w:szCs w:val="22"/>
              </w:rPr>
              <w:t>1.</w:t>
            </w:r>
          </w:p>
        </w:tc>
        <w:tc>
          <w:tcPr>
            <w:tcW w:w="1582" w:type="pct"/>
            <w:vAlign w:val="center"/>
          </w:tcPr>
          <w:p w14:paraId="41ECCBCD" w14:textId="77777777" w:rsidR="00934830" w:rsidRPr="0038595A" w:rsidRDefault="00934830" w:rsidP="0038595A">
            <w:pPr>
              <w:spacing w:line="276" w:lineRule="auto"/>
              <w:rPr>
                <w:rFonts w:ascii="Arial" w:hAnsi="Arial" w:cs="Arial"/>
                <w:b/>
                <w:color w:val="000000" w:themeColor="text1"/>
                <w:sz w:val="22"/>
                <w:szCs w:val="22"/>
              </w:rPr>
            </w:pPr>
            <w:r w:rsidRPr="0038595A">
              <w:rPr>
                <w:rFonts w:ascii="Arial" w:hAnsi="Arial" w:cs="Arial"/>
                <w:b/>
                <w:color w:val="000000" w:themeColor="text1"/>
                <w:sz w:val="22"/>
                <w:szCs w:val="22"/>
              </w:rPr>
              <w:t>Gmina Miasta Dębica</w:t>
            </w:r>
          </w:p>
        </w:tc>
        <w:tc>
          <w:tcPr>
            <w:tcW w:w="3097" w:type="pct"/>
            <w:vAlign w:val="center"/>
          </w:tcPr>
          <w:p w14:paraId="34534E64" w14:textId="77777777" w:rsidR="00934830" w:rsidRPr="0038595A" w:rsidRDefault="00934830" w:rsidP="0038595A">
            <w:pPr>
              <w:spacing w:line="276" w:lineRule="auto"/>
              <w:rPr>
                <w:rFonts w:ascii="Arial" w:hAnsi="Arial" w:cs="Arial"/>
                <w:color w:val="000000" w:themeColor="text1"/>
                <w:sz w:val="22"/>
                <w:szCs w:val="22"/>
              </w:rPr>
            </w:pPr>
            <w:r w:rsidRPr="0038595A">
              <w:rPr>
                <w:rFonts w:ascii="Arial" w:hAnsi="Arial" w:cs="Arial"/>
                <w:color w:val="000000" w:themeColor="text1"/>
                <w:sz w:val="22"/>
                <w:szCs w:val="22"/>
              </w:rPr>
              <w:t>Budowa parkingu miejskiego wraz z chodnikiem przy ul. Konarskiego w Dębicy.</w:t>
            </w:r>
          </w:p>
        </w:tc>
      </w:tr>
      <w:tr w:rsidR="00776BAF" w:rsidRPr="0038595A" w14:paraId="678D9E7F" w14:textId="77777777" w:rsidTr="0038595A">
        <w:trPr>
          <w:trHeight w:val="425"/>
          <w:jc w:val="center"/>
        </w:trPr>
        <w:tc>
          <w:tcPr>
            <w:tcW w:w="320" w:type="pct"/>
            <w:vAlign w:val="center"/>
          </w:tcPr>
          <w:p w14:paraId="5C3D52F3" w14:textId="77777777" w:rsidR="00934830" w:rsidRPr="0038595A" w:rsidRDefault="00934830" w:rsidP="0038595A">
            <w:pPr>
              <w:spacing w:line="276" w:lineRule="auto"/>
              <w:rPr>
                <w:rFonts w:ascii="Arial" w:hAnsi="Arial" w:cs="Arial"/>
                <w:b/>
                <w:color w:val="000000" w:themeColor="text1"/>
                <w:sz w:val="22"/>
                <w:szCs w:val="22"/>
              </w:rPr>
            </w:pPr>
            <w:r w:rsidRPr="0038595A">
              <w:rPr>
                <w:rFonts w:ascii="Arial" w:hAnsi="Arial" w:cs="Arial"/>
                <w:b/>
                <w:color w:val="000000" w:themeColor="text1"/>
                <w:sz w:val="22"/>
                <w:szCs w:val="22"/>
              </w:rPr>
              <w:t>2.</w:t>
            </w:r>
          </w:p>
        </w:tc>
        <w:tc>
          <w:tcPr>
            <w:tcW w:w="1582" w:type="pct"/>
            <w:vAlign w:val="center"/>
          </w:tcPr>
          <w:p w14:paraId="37A41A68" w14:textId="77777777" w:rsidR="00934830" w:rsidRPr="0038595A" w:rsidRDefault="00934830" w:rsidP="0038595A">
            <w:pPr>
              <w:spacing w:line="276" w:lineRule="auto"/>
              <w:rPr>
                <w:rFonts w:ascii="Arial" w:hAnsi="Arial" w:cs="Arial"/>
                <w:b/>
                <w:color w:val="000000" w:themeColor="text1"/>
                <w:sz w:val="22"/>
                <w:szCs w:val="22"/>
              </w:rPr>
            </w:pPr>
            <w:r w:rsidRPr="0038595A">
              <w:rPr>
                <w:rFonts w:ascii="Arial" w:hAnsi="Arial" w:cs="Arial"/>
                <w:b/>
                <w:color w:val="000000" w:themeColor="text1"/>
                <w:sz w:val="22"/>
                <w:szCs w:val="22"/>
              </w:rPr>
              <w:t>Gmina Oleszyce</w:t>
            </w:r>
          </w:p>
        </w:tc>
        <w:tc>
          <w:tcPr>
            <w:tcW w:w="3097" w:type="pct"/>
            <w:vAlign w:val="center"/>
          </w:tcPr>
          <w:p w14:paraId="2D95D15D" w14:textId="73FD6D20" w:rsidR="00934830" w:rsidRPr="0038595A" w:rsidRDefault="00934830" w:rsidP="0038595A">
            <w:pPr>
              <w:spacing w:line="276" w:lineRule="auto"/>
              <w:rPr>
                <w:rFonts w:ascii="Arial" w:hAnsi="Arial" w:cs="Arial"/>
                <w:color w:val="000000" w:themeColor="text1"/>
                <w:sz w:val="22"/>
                <w:szCs w:val="22"/>
              </w:rPr>
            </w:pPr>
            <w:r w:rsidRPr="0038595A">
              <w:rPr>
                <w:rFonts w:ascii="Arial" w:hAnsi="Arial" w:cs="Arial"/>
                <w:color w:val="000000" w:themeColor="text1"/>
                <w:sz w:val="22"/>
                <w:szCs w:val="22"/>
              </w:rPr>
              <w:t xml:space="preserve">Przebudowa budynku po byłej stacji PKP </w:t>
            </w:r>
            <w:r w:rsidR="009B2282">
              <w:rPr>
                <w:rFonts w:ascii="Arial" w:hAnsi="Arial" w:cs="Arial"/>
                <w:color w:val="000000" w:themeColor="text1"/>
                <w:sz w:val="22"/>
                <w:szCs w:val="22"/>
              </w:rPr>
              <w:br/>
            </w:r>
            <w:r w:rsidRPr="0038595A">
              <w:rPr>
                <w:rFonts w:ascii="Arial" w:hAnsi="Arial" w:cs="Arial"/>
                <w:color w:val="000000" w:themeColor="text1"/>
                <w:sz w:val="22"/>
                <w:szCs w:val="22"/>
              </w:rPr>
              <w:t>w Oleszycach.</w:t>
            </w:r>
          </w:p>
        </w:tc>
      </w:tr>
      <w:tr w:rsidR="00776BAF" w:rsidRPr="0038595A" w14:paraId="7D31E2A7" w14:textId="77777777" w:rsidTr="0038595A">
        <w:trPr>
          <w:trHeight w:val="425"/>
          <w:jc w:val="center"/>
        </w:trPr>
        <w:tc>
          <w:tcPr>
            <w:tcW w:w="320" w:type="pct"/>
            <w:vAlign w:val="center"/>
          </w:tcPr>
          <w:p w14:paraId="3F065371" w14:textId="77777777" w:rsidR="00934830" w:rsidRPr="0038595A" w:rsidRDefault="00934830" w:rsidP="0038595A">
            <w:pPr>
              <w:spacing w:line="276" w:lineRule="auto"/>
              <w:rPr>
                <w:rFonts w:ascii="Arial" w:hAnsi="Arial" w:cs="Arial"/>
                <w:b/>
                <w:color w:val="000000" w:themeColor="text1"/>
                <w:sz w:val="22"/>
                <w:szCs w:val="22"/>
              </w:rPr>
            </w:pPr>
            <w:r w:rsidRPr="0038595A">
              <w:rPr>
                <w:rFonts w:ascii="Arial" w:hAnsi="Arial" w:cs="Arial"/>
                <w:b/>
                <w:color w:val="000000" w:themeColor="text1"/>
                <w:sz w:val="22"/>
                <w:szCs w:val="22"/>
              </w:rPr>
              <w:t>3.</w:t>
            </w:r>
          </w:p>
        </w:tc>
        <w:tc>
          <w:tcPr>
            <w:tcW w:w="1582" w:type="pct"/>
            <w:vAlign w:val="center"/>
          </w:tcPr>
          <w:p w14:paraId="70BBDFB4" w14:textId="77777777" w:rsidR="00934830" w:rsidRPr="0038595A" w:rsidRDefault="00934830" w:rsidP="0038595A">
            <w:pPr>
              <w:spacing w:line="276" w:lineRule="auto"/>
              <w:rPr>
                <w:rFonts w:ascii="Arial" w:hAnsi="Arial" w:cs="Arial"/>
                <w:b/>
                <w:color w:val="000000" w:themeColor="text1"/>
                <w:sz w:val="22"/>
                <w:szCs w:val="22"/>
              </w:rPr>
            </w:pPr>
            <w:r w:rsidRPr="0038595A">
              <w:rPr>
                <w:rFonts w:ascii="Arial" w:hAnsi="Arial" w:cs="Arial"/>
                <w:b/>
                <w:color w:val="000000" w:themeColor="text1"/>
                <w:sz w:val="22"/>
                <w:szCs w:val="22"/>
              </w:rPr>
              <w:t>Gmina Jedlicze</w:t>
            </w:r>
          </w:p>
        </w:tc>
        <w:tc>
          <w:tcPr>
            <w:tcW w:w="3097" w:type="pct"/>
            <w:vAlign w:val="center"/>
          </w:tcPr>
          <w:p w14:paraId="7281EB6E" w14:textId="77777777" w:rsidR="00934830" w:rsidRPr="0038595A" w:rsidRDefault="00934830" w:rsidP="0038595A">
            <w:pPr>
              <w:spacing w:line="276" w:lineRule="auto"/>
              <w:rPr>
                <w:rFonts w:ascii="Arial" w:hAnsi="Arial" w:cs="Arial"/>
                <w:b/>
                <w:color w:val="000000" w:themeColor="text1"/>
                <w:sz w:val="22"/>
                <w:szCs w:val="22"/>
              </w:rPr>
            </w:pPr>
            <w:r w:rsidRPr="0038595A">
              <w:rPr>
                <w:rFonts w:ascii="Arial" w:hAnsi="Arial" w:cs="Arial"/>
                <w:color w:val="000000" w:themeColor="text1"/>
                <w:sz w:val="22"/>
                <w:szCs w:val="22"/>
              </w:rPr>
              <w:t>Przebudowa dr. gm. G114690R zlokalizowanej na dz. o nr  w. 1264 w m. Jedlicze ul. Kolejowa.</w:t>
            </w:r>
          </w:p>
        </w:tc>
      </w:tr>
      <w:tr w:rsidR="00776BAF" w:rsidRPr="0038595A" w14:paraId="57DFDCD9" w14:textId="77777777" w:rsidTr="0038595A">
        <w:trPr>
          <w:trHeight w:val="425"/>
          <w:jc w:val="center"/>
        </w:trPr>
        <w:tc>
          <w:tcPr>
            <w:tcW w:w="320" w:type="pct"/>
            <w:vAlign w:val="center"/>
          </w:tcPr>
          <w:p w14:paraId="7DD11F12" w14:textId="77777777" w:rsidR="00934830" w:rsidRPr="0038595A" w:rsidRDefault="00934830" w:rsidP="0038595A">
            <w:pPr>
              <w:spacing w:line="276" w:lineRule="auto"/>
              <w:rPr>
                <w:rFonts w:ascii="Arial" w:hAnsi="Arial" w:cs="Arial"/>
                <w:b/>
                <w:color w:val="000000" w:themeColor="text1"/>
                <w:sz w:val="22"/>
                <w:szCs w:val="22"/>
              </w:rPr>
            </w:pPr>
            <w:r w:rsidRPr="0038595A">
              <w:rPr>
                <w:rFonts w:ascii="Arial" w:hAnsi="Arial" w:cs="Arial"/>
                <w:b/>
                <w:color w:val="000000" w:themeColor="text1"/>
                <w:sz w:val="22"/>
                <w:szCs w:val="22"/>
              </w:rPr>
              <w:t>4.</w:t>
            </w:r>
          </w:p>
        </w:tc>
        <w:tc>
          <w:tcPr>
            <w:tcW w:w="1582" w:type="pct"/>
            <w:vAlign w:val="center"/>
          </w:tcPr>
          <w:p w14:paraId="5AA1DFDC" w14:textId="77777777" w:rsidR="00934830" w:rsidRPr="0038595A" w:rsidRDefault="00934830" w:rsidP="0038595A">
            <w:pPr>
              <w:spacing w:line="276" w:lineRule="auto"/>
              <w:rPr>
                <w:rFonts w:ascii="Arial" w:hAnsi="Arial" w:cs="Arial"/>
                <w:b/>
                <w:color w:val="000000" w:themeColor="text1"/>
                <w:sz w:val="22"/>
                <w:szCs w:val="22"/>
              </w:rPr>
            </w:pPr>
            <w:r w:rsidRPr="0038595A">
              <w:rPr>
                <w:rFonts w:ascii="Arial" w:hAnsi="Arial" w:cs="Arial"/>
                <w:b/>
                <w:color w:val="000000" w:themeColor="text1"/>
                <w:sz w:val="22"/>
                <w:szCs w:val="22"/>
              </w:rPr>
              <w:t>Gmina Kolbuszowa</w:t>
            </w:r>
          </w:p>
        </w:tc>
        <w:tc>
          <w:tcPr>
            <w:tcW w:w="3097" w:type="pct"/>
            <w:vAlign w:val="center"/>
          </w:tcPr>
          <w:p w14:paraId="0F15F189" w14:textId="77777777" w:rsidR="00934830" w:rsidRPr="0038595A" w:rsidRDefault="00934830" w:rsidP="0038595A">
            <w:pPr>
              <w:spacing w:line="276" w:lineRule="auto"/>
              <w:rPr>
                <w:rFonts w:ascii="Arial" w:hAnsi="Arial" w:cs="Arial"/>
                <w:color w:val="000000" w:themeColor="text1"/>
                <w:sz w:val="22"/>
                <w:szCs w:val="22"/>
              </w:rPr>
            </w:pPr>
            <w:r w:rsidRPr="0038595A">
              <w:rPr>
                <w:rFonts w:ascii="Arial" w:hAnsi="Arial" w:cs="Arial"/>
                <w:color w:val="000000" w:themeColor="text1"/>
                <w:sz w:val="22"/>
                <w:szCs w:val="22"/>
              </w:rPr>
              <w:t>Budowa miejsc postojowych wraz z dojściem do przystanku osobowego w Zarębkach.</w:t>
            </w:r>
          </w:p>
        </w:tc>
      </w:tr>
    </w:tbl>
    <w:p w14:paraId="23040946" w14:textId="77777777" w:rsidR="00934830" w:rsidRPr="009B78DA" w:rsidRDefault="00934830" w:rsidP="00472238">
      <w:p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Zadania inwestycyjne zrealizowane w 2019 roku:</w:t>
      </w:r>
    </w:p>
    <w:tbl>
      <w:tblPr>
        <w:tblStyle w:val="Tabela-Siatka2"/>
        <w:tblW w:w="5000" w:type="pct"/>
        <w:jc w:val="center"/>
        <w:tblLook w:val="04A0" w:firstRow="1" w:lastRow="0" w:firstColumn="1" w:lastColumn="0" w:noHBand="0" w:noVBand="1"/>
        <w:tblCaption w:val="Zadania inwestycyjne zrealizowane w 2019 roku:"/>
        <w:tblDescription w:val="Tabela zawiera Lp., Jednostka samorządu terytorialnego, Nazwa zadania, Kwota dotacji z Budżetu Województwa Podkarpackiego (zł)"/>
      </w:tblPr>
      <w:tblGrid>
        <w:gridCol w:w="548"/>
        <w:gridCol w:w="2298"/>
        <w:gridCol w:w="4049"/>
        <w:gridCol w:w="2168"/>
      </w:tblGrid>
      <w:tr w:rsidR="00776BAF" w:rsidRPr="00472238" w14:paraId="52FAA15C" w14:textId="77777777" w:rsidTr="009B2282">
        <w:trPr>
          <w:trHeight w:val="425"/>
          <w:tblHeader/>
          <w:jc w:val="center"/>
        </w:trPr>
        <w:tc>
          <w:tcPr>
            <w:tcW w:w="302" w:type="pct"/>
            <w:shd w:val="clear" w:color="auto" w:fill="DEEAF6" w:themeFill="accent1" w:themeFillTint="33"/>
            <w:vAlign w:val="center"/>
          </w:tcPr>
          <w:p w14:paraId="6CE48497" w14:textId="77777777" w:rsidR="00934830" w:rsidRPr="00472238" w:rsidRDefault="00934830" w:rsidP="009B2282">
            <w:pPr>
              <w:spacing w:line="276" w:lineRule="auto"/>
              <w:jc w:val="center"/>
              <w:rPr>
                <w:rFonts w:ascii="Arial" w:hAnsi="Arial" w:cs="Arial"/>
                <w:b/>
                <w:color w:val="000000" w:themeColor="text1"/>
                <w:sz w:val="22"/>
                <w:szCs w:val="22"/>
              </w:rPr>
            </w:pPr>
            <w:r w:rsidRPr="00472238">
              <w:rPr>
                <w:rFonts w:ascii="Arial" w:hAnsi="Arial" w:cs="Arial"/>
                <w:b/>
                <w:color w:val="000000" w:themeColor="text1"/>
                <w:sz w:val="22"/>
                <w:szCs w:val="22"/>
              </w:rPr>
              <w:t>Lp.</w:t>
            </w:r>
          </w:p>
        </w:tc>
        <w:tc>
          <w:tcPr>
            <w:tcW w:w="1268" w:type="pct"/>
            <w:shd w:val="clear" w:color="auto" w:fill="DEEAF6" w:themeFill="accent1" w:themeFillTint="33"/>
            <w:vAlign w:val="center"/>
          </w:tcPr>
          <w:p w14:paraId="15BF7D9C" w14:textId="77777777" w:rsidR="00934830" w:rsidRPr="00472238" w:rsidRDefault="00934830" w:rsidP="009B2282">
            <w:pPr>
              <w:spacing w:line="276" w:lineRule="auto"/>
              <w:jc w:val="center"/>
              <w:rPr>
                <w:rFonts w:ascii="Arial" w:hAnsi="Arial" w:cs="Arial"/>
                <w:b/>
                <w:color w:val="000000" w:themeColor="text1"/>
                <w:sz w:val="22"/>
                <w:szCs w:val="22"/>
              </w:rPr>
            </w:pPr>
            <w:r w:rsidRPr="00472238">
              <w:rPr>
                <w:rFonts w:ascii="Arial" w:hAnsi="Arial" w:cs="Arial"/>
                <w:b/>
                <w:color w:val="000000" w:themeColor="text1"/>
                <w:sz w:val="22"/>
                <w:szCs w:val="22"/>
              </w:rPr>
              <w:t>Jednostka samorządu terytorialnego</w:t>
            </w:r>
          </w:p>
        </w:tc>
        <w:tc>
          <w:tcPr>
            <w:tcW w:w="2234" w:type="pct"/>
            <w:shd w:val="clear" w:color="auto" w:fill="DEEAF6" w:themeFill="accent1" w:themeFillTint="33"/>
            <w:vAlign w:val="center"/>
          </w:tcPr>
          <w:p w14:paraId="6E427ABF" w14:textId="77777777" w:rsidR="00934830" w:rsidRPr="00472238" w:rsidRDefault="00934830" w:rsidP="009B2282">
            <w:pPr>
              <w:spacing w:line="276" w:lineRule="auto"/>
              <w:jc w:val="center"/>
              <w:rPr>
                <w:rFonts w:ascii="Arial" w:hAnsi="Arial" w:cs="Arial"/>
                <w:b/>
                <w:color w:val="000000" w:themeColor="text1"/>
                <w:sz w:val="22"/>
                <w:szCs w:val="22"/>
              </w:rPr>
            </w:pPr>
            <w:r w:rsidRPr="00472238">
              <w:rPr>
                <w:rFonts w:ascii="Arial" w:hAnsi="Arial" w:cs="Arial"/>
                <w:b/>
                <w:color w:val="000000" w:themeColor="text1"/>
                <w:sz w:val="22"/>
                <w:szCs w:val="22"/>
              </w:rPr>
              <w:t>Nazwa zadania</w:t>
            </w:r>
          </w:p>
        </w:tc>
        <w:tc>
          <w:tcPr>
            <w:tcW w:w="1196" w:type="pct"/>
            <w:shd w:val="clear" w:color="auto" w:fill="DEEAF6" w:themeFill="accent1" w:themeFillTint="33"/>
            <w:vAlign w:val="center"/>
          </w:tcPr>
          <w:p w14:paraId="076BF09E" w14:textId="23342634" w:rsidR="00934830" w:rsidRPr="00472238" w:rsidRDefault="00AD1B18" w:rsidP="009B2282">
            <w:pPr>
              <w:spacing w:line="276" w:lineRule="auto"/>
              <w:jc w:val="center"/>
              <w:rPr>
                <w:rFonts w:ascii="Arial" w:hAnsi="Arial" w:cs="Arial"/>
                <w:b/>
                <w:color w:val="000000" w:themeColor="text1"/>
                <w:sz w:val="22"/>
                <w:szCs w:val="22"/>
              </w:rPr>
            </w:pPr>
            <w:r>
              <w:rPr>
                <w:rFonts w:ascii="Arial" w:hAnsi="Arial" w:cs="Arial"/>
                <w:b/>
                <w:color w:val="000000" w:themeColor="text1"/>
                <w:sz w:val="22"/>
                <w:szCs w:val="22"/>
              </w:rPr>
              <w:t xml:space="preserve">Kwota dotacji </w:t>
            </w:r>
            <w:r>
              <w:rPr>
                <w:rFonts w:ascii="Arial" w:hAnsi="Arial" w:cs="Arial"/>
                <w:b/>
                <w:color w:val="000000" w:themeColor="text1"/>
                <w:sz w:val="22"/>
                <w:szCs w:val="22"/>
              </w:rPr>
              <w:br/>
              <w:t xml:space="preserve">z </w:t>
            </w:r>
            <w:r w:rsidR="00934830" w:rsidRPr="00472238">
              <w:rPr>
                <w:rFonts w:ascii="Arial" w:hAnsi="Arial" w:cs="Arial"/>
                <w:b/>
                <w:color w:val="000000" w:themeColor="text1"/>
                <w:sz w:val="22"/>
                <w:szCs w:val="22"/>
              </w:rPr>
              <w:t>Budżetu Województwa Podkarpackiego (zł)</w:t>
            </w:r>
          </w:p>
        </w:tc>
      </w:tr>
      <w:tr w:rsidR="00776BAF" w:rsidRPr="00472238" w14:paraId="30207DB0" w14:textId="77777777" w:rsidTr="009B2282">
        <w:trPr>
          <w:trHeight w:val="425"/>
          <w:jc w:val="center"/>
        </w:trPr>
        <w:tc>
          <w:tcPr>
            <w:tcW w:w="302" w:type="pct"/>
            <w:vAlign w:val="center"/>
          </w:tcPr>
          <w:p w14:paraId="740D1698" w14:textId="77777777" w:rsidR="00934830" w:rsidRPr="00472238" w:rsidRDefault="00934830" w:rsidP="009B2282">
            <w:pPr>
              <w:spacing w:line="276" w:lineRule="auto"/>
              <w:rPr>
                <w:rFonts w:ascii="Arial" w:hAnsi="Arial" w:cs="Arial"/>
                <w:b/>
                <w:color w:val="000000" w:themeColor="text1"/>
                <w:sz w:val="22"/>
                <w:szCs w:val="22"/>
              </w:rPr>
            </w:pPr>
            <w:r w:rsidRPr="00472238">
              <w:rPr>
                <w:rFonts w:ascii="Arial" w:hAnsi="Arial" w:cs="Arial"/>
                <w:b/>
                <w:color w:val="000000" w:themeColor="text1"/>
                <w:sz w:val="22"/>
                <w:szCs w:val="22"/>
              </w:rPr>
              <w:t>1.</w:t>
            </w:r>
          </w:p>
        </w:tc>
        <w:tc>
          <w:tcPr>
            <w:tcW w:w="1268" w:type="pct"/>
            <w:vAlign w:val="center"/>
          </w:tcPr>
          <w:p w14:paraId="3528ACB2" w14:textId="77777777" w:rsidR="00934830" w:rsidRPr="00472238" w:rsidRDefault="00934830" w:rsidP="009B2282">
            <w:pPr>
              <w:spacing w:line="276" w:lineRule="auto"/>
              <w:rPr>
                <w:rFonts w:ascii="Arial" w:hAnsi="Arial" w:cs="Arial"/>
                <w:b/>
                <w:color w:val="000000" w:themeColor="text1"/>
                <w:sz w:val="22"/>
                <w:szCs w:val="22"/>
              </w:rPr>
            </w:pPr>
            <w:r w:rsidRPr="00472238">
              <w:rPr>
                <w:rFonts w:ascii="Arial" w:hAnsi="Arial" w:cs="Arial"/>
                <w:b/>
                <w:color w:val="000000" w:themeColor="text1"/>
                <w:sz w:val="22"/>
                <w:szCs w:val="22"/>
              </w:rPr>
              <w:t>Gmina Lubaczów</w:t>
            </w:r>
          </w:p>
        </w:tc>
        <w:tc>
          <w:tcPr>
            <w:tcW w:w="2234" w:type="pct"/>
            <w:vAlign w:val="center"/>
          </w:tcPr>
          <w:p w14:paraId="7475FCA8" w14:textId="77777777" w:rsidR="00934830" w:rsidRPr="00472238" w:rsidRDefault="00934830" w:rsidP="009B2282">
            <w:pPr>
              <w:spacing w:line="276" w:lineRule="auto"/>
              <w:rPr>
                <w:rFonts w:ascii="Arial" w:hAnsi="Arial" w:cs="Arial"/>
                <w:color w:val="000000" w:themeColor="text1"/>
                <w:sz w:val="22"/>
                <w:szCs w:val="22"/>
              </w:rPr>
            </w:pPr>
            <w:r w:rsidRPr="00472238">
              <w:rPr>
                <w:rFonts w:ascii="Arial" w:hAnsi="Arial" w:cs="Arial"/>
                <w:color w:val="000000" w:themeColor="text1"/>
                <w:sz w:val="22"/>
                <w:szCs w:val="22"/>
              </w:rPr>
              <w:t>Utworzenie miejsc postojowych dla rowerzystów oraz budowa chodnika przy stacji kolejowej w Baszni.</w:t>
            </w:r>
          </w:p>
        </w:tc>
        <w:tc>
          <w:tcPr>
            <w:tcW w:w="1196" w:type="pct"/>
            <w:vAlign w:val="center"/>
          </w:tcPr>
          <w:p w14:paraId="6D6AAA9F" w14:textId="77777777" w:rsidR="00934830" w:rsidRPr="00472238" w:rsidRDefault="00934830" w:rsidP="009B2282">
            <w:pPr>
              <w:spacing w:line="276" w:lineRule="auto"/>
              <w:jc w:val="center"/>
              <w:rPr>
                <w:rFonts w:ascii="Arial" w:hAnsi="Arial" w:cs="Arial"/>
                <w:b/>
                <w:color w:val="000000" w:themeColor="text1"/>
                <w:sz w:val="22"/>
                <w:szCs w:val="22"/>
              </w:rPr>
            </w:pPr>
            <w:r w:rsidRPr="00472238">
              <w:rPr>
                <w:rFonts w:ascii="Arial" w:hAnsi="Arial" w:cs="Arial"/>
                <w:b/>
                <w:color w:val="000000" w:themeColor="text1"/>
                <w:sz w:val="22"/>
                <w:szCs w:val="22"/>
              </w:rPr>
              <w:t>20 000,00</w:t>
            </w:r>
          </w:p>
        </w:tc>
      </w:tr>
      <w:tr w:rsidR="00776BAF" w:rsidRPr="00472238" w14:paraId="63BE585A" w14:textId="77777777" w:rsidTr="009B2282">
        <w:trPr>
          <w:trHeight w:val="425"/>
          <w:jc w:val="center"/>
        </w:trPr>
        <w:tc>
          <w:tcPr>
            <w:tcW w:w="302" w:type="pct"/>
            <w:vAlign w:val="center"/>
          </w:tcPr>
          <w:p w14:paraId="6982A060" w14:textId="77777777" w:rsidR="00934830" w:rsidRPr="00472238" w:rsidRDefault="00934830" w:rsidP="009B2282">
            <w:pPr>
              <w:spacing w:line="276" w:lineRule="auto"/>
              <w:rPr>
                <w:rFonts w:ascii="Arial" w:hAnsi="Arial" w:cs="Arial"/>
                <w:b/>
                <w:color w:val="000000" w:themeColor="text1"/>
                <w:sz w:val="22"/>
                <w:szCs w:val="22"/>
              </w:rPr>
            </w:pPr>
            <w:r w:rsidRPr="00472238">
              <w:rPr>
                <w:rFonts w:ascii="Arial" w:hAnsi="Arial" w:cs="Arial"/>
                <w:b/>
                <w:color w:val="000000" w:themeColor="text1"/>
                <w:sz w:val="22"/>
                <w:szCs w:val="22"/>
              </w:rPr>
              <w:t>2.</w:t>
            </w:r>
          </w:p>
        </w:tc>
        <w:tc>
          <w:tcPr>
            <w:tcW w:w="1268" w:type="pct"/>
            <w:vAlign w:val="center"/>
          </w:tcPr>
          <w:p w14:paraId="534F821A" w14:textId="77777777" w:rsidR="00934830" w:rsidRPr="00472238" w:rsidRDefault="00934830" w:rsidP="009B2282">
            <w:pPr>
              <w:spacing w:line="276" w:lineRule="auto"/>
              <w:rPr>
                <w:rFonts w:ascii="Arial" w:hAnsi="Arial" w:cs="Arial"/>
                <w:b/>
                <w:color w:val="000000" w:themeColor="text1"/>
                <w:sz w:val="22"/>
                <w:szCs w:val="22"/>
              </w:rPr>
            </w:pPr>
            <w:r w:rsidRPr="00472238">
              <w:rPr>
                <w:rFonts w:ascii="Arial" w:hAnsi="Arial" w:cs="Arial"/>
                <w:b/>
                <w:color w:val="000000" w:themeColor="text1"/>
                <w:sz w:val="22"/>
                <w:szCs w:val="22"/>
              </w:rPr>
              <w:t>Gmina i Miasto Zagórz</w:t>
            </w:r>
          </w:p>
        </w:tc>
        <w:tc>
          <w:tcPr>
            <w:tcW w:w="2234" w:type="pct"/>
            <w:vAlign w:val="center"/>
          </w:tcPr>
          <w:p w14:paraId="2C3F099F" w14:textId="77777777" w:rsidR="00934830" w:rsidRPr="00472238" w:rsidRDefault="00934830" w:rsidP="009B2282">
            <w:pPr>
              <w:spacing w:line="276" w:lineRule="auto"/>
              <w:rPr>
                <w:rFonts w:ascii="Arial" w:hAnsi="Arial" w:cs="Arial"/>
                <w:color w:val="000000" w:themeColor="text1"/>
                <w:sz w:val="22"/>
                <w:szCs w:val="22"/>
              </w:rPr>
            </w:pPr>
            <w:r w:rsidRPr="00472238">
              <w:rPr>
                <w:rFonts w:ascii="Arial" w:hAnsi="Arial" w:cs="Arial"/>
                <w:color w:val="000000" w:themeColor="text1"/>
                <w:sz w:val="22"/>
                <w:szCs w:val="22"/>
              </w:rPr>
              <w:t>Budowa 20 miejsc postojowych dla samochodów osobowych.</w:t>
            </w:r>
          </w:p>
        </w:tc>
        <w:tc>
          <w:tcPr>
            <w:tcW w:w="1196" w:type="pct"/>
            <w:vAlign w:val="center"/>
          </w:tcPr>
          <w:p w14:paraId="0960DB01" w14:textId="77777777" w:rsidR="00934830" w:rsidRPr="00472238" w:rsidRDefault="00934830" w:rsidP="009B2282">
            <w:pPr>
              <w:spacing w:line="276" w:lineRule="auto"/>
              <w:jc w:val="center"/>
              <w:rPr>
                <w:rFonts w:ascii="Arial" w:hAnsi="Arial" w:cs="Arial"/>
                <w:b/>
                <w:color w:val="000000" w:themeColor="text1"/>
                <w:sz w:val="22"/>
                <w:szCs w:val="22"/>
              </w:rPr>
            </w:pPr>
            <w:r w:rsidRPr="00472238">
              <w:rPr>
                <w:rFonts w:ascii="Arial" w:hAnsi="Arial" w:cs="Arial"/>
                <w:b/>
                <w:color w:val="000000" w:themeColor="text1"/>
                <w:sz w:val="22"/>
                <w:szCs w:val="22"/>
              </w:rPr>
              <w:t>10 000,00</w:t>
            </w:r>
          </w:p>
        </w:tc>
      </w:tr>
      <w:tr w:rsidR="00776BAF" w:rsidRPr="00472238" w14:paraId="2AE168A2" w14:textId="77777777" w:rsidTr="009B2282">
        <w:trPr>
          <w:trHeight w:val="425"/>
          <w:jc w:val="center"/>
        </w:trPr>
        <w:tc>
          <w:tcPr>
            <w:tcW w:w="302" w:type="pct"/>
            <w:vAlign w:val="center"/>
          </w:tcPr>
          <w:p w14:paraId="18506E3B" w14:textId="77777777" w:rsidR="00934830" w:rsidRPr="00472238" w:rsidRDefault="00934830" w:rsidP="009B2282">
            <w:pPr>
              <w:spacing w:line="276" w:lineRule="auto"/>
              <w:rPr>
                <w:rFonts w:ascii="Arial" w:hAnsi="Arial" w:cs="Arial"/>
                <w:b/>
                <w:color w:val="000000" w:themeColor="text1"/>
                <w:sz w:val="22"/>
                <w:szCs w:val="22"/>
              </w:rPr>
            </w:pPr>
            <w:r w:rsidRPr="00472238">
              <w:rPr>
                <w:rFonts w:ascii="Arial" w:hAnsi="Arial" w:cs="Arial"/>
                <w:b/>
                <w:color w:val="000000" w:themeColor="text1"/>
                <w:sz w:val="22"/>
                <w:szCs w:val="22"/>
              </w:rPr>
              <w:t>3.</w:t>
            </w:r>
          </w:p>
        </w:tc>
        <w:tc>
          <w:tcPr>
            <w:tcW w:w="1268" w:type="pct"/>
            <w:vAlign w:val="center"/>
          </w:tcPr>
          <w:p w14:paraId="60A198BC" w14:textId="77777777" w:rsidR="00934830" w:rsidRPr="00472238" w:rsidRDefault="00934830" w:rsidP="009B2282">
            <w:pPr>
              <w:spacing w:line="276" w:lineRule="auto"/>
              <w:rPr>
                <w:rFonts w:ascii="Arial" w:hAnsi="Arial" w:cs="Arial"/>
                <w:b/>
                <w:color w:val="000000" w:themeColor="text1"/>
                <w:sz w:val="22"/>
                <w:szCs w:val="22"/>
              </w:rPr>
            </w:pPr>
            <w:r w:rsidRPr="00472238">
              <w:rPr>
                <w:rFonts w:ascii="Arial" w:hAnsi="Arial" w:cs="Arial"/>
                <w:b/>
                <w:color w:val="000000" w:themeColor="text1"/>
                <w:sz w:val="22"/>
                <w:szCs w:val="22"/>
              </w:rPr>
              <w:t>Miasto Jasło</w:t>
            </w:r>
          </w:p>
        </w:tc>
        <w:tc>
          <w:tcPr>
            <w:tcW w:w="2234" w:type="pct"/>
            <w:vAlign w:val="center"/>
          </w:tcPr>
          <w:p w14:paraId="326D5331" w14:textId="05EF6EDF" w:rsidR="00934830" w:rsidRPr="00472238" w:rsidRDefault="00934830" w:rsidP="009B2282">
            <w:pPr>
              <w:spacing w:line="276" w:lineRule="auto"/>
              <w:rPr>
                <w:rFonts w:ascii="Arial" w:hAnsi="Arial" w:cs="Arial"/>
                <w:color w:val="000000" w:themeColor="text1"/>
                <w:sz w:val="22"/>
                <w:szCs w:val="22"/>
              </w:rPr>
            </w:pPr>
            <w:r w:rsidRPr="00472238">
              <w:rPr>
                <w:rFonts w:ascii="Arial" w:hAnsi="Arial" w:cs="Arial"/>
                <w:color w:val="000000" w:themeColor="text1"/>
                <w:sz w:val="22"/>
                <w:szCs w:val="22"/>
              </w:rPr>
              <w:t xml:space="preserve">Przebudowa części budynku byłego dworca PKP wraz </w:t>
            </w:r>
            <w:r w:rsidR="009B2282">
              <w:rPr>
                <w:rFonts w:ascii="Arial" w:hAnsi="Arial" w:cs="Arial"/>
                <w:color w:val="000000" w:themeColor="text1"/>
                <w:sz w:val="22"/>
                <w:szCs w:val="22"/>
              </w:rPr>
              <w:br/>
            </w:r>
            <w:r w:rsidRPr="00472238">
              <w:rPr>
                <w:rFonts w:ascii="Arial" w:hAnsi="Arial" w:cs="Arial"/>
                <w:color w:val="000000" w:themeColor="text1"/>
                <w:sz w:val="22"/>
                <w:szCs w:val="22"/>
              </w:rPr>
              <w:t>z zagospodarowaniem jego otoczenia przy ul. Metzgera w Jaśle.</w:t>
            </w:r>
          </w:p>
        </w:tc>
        <w:tc>
          <w:tcPr>
            <w:tcW w:w="1196" w:type="pct"/>
            <w:vAlign w:val="center"/>
          </w:tcPr>
          <w:p w14:paraId="271D520C" w14:textId="77777777" w:rsidR="00934830" w:rsidRPr="00472238" w:rsidRDefault="00934830" w:rsidP="009B2282">
            <w:pPr>
              <w:spacing w:line="276" w:lineRule="auto"/>
              <w:jc w:val="center"/>
              <w:rPr>
                <w:rFonts w:ascii="Arial" w:hAnsi="Arial" w:cs="Arial"/>
                <w:b/>
                <w:color w:val="000000" w:themeColor="text1"/>
                <w:sz w:val="22"/>
                <w:szCs w:val="22"/>
              </w:rPr>
            </w:pPr>
            <w:r w:rsidRPr="00472238">
              <w:rPr>
                <w:rFonts w:ascii="Arial" w:hAnsi="Arial" w:cs="Arial"/>
                <w:b/>
                <w:color w:val="000000" w:themeColor="text1"/>
                <w:sz w:val="22"/>
                <w:szCs w:val="22"/>
              </w:rPr>
              <w:t>10 000,00</w:t>
            </w:r>
          </w:p>
        </w:tc>
      </w:tr>
      <w:tr w:rsidR="00776BAF" w:rsidRPr="00472238" w14:paraId="43C7E2AB" w14:textId="77777777" w:rsidTr="009B2282">
        <w:trPr>
          <w:trHeight w:val="425"/>
          <w:jc w:val="center"/>
        </w:trPr>
        <w:tc>
          <w:tcPr>
            <w:tcW w:w="302" w:type="pct"/>
            <w:vAlign w:val="center"/>
          </w:tcPr>
          <w:p w14:paraId="2477D343" w14:textId="77777777" w:rsidR="00934830" w:rsidRPr="00472238" w:rsidRDefault="00934830" w:rsidP="009B2282">
            <w:pPr>
              <w:spacing w:line="276" w:lineRule="auto"/>
              <w:rPr>
                <w:rFonts w:ascii="Arial" w:hAnsi="Arial" w:cs="Arial"/>
                <w:b/>
                <w:color w:val="000000" w:themeColor="text1"/>
                <w:sz w:val="22"/>
                <w:szCs w:val="22"/>
              </w:rPr>
            </w:pPr>
            <w:r w:rsidRPr="00472238">
              <w:rPr>
                <w:rFonts w:ascii="Arial" w:hAnsi="Arial" w:cs="Arial"/>
                <w:b/>
                <w:color w:val="000000" w:themeColor="text1"/>
                <w:sz w:val="22"/>
                <w:szCs w:val="22"/>
              </w:rPr>
              <w:t>4.</w:t>
            </w:r>
          </w:p>
        </w:tc>
        <w:tc>
          <w:tcPr>
            <w:tcW w:w="1268" w:type="pct"/>
            <w:vAlign w:val="center"/>
          </w:tcPr>
          <w:p w14:paraId="23F084F6" w14:textId="77777777" w:rsidR="00934830" w:rsidRPr="00472238" w:rsidRDefault="00934830" w:rsidP="009B2282">
            <w:pPr>
              <w:spacing w:line="276" w:lineRule="auto"/>
              <w:rPr>
                <w:rFonts w:ascii="Arial" w:hAnsi="Arial" w:cs="Arial"/>
                <w:b/>
                <w:color w:val="000000" w:themeColor="text1"/>
                <w:sz w:val="22"/>
                <w:szCs w:val="22"/>
              </w:rPr>
            </w:pPr>
            <w:r w:rsidRPr="00472238">
              <w:rPr>
                <w:rFonts w:ascii="Arial" w:hAnsi="Arial" w:cs="Arial"/>
                <w:b/>
                <w:color w:val="000000" w:themeColor="text1"/>
                <w:sz w:val="22"/>
                <w:szCs w:val="22"/>
              </w:rPr>
              <w:t>Gmina Wojaszówka</w:t>
            </w:r>
          </w:p>
        </w:tc>
        <w:tc>
          <w:tcPr>
            <w:tcW w:w="2234" w:type="pct"/>
            <w:vAlign w:val="center"/>
          </w:tcPr>
          <w:p w14:paraId="5D29A01E" w14:textId="77777777" w:rsidR="00934830" w:rsidRPr="00472238" w:rsidRDefault="00934830" w:rsidP="009B2282">
            <w:pPr>
              <w:spacing w:line="276" w:lineRule="auto"/>
              <w:rPr>
                <w:rFonts w:ascii="Arial" w:hAnsi="Arial" w:cs="Arial"/>
                <w:color w:val="000000" w:themeColor="text1"/>
                <w:sz w:val="22"/>
                <w:szCs w:val="22"/>
              </w:rPr>
            </w:pPr>
            <w:r w:rsidRPr="00472238">
              <w:rPr>
                <w:rFonts w:ascii="Arial" w:hAnsi="Arial" w:cs="Arial"/>
                <w:color w:val="000000" w:themeColor="text1"/>
                <w:sz w:val="22"/>
                <w:szCs w:val="22"/>
              </w:rPr>
              <w:t>Budowa oświetlenia przy drodze gminnej w obrębie przejazdu kolejowego w Wojaszówce.</w:t>
            </w:r>
          </w:p>
        </w:tc>
        <w:tc>
          <w:tcPr>
            <w:tcW w:w="1196" w:type="pct"/>
            <w:vAlign w:val="center"/>
          </w:tcPr>
          <w:p w14:paraId="20F07511" w14:textId="77777777" w:rsidR="00934830" w:rsidRPr="00472238" w:rsidRDefault="00934830" w:rsidP="009B2282">
            <w:pPr>
              <w:spacing w:line="276" w:lineRule="auto"/>
              <w:jc w:val="center"/>
              <w:rPr>
                <w:rFonts w:ascii="Arial" w:hAnsi="Arial" w:cs="Arial"/>
                <w:b/>
                <w:color w:val="000000" w:themeColor="text1"/>
                <w:sz w:val="22"/>
                <w:szCs w:val="22"/>
              </w:rPr>
            </w:pPr>
            <w:r w:rsidRPr="00472238">
              <w:rPr>
                <w:rFonts w:ascii="Arial" w:hAnsi="Arial" w:cs="Arial"/>
                <w:b/>
                <w:color w:val="000000" w:themeColor="text1"/>
                <w:sz w:val="22"/>
                <w:szCs w:val="22"/>
              </w:rPr>
              <w:t>10 000,00</w:t>
            </w:r>
          </w:p>
        </w:tc>
      </w:tr>
    </w:tbl>
    <w:p w14:paraId="1006F84E" w14:textId="77777777" w:rsidR="00AD1B18" w:rsidRDefault="00AD1B18">
      <w:pPr>
        <w:rPr>
          <w:rFonts w:ascii="Arial" w:hAnsi="Arial" w:cs="Arial"/>
          <w:color w:val="000000" w:themeColor="text1"/>
          <w:sz w:val="22"/>
          <w:szCs w:val="22"/>
        </w:rPr>
      </w:pPr>
      <w:r>
        <w:rPr>
          <w:rFonts w:ascii="Arial" w:hAnsi="Arial" w:cs="Arial"/>
          <w:color w:val="000000" w:themeColor="text1"/>
          <w:sz w:val="22"/>
          <w:szCs w:val="22"/>
        </w:rPr>
        <w:br w:type="page"/>
      </w:r>
    </w:p>
    <w:p w14:paraId="175EE55C" w14:textId="63215000" w:rsidR="00934830" w:rsidRPr="009B78DA" w:rsidRDefault="00934830" w:rsidP="00AD1B18">
      <w:p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Zadania inwestycyjne zrealizowane w 2020 roku:</w:t>
      </w:r>
    </w:p>
    <w:tbl>
      <w:tblPr>
        <w:tblStyle w:val="Tabela-Siatka2"/>
        <w:tblW w:w="5000" w:type="pct"/>
        <w:jc w:val="center"/>
        <w:tblLook w:val="04A0" w:firstRow="1" w:lastRow="0" w:firstColumn="1" w:lastColumn="0" w:noHBand="0" w:noVBand="1"/>
        <w:tblCaption w:val="Zadania inwestycyjne zrealizowane w 2020 roku:"/>
        <w:tblDescription w:val="Tabela zawiera Lp., Jednostka samorządu terytorialnego, Nazwa zadania, Kwota dotacji z Budżetu Województwa Podkarpackiego (zł)"/>
      </w:tblPr>
      <w:tblGrid>
        <w:gridCol w:w="548"/>
        <w:gridCol w:w="2298"/>
        <w:gridCol w:w="4049"/>
        <w:gridCol w:w="2168"/>
      </w:tblGrid>
      <w:tr w:rsidR="00776BAF" w:rsidRPr="00AD1B18" w14:paraId="3E132F32" w14:textId="77777777" w:rsidTr="00AD1B18">
        <w:trPr>
          <w:trHeight w:val="425"/>
          <w:tblHeader/>
          <w:jc w:val="center"/>
        </w:trPr>
        <w:tc>
          <w:tcPr>
            <w:tcW w:w="302" w:type="pct"/>
            <w:shd w:val="clear" w:color="auto" w:fill="DEEAF6" w:themeFill="accent1" w:themeFillTint="33"/>
            <w:vAlign w:val="center"/>
          </w:tcPr>
          <w:p w14:paraId="2E91B2EB" w14:textId="77777777" w:rsidR="00934830" w:rsidRPr="00AD1B18" w:rsidRDefault="00934830" w:rsidP="00AD1B18">
            <w:pPr>
              <w:jc w:val="center"/>
              <w:rPr>
                <w:rFonts w:ascii="Arial" w:hAnsi="Arial" w:cs="Arial"/>
                <w:b/>
                <w:color w:val="000000" w:themeColor="text1"/>
                <w:sz w:val="22"/>
                <w:szCs w:val="22"/>
              </w:rPr>
            </w:pPr>
            <w:r w:rsidRPr="00AD1B18">
              <w:rPr>
                <w:rFonts w:ascii="Arial" w:hAnsi="Arial" w:cs="Arial"/>
                <w:b/>
                <w:color w:val="000000" w:themeColor="text1"/>
                <w:sz w:val="22"/>
                <w:szCs w:val="22"/>
              </w:rPr>
              <w:t>Lp.</w:t>
            </w:r>
          </w:p>
        </w:tc>
        <w:tc>
          <w:tcPr>
            <w:tcW w:w="1268" w:type="pct"/>
            <w:shd w:val="clear" w:color="auto" w:fill="DEEAF6" w:themeFill="accent1" w:themeFillTint="33"/>
            <w:vAlign w:val="center"/>
          </w:tcPr>
          <w:p w14:paraId="2689B990" w14:textId="77777777" w:rsidR="00934830" w:rsidRPr="00AD1B18" w:rsidRDefault="00934830" w:rsidP="00AD1B18">
            <w:pPr>
              <w:jc w:val="center"/>
              <w:rPr>
                <w:rFonts w:ascii="Arial" w:hAnsi="Arial" w:cs="Arial"/>
                <w:b/>
                <w:color w:val="000000" w:themeColor="text1"/>
                <w:sz w:val="22"/>
                <w:szCs w:val="22"/>
              </w:rPr>
            </w:pPr>
            <w:r w:rsidRPr="00AD1B18">
              <w:rPr>
                <w:rFonts w:ascii="Arial" w:hAnsi="Arial" w:cs="Arial"/>
                <w:b/>
                <w:color w:val="000000" w:themeColor="text1"/>
                <w:sz w:val="22"/>
                <w:szCs w:val="22"/>
              </w:rPr>
              <w:t>Jednostka samorządu terytorialnego</w:t>
            </w:r>
          </w:p>
        </w:tc>
        <w:tc>
          <w:tcPr>
            <w:tcW w:w="2234" w:type="pct"/>
            <w:shd w:val="clear" w:color="auto" w:fill="DEEAF6" w:themeFill="accent1" w:themeFillTint="33"/>
            <w:vAlign w:val="center"/>
          </w:tcPr>
          <w:p w14:paraId="0CA09B23" w14:textId="77777777" w:rsidR="00934830" w:rsidRPr="00AD1B18" w:rsidRDefault="00934830" w:rsidP="00AD1B18">
            <w:pPr>
              <w:jc w:val="center"/>
              <w:rPr>
                <w:rFonts w:ascii="Arial" w:hAnsi="Arial" w:cs="Arial"/>
                <w:b/>
                <w:color w:val="000000" w:themeColor="text1"/>
                <w:sz w:val="22"/>
                <w:szCs w:val="22"/>
              </w:rPr>
            </w:pPr>
            <w:r w:rsidRPr="00AD1B18">
              <w:rPr>
                <w:rFonts w:ascii="Arial" w:hAnsi="Arial" w:cs="Arial"/>
                <w:b/>
                <w:color w:val="000000" w:themeColor="text1"/>
                <w:sz w:val="22"/>
                <w:szCs w:val="22"/>
              </w:rPr>
              <w:t>Nazwa zadania</w:t>
            </w:r>
          </w:p>
        </w:tc>
        <w:tc>
          <w:tcPr>
            <w:tcW w:w="1196" w:type="pct"/>
            <w:shd w:val="clear" w:color="auto" w:fill="DEEAF6" w:themeFill="accent1" w:themeFillTint="33"/>
            <w:vAlign w:val="center"/>
          </w:tcPr>
          <w:p w14:paraId="086C4EAE" w14:textId="52F3ACB3" w:rsidR="00934830" w:rsidRPr="00AD1B18" w:rsidRDefault="00AD1B18" w:rsidP="00AD1B18">
            <w:pPr>
              <w:jc w:val="center"/>
              <w:rPr>
                <w:rFonts w:ascii="Arial" w:hAnsi="Arial" w:cs="Arial"/>
                <w:b/>
                <w:color w:val="000000" w:themeColor="text1"/>
                <w:sz w:val="22"/>
                <w:szCs w:val="22"/>
              </w:rPr>
            </w:pPr>
            <w:r>
              <w:rPr>
                <w:rFonts w:ascii="Arial" w:hAnsi="Arial" w:cs="Arial"/>
                <w:b/>
                <w:color w:val="000000" w:themeColor="text1"/>
                <w:sz w:val="22"/>
                <w:szCs w:val="22"/>
              </w:rPr>
              <w:t xml:space="preserve">Kwota dotacji </w:t>
            </w:r>
            <w:r>
              <w:rPr>
                <w:rFonts w:ascii="Arial" w:hAnsi="Arial" w:cs="Arial"/>
                <w:b/>
                <w:color w:val="000000" w:themeColor="text1"/>
                <w:sz w:val="22"/>
                <w:szCs w:val="22"/>
              </w:rPr>
              <w:br/>
              <w:t xml:space="preserve">z </w:t>
            </w:r>
            <w:r w:rsidR="00934830" w:rsidRPr="00AD1B18">
              <w:rPr>
                <w:rFonts w:ascii="Arial" w:hAnsi="Arial" w:cs="Arial"/>
                <w:b/>
                <w:color w:val="000000" w:themeColor="text1"/>
                <w:sz w:val="22"/>
                <w:szCs w:val="22"/>
              </w:rPr>
              <w:t>Budżetu Województwa Podkarpackiego (zł)</w:t>
            </w:r>
          </w:p>
        </w:tc>
      </w:tr>
      <w:tr w:rsidR="00776BAF" w:rsidRPr="00AD1B18" w14:paraId="6A26DDC9" w14:textId="77777777" w:rsidTr="00AD1B18">
        <w:trPr>
          <w:trHeight w:val="425"/>
          <w:jc w:val="center"/>
        </w:trPr>
        <w:tc>
          <w:tcPr>
            <w:tcW w:w="302" w:type="pct"/>
            <w:vAlign w:val="center"/>
          </w:tcPr>
          <w:p w14:paraId="01065DAC" w14:textId="77777777" w:rsidR="00934830" w:rsidRPr="00AD1B18" w:rsidRDefault="00934830" w:rsidP="00AD1B18">
            <w:pPr>
              <w:rPr>
                <w:rFonts w:ascii="Arial" w:hAnsi="Arial" w:cs="Arial"/>
                <w:b/>
                <w:color w:val="000000" w:themeColor="text1"/>
                <w:sz w:val="22"/>
                <w:szCs w:val="22"/>
              </w:rPr>
            </w:pPr>
            <w:r w:rsidRPr="00AD1B18">
              <w:rPr>
                <w:rFonts w:ascii="Arial" w:hAnsi="Arial" w:cs="Arial"/>
                <w:b/>
                <w:color w:val="000000" w:themeColor="text1"/>
                <w:sz w:val="22"/>
                <w:szCs w:val="22"/>
              </w:rPr>
              <w:t>1.</w:t>
            </w:r>
          </w:p>
        </w:tc>
        <w:tc>
          <w:tcPr>
            <w:tcW w:w="1268" w:type="pct"/>
            <w:vAlign w:val="center"/>
          </w:tcPr>
          <w:p w14:paraId="6C442E0E" w14:textId="77777777" w:rsidR="00934830" w:rsidRPr="00AD1B18" w:rsidRDefault="00934830" w:rsidP="00AD1B18">
            <w:pPr>
              <w:rPr>
                <w:rFonts w:ascii="Arial" w:hAnsi="Arial" w:cs="Arial"/>
                <w:b/>
                <w:color w:val="000000" w:themeColor="text1"/>
                <w:sz w:val="22"/>
                <w:szCs w:val="22"/>
              </w:rPr>
            </w:pPr>
            <w:r w:rsidRPr="00AD1B18">
              <w:rPr>
                <w:rFonts w:ascii="Arial" w:hAnsi="Arial" w:cs="Arial"/>
                <w:b/>
                <w:color w:val="000000" w:themeColor="text1"/>
                <w:sz w:val="22"/>
                <w:szCs w:val="22"/>
              </w:rPr>
              <w:t>Gmina Krasne</w:t>
            </w:r>
          </w:p>
        </w:tc>
        <w:tc>
          <w:tcPr>
            <w:tcW w:w="2234" w:type="pct"/>
            <w:vAlign w:val="center"/>
          </w:tcPr>
          <w:p w14:paraId="0EA7AD20" w14:textId="3687A8AB" w:rsidR="00934830" w:rsidRPr="00AD1B18" w:rsidRDefault="00934830" w:rsidP="00AD1B18">
            <w:pPr>
              <w:rPr>
                <w:rFonts w:ascii="Arial" w:hAnsi="Arial" w:cs="Arial"/>
                <w:bCs/>
                <w:color w:val="000000" w:themeColor="text1"/>
                <w:sz w:val="22"/>
                <w:szCs w:val="22"/>
              </w:rPr>
            </w:pPr>
            <w:r w:rsidRPr="00AD1B18">
              <w:rPr>
                <w:rFonts w:ascii="Arial" w:hAnsi="Arial" w:cs="Arial"/>
                <w:bCs/>
                <w:color w:val="000000" w:themeColor="text1"/>
                <w:sz w:val="22"/>
                <w:szCs w:val="22"/>
              </w:rPr>
              <w:t>Moderniza</w:t>
            </w:r>
            <w:r w:rsidR="00AD1B18">
              <w:rPr>
                <w:rFonts w:ascii="Arial" w:hAnsi="Arial" w:cs="Arial"/>
                <w:bCs/>
                <w:color w:val="000000" w:themeColor="text1"/>
                <w:sz w:val="22"/>
                <w:szCs w:val="22"/>
              </w:rPr>
              <w:t xml:space="preserve">cja drogi do stacji kolejowej w </w:t>
            </w:r>
            <w:r w:rsidRPr="00AD1B18">
              <w:rPr>
                <w:rFonts w:ascii="Arial" w:hAnsi="Arial" w:cs="Arial"/>
                <w:bCs/>
                <w:color w:val="000000" w:themeColor="text1"/>
                <w:sz w:val="22"/>
                <w:szCs w:val="22"/>
              </w:rPr>
              <w:t>Strażowie.</w:t>
            </w:r>
          </w:p>
        </w:tc>
        <w:tc>
          <w:tcPr>
            <w:tcW w:w="1196" w:type="pct"/>
            <w:vAlign w:val="center"/>
          </w:tcPr>
          <w:p w14:paraId="51A96224" w14:textId="77777777" w:rsidR="00934830" w:rsidRPr="00AD1B18" w:rsidRDefault="00934830" w:rsidP="00AD1B18">
            <w:pPr>
              <w:jc w:val="center"/>
              <w:rPr>
                <w:rFonts w:ascii="Arial" w:hAnsi="Arial" w:cs="Arial"/>
                <w:b/>
                <w:color w:val="000000" w:themeColor="text1"/>
                <w:sz w:val="22"/>
                <w:szCs w:val="22"/>
              </w:rPr>
            </w:pPr>
            <w:r w:rsidRPr="00AD1B18">
              <w:rPr>
                <w:rFonts w:ascii="Arial" w:hAnsi="Arial" w:cs="Arial"/>
                <w:b/>
                <w:color w:val="000000" w:themeColor="text1"/>
                <w:sz w:val="22"/>
                <w:szCs w:val="22"/>
              </w:rPr>
              <w:t>20 000,00</w:t>
            </w:r>
          </w:p>
        </w:tc>
      </w:tr>
    </w:tbl>
    <w:p w14:paraId="4AB03F47" w14:textId="77777777" w:rsidR="00934830" w:rsidRPr="009B78DA" w:rsidRDefault="00934830" w:rsidP="00AD1B18">
      <w:p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Zadania inwestycyjne zrealizowane w 2022 roku:</w:t>
      </w:r>
    </w:p>
    <w:tbl>
      <w:tblPr>
        <w:tblStyle w:val="Tabela-Siatka2"/>
        <w:tblW w:w="5000" w:type="pct"/>
        <w:jc w:val="center"/>
        <w:tblLook w:val="04A0" w:firstRow="1" w:lastRow="0" w:firstColumn="1" w:lastColumn="0" w:noHBand="0" w:noVBand="1"/>
        <w:tblCaption w:val="Zadania inwestycyjne zrealizowane w 2022 roku:"/>
        <w:tblDescription w:val="Tabela zawiera Lp., Jednostka samorządu terytorialnego, Nazwa zadania, Kwota dotacji z Budżetu Województwa Podkarpackiego (zł)"/>
      </w:tblPr>
      <w:tblGrid>
        <w:gridCol w:w="548"/>
        <w:gridCol w:w="2298"/>
        <w:gridCol w:w="4049"/>
        <w:gridCol w:w="2168"/>
      </w:tblGrid>
      <w:tr w:rsidR="00776BAF" w:rsidRPr="00AD1B18" w14:paraId="40CD146C" w14:textId="77777777" w:rsidTr="00AD1B18">
        <w:trPr>
          <w:trHeight w:val="425"/>
          <w:tblHeader/>
          <w:jc w:val="center"/>
        </w:trPr>
        <w:tc>
          <w:tcPr>
            <w:tcW w:w="302" w:type="pct"/>
            <w:shd w:val="clear" w:color="auto" w:fill="DEEAF6" w:themeFill="accent1" w:themeFillTint="33"/>
            <w:vAlign w:val="center"/>
          </w:tcPr>
          <w:p w14:paraId="66786D85" w14:textId="77777777" w:rsidR="00934830" w:rsidRPr="00AD1B18" w:rsidRDefault="00934830" w:rsidP="00AD1B18">
            <w:pPr>
              <w:spacing w:line="276" w:lineRule="auto"/>
              <w:jc w:val="center"/>
              <w:rPr>
                <w:rFonts w:ascii="Arial" w:hAnsi="Arial" w:cs="Arial"/>
                <w:b/>
                <w:color w:val="000000" w:themeColor="text1"/>
                <w:sz w:val="22"/>
                <w:szCs w:val="22"/>
              </w:rPr>
            </w:pPr>
            <w:r w:rsidRPr="00AD1B18">
              <w:rPr>
                <w:rFonts w:ascii="Arial" w:hAnsi="Arial" w:cs="Arial"/>
                <w:b/>
                <w:color w:val="000000" w:themeColor="text1"/>
                <w:sz w:val="22"/>
                <w:szCs w:val="22"/>
              </w:rPr>
              <w:t>Lp.</w:t>
            </w:r>
          </w:p>
        </w:tc>
        <w:tc>
          <w:tcPr>
            <w:tcW w:w="1268" w:type="pct"/>
            <w:shd w:val="clear" w:color="auto" w:fill="DEEAF6" w:themeFill="accent1" w:themeFillTint="33"/>
            <w:vAlign w:val="center"/>
          </w:tcPr>
          <w:p w14:paraId="350E6248" w14:textId="77777777" w:rsidR="00934830" w:rsidRPr="00AD1B18" w:rsidRDefault="00934830" w:rsidP="00AD1B18">
            <w:pPr>
              <w:spacing w:line="276" w:lineRule="auto"/>
              <w:jc w:val="center"/>
              <w:rPr>
                <w:rFonts w:ascii="Arial" w:hAnsi="Arial" w:cs="Arial"/>
                <w:b/>
                <w:color w:val="000000" w:themeColor="text1"/>
                <w:sz w:val="22"/>
                <w:szCs w:val="22"/>
              </w:rPr>
            </w:pPr>
            <w:r w:rsidRPr="00AD1B18">
              <w:rPr>
                <w:rFonts w:ascii="Arial" w:hAnsi="Arial" w:cs="Arial"/>
                <w:b/>
                <w:color w:val="000000" w:themeColor="text1"/>
                <w:sz w:val="22"/>
                <w:szCs w:val="22"/>
              </w:rPr>
              <w:t>Jednostka samorządu terytorialnego</w:t>
            </w:r>
          </w:p>
        </w:tc>
        <w:tc>
          <w:tcPr>
            <w:tcW w:w="2234" w:type="pct"/>
            <w:shd w:val="clear" w:color="auto" w:fill="DEEAF6" w:themeFill="accent1" w:themeFillTint="33"/>
            <w:vAlign w:val="center"/>
          </w:tcPr>
          <w:p w14:paraId="03DD2B44" w14:textId="77777777" w:rsidR="00934830" w:rsidRPr="00AD1B18" w:rsidRDefault="00934830" w:rsidP="00AD1B18">
            <w:pPr>
              <w:spacing w:line="276" w:lineRule="auto"/>
              <w:jc w:val="center"/>
              <w:rPr>
                <w:rFonts w:ascii="Arial" w:hAnsi="Arial" w:cs="Arial"/>
                <w:b/>
                <w:color w:val="000000" w:themeColor="text1"/>
                <w:sz w:val="22"/>
                <w:szCs w:val="22"/>
              </w:rPr>
            </w:pPr>
            <w:r w:rsidRPr="00AD1B18">
              <w:rPr>
                <w:rFonts w:ascii="Arial" w:hAnsi="Arial" w:cs="Arial"/>
                <w:b/>
                <w:color w:val="000000" w:themeColor="text1"/>
                <w:sz w:val="22"/>
                <w:szCs w:val="22"/>
              </w:rPr>
              <w:t>Nazwa zadania</w:t>
            </w:r>
          </w:p>
        </w:tc>
        <w:tc>
          <w:tcPr>
            <w:tcW w:w="1196" w:type="pct"/>
            <w:shd w:val="clear" w:color="auto" w:fill="DEEAF6" w:themeFill="accent1" w:themeFillTint="33"/>
            <w:vAlign w:val="center"/>
          </w:tcPr>
          <w:p w14:paraId="56D191A4" w14:textId="460C821D" w:rsidR="00934830" w:rsidRPr="00AD1B18" w:rsidRDefault="00AD1B18" w:rsidP="00AD1B18">
            <w:pPr>
              <w:spacing w:line="276" w:lineRule="auto"/>
              <w:jc w:val="center"/>
              <w:rPr>
                <w:rFonts w:ascii="Arial" w:hAnsi="Arial" w:cs="Arial"/>
                <w:b/>
                <w:color w:val="000000" w:themeColor="text1"/>
                <w:sz w:val="22"/>
                <w:szCs w:val="22"/>
              </w:rPr>
            </w:pPr>
            <w:r>
              <w:rPr>
                <w:rFonts w:ascii="Arial" w:hAnsi="Arial" w:cs="Arial"/>
                <w:b/>
                <w:color w:val="000000" w:themeColor="text1"/>
                <w:sz w:val="22"/>
                <w:szCs w:val="22"/>
              </w:rPr>
              <w:t xml:space="preserve">Kwota dotacji </w:t>
            </w:r>
            <w:r>
              <w:rPr>
                <w:rFonts w:ascii="Arial" w:hAnsi="Arial" w:cs="Arial"/>
                <w:b/>
                <w:color w:val="000000" w:themeColor="text1"/>
                <w:sz w:val="22"/>
                <w:szCs w:val="22"/>
              </w:rPr>
              <w:br/>
              <w:t xml:space="preserve">z </w:t>
            </w:r>
            <w:r w:rsidR="00934830" w:rsidRPr="00AD1B18">
              <w:rPr>
                <w:rFonts w:ascii="Arial" w:hAnsi="Arial" w:cs="Arial"/>
                <w:b/>
                <w:color w:val="000000" w:themeColor="text1"/>
                <w:sz w:val="22"/>
                <w:szCs w:val="22"/>
              </w:rPr>
              <w:t>Budżetu Województwa Podkarpackiego (zł)</w:t>
            </w:r>
          </w:p>
        </w:tc>
      </w:tr>
      <w:tr w:rsidR="00776BAF" w:rsidRPr="00AD1B18" w14:paraId="7A69158B" w14:textId="77777777" w:rsidTr="00AD1B18">
        <w:trPr>
          <w:trHeight w:val="425"/>
          <w:jc w:val="center"/>
        </w:trPr>
        <w:tc>
          <w:tcPr>
            <w:tcW w:w="302" w:type="pct"/>
            <w:vAlign w:val="center"/>
          </w:tcPr>
          <w:p w14:paraId="169556E4" w14:textId="77777777" w:rsidR="00934830" w:rsidRPr="00AD1B18" w:rsidRDefault="00934830" w:rsidP="00AD1B18">
            <w:pPr>
              <w:spacing w:line="276" w:lineRule="auto"/>
              <w:rPr>
                <w:rFonts w:ascii="Arial" w:hAnsi="Arial" w:cs="Arial"/>
                <w:b/>
                <w:color w:val="000000" w:themeColor="text1"/>
                <w:sz w:val="22"/>
                <w:szCs w:val="22"/>
              </w:rPr>
            </w:pPr>
            <w:r w:rsidRPr="00AD1B18">
              <w:rPr>
                <w:rFonts w:ascii="Arial" w:hAnsi="Arial" w:cs="Arial"/>
                <w:b/>
                <w:color w:val="000000" w:themeColor="text1"/>
                <w:sz w:val="22"/>
                <w:szCs w:val="22"/>
              </w:rPr>
              <w:t>1.</w:t>
            </w:r>
          </w:p>
        </w:tc>
        <w:tc>
          <w:tcPr>
            <w:tcW w:w="1268" w:type="pct"/>
            <w:vAlign w:val="center"/>
          </w:tcPr>
          <w:p w14:paraId="7A3332A1" w14:textId="77777777" w:rsidR="00934830" w:rsidRPr="00AD1B18" w:rsidRDefault="00934830" w:rsidP="00AD1B18">
            <w:pPr>
              <w:spacing w:line="276" w:lineRule="auto"/>
              <w:rPr>
                <w:rFonts w:ascii="Arial" w:hAnsi="Arial" w:cs="Arial"/>
                <w:b/>
                <w:color w:val="000000" w:themeColor="text1"/>
                <w:sz w:val="22"/>
                <w:szCs w:val="22"/>
              </w:rPr>
            </w:pPr>
            <w:r w:rsidRPr="00AD1B18">
              <w:rPr>
                <w:rFonts w:ascii="Arial" w:hAnsi="Arial" w:cs="Arial"/>
                <w:b/>
                <w:color w:val="000000" w:themeColor="text1"/>
                <w:sz w:val="22"/>
                <w:szCs w:val="22"/>
              </w:rPr>
              <w:t>Gmina Jasło</w:t>
            </w:r>
          </w:p>
        </w:tc>
        <w:tc>
          <w:tcPr>
            <w:tcW w:w="2234" w:type="pct"/>
            <w:vAlign w:val="center"/>
          </w:tcPr>
          <w:p w14:paraId="192A4779" w14:textId="77777777" w:rsidR="00934830" w:rsidRPr="00AD1B18" w:rsidRDefault="00934830" w:rsidP="00AD1B18">
            <w:pPr>
              <w:spacing w:line="276" w:lineRule="auto"/>
              <w:rPr>
                <w:rFonts w:ascii="Arial" w:hAnsi="Arial" w:cs="Arial"/>
                <w:color w:val="000000" w:themeColor="text1"/>
                <w:sz w:val="22"/>
                <w:szCs w:val="22"/>
              </w:rPr>
            </w:pPr>
            <w:r w:rsidRPr="00AD1B18">
              <w:rPr>
                <w:rFonts w:ascii="Arial" w:hAnsi="Arial" w:cs="Arial"/>
                <w:color w:val="000000" w:themeColor="text1"/>
                <w:sz w:val="22"/>
                <w:szCs w:val="22"/>
              </w:rPr>
              <w:t>Budowa miejsc postojowych obok przystanku PKP w m. Szebnie.</w:t>
            </w:r>
          </w:p>
        </w:tc>
        <w:tc>
          <w:tcPr>
            <w:tcW w:w="1196" w:type="pct"/>
            <w:vAlign w:val="center"/>
          </w:tcPr>
          <w:p w14:paraId="06049F8A" w14:textId="77777777" w:rsidR="00934830" w:rsidRPr="00AD1B18" w:rsidRDefault="00934830" w:rsidP="00AD1B18">
            <w:pPr>
              <w:spacing w:line="276" w:lineRule="auto"/>
              <w:jc w:val="center"/>
              <w:rPr>
                <w:rFonts w:ascii="Arial" w:hAnsi="Arial" w:cs="Arial"/>
                <w:b/>
                <w:color w:val="000000" w:themeColor="text1"/>
                <w:sz w:val="22"/>
                <w:szCs w:val="22"/>
              </w:rPr>
            </w:pPr>
            <w:r w:rsidRPr="00AD1B18">
              <w:rPr>
                <w:rFonts w:ascii="Arial" w:hAnsi="Arial" w:cs="Arial"/>
                <w:b/>
                <w:color w:val="000000" w:themeColor="text1"/>
                <w:sz w:val="22"/>
                <w:szCs w:val="22"/>
              </w:rPr>
              <w:t>10 000,00</w:t>
            </w:r>
          </w:p>
        </w:tc>
      </w:tr>
    </w:tbl>
    <w:p w14:paraId="48E43088" w14:textId="557C40DC" w:rsidR="0028709F" w:rsidRPr="00AD1B18" w:rsidRDefault="00934830" w:rsidP="00AD1B18">
      <w:pPr>
        <w:spacing w:before="120" w:after="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Zakończenie projektu pn. „Wojewódzki Fundusz Kolejowy” w obecnej edycji początkowo zaplanowano na 2023 rok, Województwo Podkarpackie otrzymuje jednak informacje od Samorządów, którym nie udało się zrealiz</w:t>
      </w:r>
      <w:r w:rsidR="00AD1B18">
        <w:rPr>
          <w:rFonts w:ascii="Arial" w:hAnsi="Arial" w:cs="Arial"/>
          <w:color w:val="000000" w:themeColor="text1"/>
          <w:sz w:val="22"/>
          <w:szCs w:val="22"/>
        </w:rPr>
        <w:t xml:space="preserve">ować zaplanowanych inwestycji </w:t>
      </w:r>
      <w:r w:rsidRPr="009B78DA">
        <w:rPr>
          <w:rFonts w:ascii="Arial" w:hAnsi="Arial" w:cs="Arial"/>
          <w:color w:val="000000" w:themeColor="text1"/>
          <w:sz w:val="22"/>
          <w:szCs w:val="22"/>
        </w:rPr>
        <w:t xml:space="preserve">dotyczące problemów bądź długotrwałych procedur związanych z przejmowaniem gruntów pod zaplanowane inwestycje, zatem realizacja </w:t>
      </w:r>
      <w:r w:rsidR="00AD1B18">
        <w:rPr>
          <w:rFonts w:ascii="Arial" w:hAnsi="Arial" w:cs="Arial"/>
          <w:color w:val="000000" w:themeColor="text1"/>
          <w:sz w:val="22"/>
          <w:szCs w:val="22"/>
        </w:rPr>
        <w:t>projektu musi zostać wydłużona.</w:t>
      </w:r>
    </w:p>
    <w:p w14:paraId="65F7B367" w14:textId="43FDB37F" w:rsidR="0028709F" w:rsidRPr="009B78DA" w:rsidRDefault="0028709F">
      <w:pPr>
        <w:rPr>
          <w:rFonts w:ascii="Arial" w:hAnsi="Arial" w:cs="Arial"/>
          <w:b/>
          <w:bCs/>
          <w:color w:val="000000" w:themeColor="text1"/>
          <w:sz w:val="22"/>
          <w:szCs w:val="22"/>
        </w:rPr>
      </w:pPr>
      <w:r w:rsidRPr="009B78DA">
        <w:rPr>
          <w:rFonts w:ascii="Arial" w:hAnsi="Arial" w:cs="Arial"/>
          <w:b/>
          <w:bCs/>
          <w:color w:val="000000" w:themeColor="text1"/>
          <w:sz w:val="22"/>
          <w:szCs w:val="22"/>
        </w:rPr>
        <w:br w:type="page"/>
      </w:r>
    </w:p>
    <w:p w14:paraId="07EBEC11" w14:textId="77777777" w:rsidR="0028709F" w:rsidRPr="009B78DA" w:rsidRDefault="0028709F" w:rsidP="00EF7F20">
      <w:pPr>
        <w:rPr>
          <w:rFonts w:ascii="Arial" w:hAnsi="Arial" w:cs="Arial"/>
          <w:b/>
          <w:bCs/>
          <w:color w:val="000000" w:themeColor="text1"/>
          <w:sz w:val="22"/>
          <w:szCs w:val="22"/>
        </w:rPr>
        <w:sectPr w:rsidR="0028709F" w:rsidRPr="009B78DA" w:rsidSect="004D5104">
          <w:pgSz w:w="11906" w:h="16838"/>
          <w:pgMar w:top="1417" w:right="1416" w:bottom="1417" w:left="1417" w:header="708" w:footer="708" w:gutter="0"/>
          <w:cols w:space="708"/>
          <w:docGrid w:linePitch="360"/>
        </w:sectPr>
      </w:pPr>
    </w:p>
    <w:p w14:paraId="17CEA6BD" w14:textId="2565A9F4" w:rsidR="0028709F" w:rsidRPr="00812774" w:rsidRDefault="0028709F" w:rsidP="00812774">
      <w:pPr>
        <w:jc w:val="center"/>
        <w:rPr>
          <w:rFonts w:ascii="Arial" w:hAnsi="Arial" w:cs="Arial"/>
          <w:b/>
          <w:bCs/>
          <w:color w:val="000000" w:themeColor="text1"/>
        </w:rPr>
      </w:pPr>
      <w:r w:rsidRPr="00812774">
        <w:rPr>
          <w:rFonts w:ascii="Arial" w:hAnsi="Arial" w:cs="Arial"/>
          <w:b/>
          <w:bCs/>
          <w:color w:val="000000" w:themeColor="text1"/>
        </w:rPr>
        <w:t>Par</w:t>
      </w:r>
      <w:r w:rsidR="00812774">
        <w:rPr>
          <w:rFonts w:ascii="Arial" w:hAnsi="Arial" w:cs="Arial"/>
          <w:b/>
          <w:bCs/>
          <w:color w:val="000000" w:themeColor="text1"/>
        </w:rPr>
        <w:t xml:space="preserve">kingi Park&amp;Ride i Bike&amp;Ride </w:t>
      </w:r>
      <w:r w:rsidR="00812774" w:rsidRPr="00812774">
        <w:rPr>
          <w:rFonts w:ascii="Arial" w:hAnsi="Arial" w:cs="Arial"/>
          <w:b/>
          <w:bCs/>
          <w:color w:val="000000" w:themeColor="text1"/>
        </w:rPr>
        <w:t xml:space="preserve">– </w:t>
      </w:r>
      <w:r w:rsidRPr="009B78DA">
        <w:rPr>
          <w:rFonts w:ascii="Arial" w:hAnsi="Arial" w:cs="Arial"/>
          <w:b/>
          <w:bCs/>
          <w:color w:val="000000" w:themeColor="text1"/>
        </w:rPr>
        <w:t>PODMIEJSKA KOLEJ AGLOMERACYJNA</w:t>
      </w:r>
    </w:p>
    <w:tbl>
      <w:tblPr>
        <w:tblStyle w:val="Tabela-Siatka"/>
        <w:tblW w:w="5000" w:type="pct"/>
        <w:tblLook w:val="04A0" w:firstRow="1" w:lastRow="0" w:firstColumn="1" w:lastColumn="0" w:noHBand="0" w:noVBand="1"/>
        <w:tblCaption w:val="Parkingi Park&amp;Ride i Bike&amp;Ride – PODMIEJSKA KOLEJ AGLOMERACYJNA"/>
        <w:tblDescription w:val="Tabela zawiera Linia Kolejowa 106, Linia Kolejowa 91, Linia Kolejowa 71"/>
      </w:tblPr>
      <w:tblGrid>
        <w:gridCol w:w="5128"/>
        <w:gridCol w:w="5130"/>
        <w:gridCol w:w="5130"/>
      </w:tblGrid>
      <w:tr w:rsidR="00701B8D" w:rsidRPr="00812774" w14:paraId="05B77C17" w14:textId="77777777" w:rsidTr="00A93831">
        <w:trPr>
          <w:tblHeader/>
        </w:trPr>
        <w:tc>
          <w:tcPr>
            <w:tcW w:w="1666" w:type="pct"/>
            <w:shd w:val="clear" w:color="auto" w:fill="DEEAF6" w:themeFill="accent1" w:themeFillTint="33"/>
            <w:vAlign w:val="center"/>
          </w:tcPr>
          <w:p w14:paraId="66A7C4D2" w14:textId="1207BB4A" w:rsidR="0028709F" w:rsidRPr="00812774" w:rsidRDefault="0028709F" w:rsidP="00812774">
            <w:pPr>
              <w:pStyle w:val="Akapitzlist"/>
              <w:spacing w:before="60" w:after="60" w:line="276" w:lineRule="auto"/>
              <w:ind w:left="284"/>
              <w:jc w:val="center"/>
              <w:rPr>
                <w:rFonts w:ascii="Arial" w:hAnsi="Arial" w:cs="Arial"/>
                <w:b/>
                <w:bCs/>
                <w:color w:val="000000" w:themeColor="text1"/>
                <w:sz w:val="22"/>
                <w:szCs w:val="22"/>
              </w:rPr>
            </w:pPr>
            <w:r w:rsidRPr="00812774">
              <w:rPr>
                <w:rFonts w:ascii="Arial" w:hAnsi="Arial" w:cs="Arial"/>
                <w:b/>
                <w:bCs/>
                <w:color w:val="000000" w:themeColor="text1"/>
                <w:sz w:val="22"/>
                <w:szCs w:val="22"/>
              </w:rPr>
              <w:t>Linia Kolejowa 106</w:t>
            </w:r>
          </w:p>
        </w:tc>
        <w:tc>
          <w:tcPr>
            <w:tcW w:w="1667" w:type="pct"/>
            <w:shd w:val="clear" w:color="auto" w:fill="DEEAF6" w:themeFill="accent1" w:themeFillTint="33"/>
            <w:vAlign w:val="center"/>
          </w:tcPr>
          <w:p w14:paraId="4D368E25" w14:textId="77777777" w:rsidR="0028709F" w:rsidRPr="00812774" w:rsidRDefault="0028709F" w:rsidP="00812774">
            <w:pPr>
              <w:spacing w:before="60" w:after="60" w:line="276" w:lineRule="auto"/>
              <w:ind w:left="284"/>
              <w:contextualSpacing/>
              <w:jc w:val="center"/>
              <w:rPr>
                <w:rFonts w:ascii="Arial" w:hAnsi="Arial" w:cs="Arial"/>
                <w:b/>
                <w:bCs/>
                <w:color w:val="000000" w:themeColor="text1"/>
                <w:sz w:val="22"/>
                <w:szCs w:val="22"/>
              </w:rPr>
            </w:pPr>
            <w:r w:rsidRPr="00812774">
              <w:rPr>
                <w:rFonts w:ascii="Arial" w:hAnsi="Arial" w:cs="Arial"/>
                <w:b/>
                <w:bCs/>
                <w:color w:val="000000" w:themeColor="text1"/>
                <w:sz w:val="22"/>
                <w:szCs w:val="22"/>
              </w:rPr>
              <w:t>Linia Kolejowa 91</w:t>
            </w:r>
          </w:p>
        </w:tc>
        <w:tc>
          <w:tcPr>
            <w:tcW w:w="1667" w:type="pct"/>
            <w:shd w:val="clear" w:color="auto" w:fill="DEEAF6" w:themeFill="accent1" w:themeFillTint="33"/>
            <w:vAlign w:val="center"/>
          </w:tcPr>
          <w:p w14:paraId="40F803D3" w14:textId="77777777" w:rsidR="0028709F" w:rsidRPr="00812774" w:rsidRDefault="0028709F" w:rsidP="00812774">
            <w:pPr>
              <w:spacing w:before="60" w:after="60" w:line="276" w:lineRule="auto"/>
              <w:ind w:left="284"/>
              <w:contextualSpacing/>
              <w:jc w:val="center"/>
              <w:rPr>
                <w:rFonts w:ascii="Arial" w:hAnsi="Arial" w:cs="Arial"/>
                <w:b/>
                <w:bCs/>
                <w:color w:val="000000" w:themeColor="text1"/>
                <w:sz w:val="22"/>
                <w:szCs w:val="22"/>
              </w:rPr>
            </w:pPr>
            <w:r w:rsidRPr="00812774">
              <w:rPr>
                <w:rFonts w:ascii="Arial" w:hAnsi="Arial" w:cs="Arial"/>
                <w:b/>
                <w:bCs/>
                <w:color w:val="000000" w:themeColor="text1"/>
                <w:sz w:val="22"/>
                <w:szCs w:val="22"/>
              </w:rPr>
              <w:t>Linia Kolejowa 71</w:t>
            </w:r>
          </w:p>
        </w:tc>
      </w:tr>
      <w:tr w:rsidR="00701B8D" w:rsidRPr="00812774" w14:paraId="18110C1C" w14:textId="77777777" w:rsidTr="00A93831">
        <w:tc>
          <w:tcPr>
            <w:tcW w:w="1666" w:type="pct"/>
            <w:vAlign w:val="center"/>
          </w:tcPr>
          <w:p w14:paraId="6B2027F0"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Rzeszów Centrum – (Nowy PO Rzeszów Galeria) bike&amp;ride – stojaki rowerowe na 5 miejsc rowerowych.</w:t>
            </w:r>
          </w:p>
          <w:p w14:paraId="4BA91B1F"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Rzeszów Staroniwa – (ST Rzeszów Staroniwa) bike&amp;ride – stojaki rowerowe na 5 miejsc rowerowych.</w:t>
            </w:r>
          </w:p>
          <w:p w14:paraId="318254B2"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Rzeszów Politechnika – (PO Rzeszów Os. Dąbrowskiego) - bike&amp;ride – stojaki rowerowe na 5 miejsc rowerowych.</w:t>
            </w:r>
          </w:p>
          <w:p w14:paraId="6FF801BC"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Rzeszów Osiedle – (PO Rzeszów Politechnika (Osiedle)) - bike&amp;ride – stojaki rowerowe na 5 miejsc rowerowych.</w:t>
            </w:r>
          </w:p>
          <w:p w14:paraId="186777AB"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Rzeszów Zwięczyca – (PO Rzeszów Zwięczyca) park&amp;ride - budowa parkingu na 20 miejsc postojowych, bike&amp;ride – stojaki rowerowe na 5 miejsc postojowych.</w:t>
            </w:r>
          </w:p>
          <w:p w14:paraId="5466A407" w14:textId="4C657F8B"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 xml:space="preserve">Boguchwała (stacja) - (ST Boguchwała) park&amp;ride - budowa parkingu na 12 miejsc postojowych, bike&amp;ride – stojaki rowerowe </w:t>
            </w:r>
            <w:r w:rsidR="00A93831">
              <w:rPr>
                <w:rFonts w:ascii="Arial" w:hAnsi="Arial" w:cs="Arial"/>
                <w:color w:val="000000" w:themeColor="text1"/>
                <w:sz w:val="22"/>
                <w:szCs w:val="22"/>
              </w:rPr>
              <w:br/>
            </w:r>
            <w:r w:rsidRPr="00812774">
              <w:rPr>
                <w:rFonts w:ascii="Arial" w:hAnsi="Arial" w:cs="Arial"/>
                <w:color w:val="000000" w:themeColor="text1"/>
                <w:sz w:val="22"/>
                <w:szCs w:val="22"/>
              </w:rPr>
              <w:t>z zadaszeniem na 10 miejsc postojowych.</w:t>
            </w:r>
          </w:p>
          <w:p w14:paraId="00AF7045" w14:textId="19B8E602"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 xml:space="preserve">Lutoryż - (PO Lutoryż) park&amp;ride - budowa parkingu na 30 miejsc postojowych, bike&amp;ride – stojaki rowerowe z zadaszeniem na </w:t>
            </w:r>
            <w:r w:rsidR="00A93831">
              <w:rPr>
                <w:rFonts w:ascii="Arial" w:hAnsi="Arial" w:cs="Arial"/>
                <w:color w:val="000000" w:themeColor="text1"/>
                <w:sz w:val="22"/>
                <w:szCs w:val="22"/>
              </w:rPr>
              <w:t>20 miejsc postojowych.</w:t>
            </w:r>
          </w:p>
          <w:p w14:paraId="6572C4BB"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Wisłoczanka - (PO Wisłoczanka) park&amp;ride - budowa parkingu na 10 miejsc postojowych.</w:t>
            </w:r>
          </w:p>
          <w:p w14:paraId="7EF22694"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Czudec - (ST Czudec) park&amp;ride - budowa parkingu na 27 miejsc postojowych.</w:t>
            </w:r>
          </w:p>
          <w:p w14:paraId="2ABEEF9B"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Zaborów Błonie - (PO Zaborów 2 ) park&amp;ride - budowa parkingu na 20 miejsc postojowych.</w:t>
            </w:r>
          </w:p>
          <w:p w14:paraId="79FAE040"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Zaborów – (PO Glinik Charzewski (Zaborów)) - bike&amp;ride – stojaki rowerowe na 5 miejsc rowerowych.</w:t>
            </w:r>
          </w:p>
          <w:p w14:paraId="2879FA60"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Żarnowa – (PO Żarnowa) - bike&amp;ride – stojaki rowerowe na 5 miejsc rowerowych.</w:t>
            </w:r>
          </w:p>
          <w:p w14:paraId="59945C6E" w14:textId="580E0F4B"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 xml:space="preserve">Strzyżów nad Wisłokiem - (ST Strzyżów) park&amp;ride – budowa dwóch parkingów na 84 </w:t>
            </w:r>
            <w:r w:rsidR="00A93831">
              <w:rPr>
                <w:rFonts w:ascii="Arial" w:hAnsi="Arial" w:cs="Arial"/>
                <w:color w:val="000000" w:themeColor="text1"/>
                <w:sz w:val="22"/>
                <w:szCs w:val="22"/>
              </w:rPr>
              <w:br/>
            </w:r>
            <w:r w:rsidRPr="00812774">
              <w:rPr>
                <w:rFonts w:ascii="Arial" w:hAnsi="Arial" w:cs="Arial"/>
                <w:color w:val="000000" w:themeColor="text1"/>
                <w:sz w:val="22"/>
                <w:szCs w:val="22"/>
              </w:rPr>
              <w:t>i 55 miejsc postojowych, bike&amp;ride – stojaki rowerowe na 5 miejsc postojowych.</w:t>
            </w:r>
          </w:p>
        </w:tc>
        <w:tc>
          <w:tcPr>
            <w:tcW w:w="1667" w:type="pct"/>
            <w:vAlign w:val="center"/>
          </w:tcPr>
          <w:p w14:paraId="2BAABC8E" w14:textId="5EBC6053" w:rsidR="0028709F" w:rsidRPr="00812774" w:rsidRDefault="007D55F9" w:rsidP="00812774">
            <w:pPr>
              <w:numPr>
                <w:ilvl w:val="0"/>
                <w:numId w:val="301"/>
              </w:numPr>
              <w:spacing w:line="276" w:lineRule="auto"/>
              <w:ind w:left="284" w:hanging="284"/>
              <w:contextualSpacing/>
              <w:rPr>
                <w:rFonts w:ascii="Arial" w:hAnsi="Arial" w:cs="Arial"/>
                <w:color w:val="000000" w:themeColor="text1"/>
                <w:sz w:val="22"/>
                <w:szCs w:val="22"/>
              </w:rPr>
            </w:pPr>
            <w:r>
              <w:rPr>
                <w:rFonts w:ascii="Arial" w:hAnsi="Arial" w:cs="Arial"/>
                <w:color w:val="000000" w:themeColor="text1"/>
                <w:sz w:val="22"/>
                <w:szCs w:val="22"/>
              </w:rPr>
              <w:t xml:space="preserve">Dębica - </w:t>
            </w:r>
            <w:r w:rsidR="0028709F" w:rsidRPr="00812774">
              <w:rPr>
                <w:rFonts w:ascii="Arial" w:hAnsi="Arial" w:cs="Arial"/>
                <w:color w:val="000000" w:themeColor="text1"/>
                <w:sz w:val="22"/>
                <w:szCs w:val="22"/>
              </w:rPr>
              <w:t>(ST Dębica) park&amp;ride - budowa parkingu na 130 miejsc postojowych (w tym 4 miejsca dla autobusów osobowych), bike&amp;ride - stojaki rowerowe na 46 miejsc na zapięcia na rowery.</w:t>
            </w:r>
          </w:p>
          <w:p w14:paraId="50107032" w14:textId="2F2EFFDE"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Dębica Wschodnia - (</w:t>
            </w:r>
            <w:r w:rsidR="00A93831">
              <w:rPr>
                <w:rFonts w:ascii="Arial" w:hAnsi="Arial" w:cs="Arial"/>
                <w:color w:val="000000" w:themeColor="text1"/>
                <w:sz w:val="22"/>
                <w:szCs w:val="22"/>
              </w:rPr>
              <w:t xml:space="preserve">PO Dębica Wschodnia) park&amp;ride </w:t>
            </w:r>
            <w:r w:rsidRPr="00812774">
              <w:rPr>
                <w:rFonts w:ascii="Arial" w:hAnsi="Arial" w:cs="Arial"/>
                <w:color w:val="000000" w:themeColor="text1"/>
                <w:sz w:val="22"/>
                <w:szCs w:val="22"/>
              </w:rPr>
              <w:t>– rozbudowa p</w:t>
            </w:r>
            <w:r w:rsidR="007D55F9">
              <w:rPr>
                <w:rFonts w:ascii="Arial" w:hAnsi="Arial" w:cs="Arial"/>
                <w:color w:val="000000" w:themeColor="text1"/>
                <w:sz w:val="22"/>
                <w:szCs w:val="22"/>
              </w:rPr>
              <w:t>arkingu o 5 miejsc postojowych.</w:t>
            </w:r>
          </w:p>
          <w:p w14:paraId="21AD1B7D"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Sędziszów Małopolski – (ST Sędziszów Młp.) park&amp;ride - budowa parkingu na 108 miejsc postojowych.</w:t>
            </w:r>
          </w:p>
          <w:p w14:paraId="09043E6A"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Sędziszów Małopolski Wschód - (PO Sędziszów Małopolski Wsch.) park&amp;ride - budowa parkingu na 44 miejsca postojowe, bike&amp;ride - stojaki rowerowe na 10 miejsc postojowych.</w:t>
            </w:r>
          </w:p>
          <w:p w14:paraId="02DB1E3C"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Trzciana - (ST Trzciana) park&amp;ride - budowa dwóch parkingów na 10 i 25 miejsc postojowych, bike&amp;ride – dwa stojaki rowerowe z zadaszeniem na 10 miejsc postojowych.</w:t>
            </w:r>
          </w:p>
          <w:p w14:paraId="2B23A057"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Świlcza - (PO Świlcza) park&amp;ride - budowa parkingu na 20 miejsc postojowych, bike&amp;ride – stojaki rowerowe na 10 miejsc postojowych.</w:t>
            </w:r>
          </w:p>
          <w:p w14:paraId="10CAFA75"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Rudna Wielka - (PO Rudna Wielka) park&amp;ride - budowa parkingu na 13 miejsc postojowych, bike&amp;ride – stojaki rowerowe z zadaszeniem na 10 miejsc postojowych.</w:t>
            </w:r>
          </w:p>
          <w:p w14:paraId="55F7249B"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Rzeszów Dworzysko - (PO Rzeszów Dworzysko) park&amp;ride - budowa parkingu na 10 miejsc postojowych, bike&amp;ride – stojaki rowerowe z zadaszeniem na 10 miejsc postojowych.</w:t>
            </w:r>
          </w:p>
          <w:p w14:paraId="054440CE" w14:textId="3CCCEEDA"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Rzeszów Baranówka – (PO Rzeszów Płn.) bike&amp;ride – stojaki row</w:t>
            </w:r>
            <w:r w:rsidR="00A93831">
              <w:rPr>
                <w:rFonts w:ascii="Arial" w:hAnsi="Arial" w:cs="Arial"/>
                <w:color w:val="000000" w:themeColor="text1"/>
                <w:sz w:val="22"/>
                <w:szCs w:val="22"/>
              </w:rPr>
              <w:t>erowe na 10 miejsc postojowych.</w:t>
            </w:r>
          </w:p>
          <w:p w14:paraId="2676C0EE"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Rzeszów Pobitno - (PO Rzeszów Wschodni) bike&amp;ride – stojaki rowerowe na 10 miejsc postojowych.</w:t>
            </w:r>
          </w:p>
          <w:p w14:paraId="34D436BD"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Rzeszów Załęże - (PO Rzeszów Załęże) park&amp;ride - budowa parkingu na 20 miejsc postojowych.</w:t>
            </w:r>
          </w:p>
          <w:p w14:paraId="4C44C70D"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 xml:space="preserve">Krzemienica - (PO Krzemienica) park&amp;ride - budowa parkingu na 20 miejsc postojowych, bike&amp;ride – stojaki rowerowe z zadaszeniem na 10 miejsc rowerowych. </w:t>
            </w:r>
          </w:p>
          <w:p w14:paraId="05952820"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Łańcut – (ST Łańcut) bike&amp;ride – stojaki rowerowe na 5 miejsc postojowych.</w:t>
            </w:r>
          </w:p>
          <w:p w14:paraId="46310467"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Kosina - (PO Kosina) bike&amp;ride – stojaki rowerowe na 5 miejsc postojowych.</w:t>
            </w:r>
          </w:p>
          <w:p w14:paraId="6182C6C5" w14:textId="51CB7219"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Rogóżno k/Łańcuta – (ST Rogóżno k/Łańcuta) bike&amp;ride – stojaki ro</w:t>
            </w:r>
            <w:r w:rsidR="00A93831">
              <w:rPr>
                <w:rFonts w:ascii="Arial" w:hAnsi="Arial" w:cs="Arial"/>
                <w:color w:val="000000" w:themeColor="text1"/>
                <w:sz w:val="22"/>
                <w:szCs w:val="22"/>
              </w:rPr>
              <w:t>werowe na 5 miejsc postojowych.</w:t>
            </w:r>
          </w:p>
          <w:p w14:paraId="1E6167D0" w14:textId="38CA8759"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Przeworsk - (ST Przeworsk) park&amp;ride - budowa parkingu na 30 miejsc postojowych.</w:t>
            </w:r>
          </w:p>
        </w:tc>
        <w:tc>
          <w:tcPr>
            <w:tcW w:w="1667" w:type="pct"/>
            <w:vAlign w:val="center"/>
          </w:tcPr>
          <w:p w14:paraId="19D847A5" w14:textId="77777777" w:rsidR="0028709F" w:rsidRPr="00812774" w:rsidRDefault="0028709F" w:rsidP="00812774">
            <w:pPr>
              <w:numPr>
                <w:ilvl w:val="0"/>
                <w:numId w:val="301"/>
              </w:numPr>
              <w:spacing w:line="276" w:lineRule="auto"/>
              <w:ind w:left="284" w:hanging="284"/>
              <w:rPr>
                <w:rFonts w:ascii="Arial" w:hAnsi="Arial" w:cs="Arial"/>
                <w:color w:val="000000" w:themeColor="text1"/>
                <w:sz w:val="22"/>
                <w:szCs w:val="22"/>
              </w:rPr>
            </w:pPr>
            <w:r w:rsidRPr="00812774">
              <w:rPr>
                <w:rFonts w:ascii="Arial" w:hAnsi="Arial" w:cs="Arial"/>
                <w:color w:val="000000" w:themeColor="text1"/>
                <w:sz w:val="22"/>
                <w:szCs w:val="22"/>
              </w:rPr>
              <w:t>Rzeszów Staromieście (PO Rzeszów Płn.) bike&amp;ride – stojaki rowerowe na 10  miejsc postojowych.</w:t>
            </w:r>
          </w:p>
          <w:p w14:paraId="19413772" w14:textId="14F90E86"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Rzeszów Miłocin – (PO Miłocin) bike&amp;ride – stojaki row</w:t>
            </w:r>
            <w:r w:rsidR="00A93831">
              <w:rPr>
                <w:rFonts w:ascii="Arial" w:hAnsi="Arial" w:cs="Arial"/>
                <w:color w:val="000000" w:themeColor="text1"/>
                <w:sz w:val="22"/>
                <w:szCs w:val="22"/>
              </w:rPr>
              <w:t>erowe na 10 miejsc postojowych.</w:t>
            </w:r>
          </w:p>
          <w:p w14:paraId="75F8D439" w14:textId="1CF7D16C"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Zaczernie - (PO Zaczernie) park&amp;ride - budowa pa</w:t>
            </w:r>
            <w:r w:rsidR="00A93831">
              <w:rPr>
                <w:rFonts w:ascii="Arial" w:hAnsi="Arial" w:cs="Arial"/>
                <w:color w:val="000000" w:themeColor="text1"/>
                <w:sz w:val="22"/>
                <w:szCs w:val="22"/>
              </w:rPr>
              <w:t>rkingu na 7 miejsc postojowych.</w:t>
            </w:r>
          </w:p>
          <w:p w14:paraId="65F2774E" w14:textId="77777777"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Rogoźnica - (PO Rogoźnica k/Rzeszowa) park&amp;ride - budowa parkingu na 50 miejsc postojowych, bike&amp;ride – stojaki rowerowe z zadaszeniem na 5 miejsc rowerowych.</w:t>
            </w:r>
          </w:p>
          <w:p w14:paraId="21D7DB0E" w14:textId="64683E78"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Głogów Małopolski Niwa - (PO Głogów Młp. Osiedle Niwa) park&amp;ride - budowa parkingu na 50 miejsc postojowych, bike&amp;ride – stojaki rowerowe z zada</w:t>
            </w:r>
            <w:r w:rsidR="00A93831">
              <w:rPr>
                <w:rFonts w:ascii="Arial" w:hAnsi="Arial" w:cs="Arial"/>
                <w:color w:val="000000" w:themeColor="text1"/>
                <w:sz w:val="22"/>
                <w:szCs w:val="22"/>
              </w:rPr>
              <w:t>szeniem na 5 miejsc rowerowych.</w:t>
            </w:r>
          </w:p>
          <w:p w14:paraId="70FB7B41" w14:textId="608BBE6D"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Głogów Małopolski – (ST Głogów Małopolski)</w:t>
            </w:r>
            <w:r w:rsidR="00A93831">
              <w:rPr>
                <w:rFonts w:ascii="Arial" w:hAnsi="Arial" w:cs="Arial"/>
                <w:color w:val="000000" w:themeColor="text1"/>
                <w:sz w:val="22"/>
                <w:szCs w:val="22"/>
              </w:rPr>
              <w:t xml:space="preserve"> bike&amp;ride – stojaki rowerowe z </w:t>
            </w:r>
            <w:r w:rsidRPr="00812774">
              <w:rPr>
                <w:rFonts w:ascii="Arial" w:hAnsi="Arial" w:cs="Arial"/>
                <w:color w:val="000000" w:themeColor="text1"/>
                <w:sz w:val="22"/>
                <w:szCs w:val="22"/>
              </w:rPr>
              <w:t>zadas</w:t>
            </w:r>
            <w:r w:rsidR="00A93831">
              <w:rPr>
                <w:rFonts w:ascii="Arial" w:hAnsi="Arial" w:cs="Arial"/>
                <w:color w:val="000000" w:themeColor="text1"/>
                <w:sz w:val="22"/>
                <w:szCs w:val="22"/>
              </w:rPr>
              <w:t>zeniem na 5 miejsc rowerowych.</w:t>
            </w:r>
          </w:p>
          <w:p w14:paraId="7AB45E47" w14:textId="69DE0FBF"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 xml:space="preserve">Budy Głogowskie - (PO Budy Głogowskie) park&amp;ride - budowa parkingu na 20 miejsc postojowych, bike&amp;ride – stojaki rowerowe </w:t>
            </w:r>
            <w:r w:rsidR="00A93831">
              <w:rPr>
                <w:rFonts w:ascii="Arial" w:hAnsi="Arial" w:cs="Arial"/>
                <w:color w:val="000000" w:themeColor="text1"/>
                <w:sz w:val="22"/>
                <w:szCs w:val="22"/>
              </w:rPr>
              <w:br/>
            </w:r>
            <w:r w:rsidRPr="00812774">
              <w:rPr>
                <w:rFonts w:ascii="Arial" w:hAnsi="Arial" w:cs="Arial"/>
                <w:color w:val="000000" w:themeColor="text1"/>
                <w:sz w:val="22"/>
                <w:szCs w:val="22"/>
              </w:rPr>
              <w:t>z zadaszeniem na 5 miejsc rowerowych.</w:t>
            </w:r>
          </w:p>
          <w:p w14:paraId="7491B8C2" w14:textId="63133888"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Widełka - (PO Widelka) park&amp;ride - budowa zatoki posto</w:t>
            </w:r>
            <w:r w:rsidR="00A93831">
              <w:rPr>
                <w:rFonts w:ascii="Arial" w:hAnsi="Arial" w:cs="Arial"/>
                <w:color w:val="000000" w:themeColor="text1"/>
                <w:sz w:val="22"/>
                <w:szCs w:val="22"/>
              </w:rPr>
              <w:t>jowej na 10 miejsc postojowych.</w:t>
            </w:r>
          </w:p>
          <w:p w14:paraId="1569EB22" w14:textId="383FCA36"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 xml:space="preserve">Kolbuszowa Górna - (PO Kolbuszowa Górna) park&amp;ride - budowa parkingu na 20 miejsc postojowych, bike&amp;ride – stojaki rowerowe </w:t>
            </w:r>
            <w:r w:rsidR="00A93831">
              <w:rPr>
                <w:rFonts w:ascii="Arial" w:hAnsi="Arial" w:cs="Arial"/>
                <w:color w:val="000000" w:themeColor="text1"/>
                <w:sz w:val="22"/>
                <w:szCs w:val="22"/>
              </w:rPr>
              <w:br/>
            </w:r>
            <w:r w:rsidRPr="00812774">
              <w:rPr>
                <w:rFonts w:ascii="Arial" w:hAnsi="Arial" w:cs="Arial"/>
                <w:color w:val="000000" w:themeColor="text1"/>
                <w:sz w:val="22"/>
                <w:szCs w:val="22"/>
              </w:rPr>
              <w:t xml:space="preserve">z zadaszeniem na 10 miejsc rowerowych. </w:t>
            </w:r>
          </w:p>
          <w:p w14:paraId="6BBBA0B4" w14:textId="4A94D462" w:rsidR="0028709F" w:rsidRPr="00812774" w:rsidRDefault="0028709F" w:rsidP="00812774">
            <w:pPr>
              <w:numPr>
                <w:ilvl w:val="0"/>
                <w:numId w:val="301"/>
              </w:numPr>
              <w:spacing w:line="276" w:lineRule="auto"/>
              <w:ind w:left="284" w:hanging="284"/>
              <w:contextualSpacing/>
              <w:rPr>
                <w:rFonts w:ascii="Arial" w:hAnsi="Arial" w:cs="Arial"/>
                <w:color w:val="000000" w:themeColor="text1"/>
                <w:sz w:val="22"/>
                <w:szCs w:val="22"/>
              </w:rPr>
            </w:pPr>
            <w:r w:rsidRPr="00812774">
              <w:rPr>
                <w:rFonts w:ascii="Arial" w:hAnsi="Arial" w:cs="Arial"/>
                <w:color w:val="000000" w:themeColor="text1"/>
                <w:sz w:val="22"/>
                <w:szCs w:val="22"/>
              </w:rPr>
              <w:t xml:space="preserve">Kolbuszowa - (ST Kolbuszowa) </w:t>
            </w:r>
            <w:bookmarkStart w:id="465" w:name="_Hlk129694200"/>
            <w:r w:rsidRPr="00812774">
              <w:rPr>
                <w:rFonts w:ascii="Arial" w:hAnsi="Arial" w:cs="Arial"/>
                <w:color w:val="000000" w:themeColor="text1"/>
                <w:sz w:val="22"/>
                <w:szCs w:val="22"/>
              </w:rPr>
              <w:t xml:space="preserve">park&amp;ride </w:t>
            </w:r>
            <w:bookmarkEnd w:id="465"/>
            <w:r w:rsidRPr="00812774">
              <w:rPr>
                <w:rFonts w:ascii="Arial" w:hAnsi="Arial" w:cs="Arial"/>
                <w:color w:val="000000" w:themeColor="text1"/>
                <w:sz w:val="22"/>
                <w:szCs w:val="22"/>
              </w:rPr>
              <w:t xml:space="preserve">– ST Kolbuszowa - budowa parkingu na 60 miejsc postojowych, bike&amp;ride – montaż wiaty </w:t>
            </w:r>
            <w:r w:rsidR="00A93831">
              <w:rPr>
                <w:rFonts w:ascii="Arial" w:hAnsi="Arial" w:cs="Arial"/>
                <w:color w:val="000000" w:themeColor="text1"/>
                <w:sz w:val="22"/>
                <w:szCs w:val="22"/>
              </w:rPr>
              <w:br/>
            </w:r>
            <w:r w:rsidRPr="00812774">
              <w:rPr>
                <w:rFonts w:ascii="Arial" w:hAnsi="Arial" w:cs="Arial"/>
                <w:color w:val="000000" w:themeColor="text1"/>
                <w:sz w:val="22"/>
                <w:szCs w:val="22"/>
              </w:rPr>
              <w:t xml:space="preserve">i stojaka na 10 rowerów, park&amp;ride - ul. Ruczki - budowa parkingu na 27 miejsc postojowych dla samochodów osobowych i 4 miejsca postojowe dla autobusów, park&amp;ride - </w:t>
            </w:r>
            <w:r w:rsidR="00A93831">
              <w:rPr>
                <w:rFonts w:ascii="Arial" w:hAnsi="Arial" w:cs="Arial"/>
                <w:color w:val="000000" w:themeColor="text1"/>
                <w:sz w:val="22"/>
                <w:szCs w:val="22"/>
              </w:rPr>
              <w:br/>
            </w:r>
            <w:r w:rsidRPr="00812774">
              <w:rPr>
                <w:rFonts w:ascii="Arial" w:hAnsi="Arial" w:cs="Arial"/>
                <w:color w:val="000000" w:themeColor="text1"/>
                <w:sz w:val="22"/>
                <w:szCs w:val="22"/>
              </w:rPr>
              <w:t xml:space="preserve">ul. Fabryczna - budowa parkingu na 17 miejsc postojowych dla samochodów osobowych </w:t>
            </w:r>
            <w:r w:rsidR="00A93831">
              <w:rPr>
                <w:rFonts w:ascii="Arial" w:hAnsi="Arial" w:cs="Arial"/>
                <w:color w:val="000000" w:themeColor="text1"/>
                <w:sz w:val="22"/>
                <w:szCs w:val="22"/>
              </w:rPr>
              <w:br/>
            </w:r>
            <w:r w:rsidRPr="00812774">
              <w:rPr>
                <w:rFonts w:ascii="Arial" w:hAnsi="Arial" w:cs="Arial"/>
                <w:color w:val="000000" w:themeColor="text1"/>
                <w:sz w:val="22"/>
                <w:szCs w:val="22"/>
              </w:rPr>
              <w:t>w tym 2 miejsca postojowe dla osób niepełnosprawnych, bike&amp;ride – montaż wiaty i stojaka na 10 rowerów.</w:t>
            </w:r>
          </w:p>
        </w:tc>
      </w:tr>
    </w:tbl>
    <w:p w14:paraId="27818FDA" w14:textId="21F9E14F" w:rsidR="0028709F" w:rsidRPr="00812774" w:rsidRDefault="0028709F" w:rsidP="00812774">
      <w:pPr>
        <w:spacing w:before="120" w:after="120" w:line="276" w:lineRule="auto"/>
        <w:rPr>
          <w:rFonts w:ascii="Arial" w:hAnsi="Arial" w:cs="Arial"/>
          <w:color w:val="000000" w:themeColor="text1"/>
          <w:sz w:val="22"/>
          <w:szCs w:val="22"/>
        </w:rPr>
      </w:pPr>
      <w:r w:rsidRPr="009B78DA">
        <w:rPr>
          <w:rFonts w:ascii="Arial" w:hAnsi="Arial" w:cs="Arial"/>
          <w:color w:val="000000" w:themeColor="text1"/>
          <w:sz w:val="22"/>
          <w:szCs w:val="22"/>
        </w:rPr>
        <w:t>Źródło: Opracowanie własne.</w:t>
      </w:r>
    </w:p>
    <w:p w14:paraId="3E1C145A" w14:textId="77777777" w:rsidR="0028709F" w:rsidRPr="009B78DA" w:rsidRDefault="0028709F" w:rsidP="00EF7F20">
      <w:pPr>
        <w:rPr>
          <w:rFonts w:ascii="Arial" w:hAnsi="Arial" w:cs="Arial"/>
          <w:b/>
          <w:bCs/>
          <w:color w:val="000000" w:themeColor="text1"/>
          <w:sz w:val="22"/>
          <w:szCs w:val="22"/>
        </w:rPr>
        <w:sectPr w:rsidR="0028709F" w:rsidRPr="009B78DA" w:rsidSect="00A93831">
          <w:pgSz w:w="16838" w:h="11906" w:orient="landscape"/>
          <w:pgMar w:top="720" w:right="720" w:bottom="720" w:left="720" w:header="708" w:footer="708" w:gutter="0"/>
          <w:cols w:space="708"/>
          <w:docGrid w:linePitch="360"/>
        </w:sectPr>
      </w:pPr>
    </w:p>
    <w:p w14:paraId="21EBBD7D" w14:textId="3C775199" w:rsidR="00A606BC" w:rsidRPr="009B78DA" w:rsidRDefault="00A606BC" w:rsidP="00A606BC">
      <w:pPr>
        <w:pStyle w:val="Legenda"/>
        <w:keepNext/>
        <w:spacing w:after="0" w:line="276" w:lineRule="auto"/>
        <w:rPr>
          <w:rFonts w:ascii="Arial" w:hAnsi="Arial" w:cs="Arial"/>
          <w:i w:val="0"/>
          <w:color w:val="000000" w:themeColor="text1"/>
          <w:sz w:val="22"/>
          <w:szCs w:val="22"/>
        </w:rPr>
      </w:pPr>
      <w:bookmarkStart w:id="466" w:name="_Toc146785707"/>
      <w:r w:rsidRPr="009B78DA">
        <w:rPr>
          <w:rFonts w:ascii="Arial" w:hAnsi="Arial" w:cs="Arial"/>
          <w:b/>
          <w:i w:val="0"/>
          <w:color w:val="000000" w:themeColor="text1"/>
          <w:sz w:val="22"/>
          <w:szCs w:val="22"/>
        </w:rPr>
        <w:t xml:space="preserve">Rysunek </w:t>
      </w:r>
      <w:r w:rsidRPr="009B78DA">
        <w:rPr>
          <w:rFonts w:ascii="Arial" w:hAnsi="Arial" w:cs="Arial"/>
          <w:b/>
          <w:i w:val="0"/>
          <w:color w:val="000000" w:themeColor="text1"/>
          <w:sz w:val="22"/>
          <w:szCs w:val="22"/>
        </w:rPr>
        <w:fldChar w:fldCharType="begin"/>
      </w:r>
      <w:r w:rsidRPr="009B78DA">
        <w:rPr>
          <w:rFonts w:ascii="Arial" w:hAnsi="Arial" w:cs="Arial"/>
          <w:b/>
          <w:i w:val="0"/>
          <w:color w:val="000000" w:themeColor="text1"/>
          <w:sz w:val="22"/>
          <w:szCs w:val="22"/>
        </w:rPr>
        <w:instrText xml:space="preserve"> SEQ Rysunek_ \* ARABIC </w:instrText>
      </w:r>
      <w:r w:rsidRPr="009B78DA">
        <w:rPr>
          <w:rFonts w:ascii="Arial" w:hAnsi="Arial" w:cs="Arial"/>
          <w:b/>
          <w:i w:val="0"/>
          <w:color w:val="000000" w:themeColor="text1"/>
          <w:sz w:val="22"/>
          <w:szCs w:val="22"/>
        </w:rPr>
        <w:fldChar w:fldCharType="separate"/>
      </w:r>
      <w:r w:rsidR="007403DE">
        <w:rPr>
          <w:rFonts w:ascii="Arial" w:hAnsi="Arial" w:cs="Arial"/>
          <w:b/>
          <w:i w:val="0"/>
          <w:noProof/>
          <w:color w:val="000000" w:themeColor="text1"/>
          <w:sz w:val="22"/>
          <w:szCs w:val="22"/>
        </w:rPr>
        <w:t>78</w:t>
      </w:r>
      <w:r w:rsidRPr="009B78DA">
        <w:rPr>
          <w:rFonts w:ascii="Arial" w:hAnsi="Arial" w:cs="Arial"/>
          <w:b/>
          <w:i w:val="0"/>
          <w:color w:val="000000" w:themeColor="text1"/>
          <w:sz w:val="22"/>
          <w:szCs w:val="22"/>
        </w:rPr>
        <w:fldChar w:fldCharType="end"/>
      </w:r>
      <w:r w:rsidRPr="009B78DA">
        <w:rPr>
          <w:rFonts w:ascii="Arial" w:hAnsi="Arial" w:cs="Arial"/>
          <w:i w:val="0"/>
          <w:color w:val="000000" w:themeColor="text1"/>
          <w:sz w:val="22"/>
          <w:szCs w:val="22"/>
        </w:rPr>
        <w:t xml:space="preserve"> Terminale intermodalne, punkty przeładunkowe oraz strefy inwestycyjne w województwie podkarpackim</w:t>
      </w:r>
      <w:bookmarkEnd w:id="466"/>
    </w:p>
    <w:p w14:paraId="6C3BF9F7" w14:textId="0514456A" w:rsidR="00A424A1" w:rsidRPr="009B78DA" w:rsidRDefault="00A424A1" w:rsidP="00A424A1">
      <w:pPr>
        <w:rPr>
          <w:color w:val="000000" w:themeColor="text1"/>
        </w:rPr>
      </w:pPr>
      <w:r w:rsidRPr="009B78DA">
        <w:rPr>
          <w:rFonts w:ascii="Arial" w:hAnsi="Arial" w:cs="Arial"/>
          <w:noProof/>
          <w:color w:val="000000" w:themeColor="text1"/>
        </w:rPr>
        <w:drawing>
          <wp:inline distT="0" distB="0" distL="0" distR="0" wp14:anchorId="75B79C1E" wp14:editId="7542A7A4">
            <wp:extent cx="5629275" cy="8043318"/>
            <wp:effectExtent l="0" t="0" r="0" b="0"/>
            <wp:docPr id="1160695653" name="Obraz 7" descr="Województwo podkarpackie w tym największe miasta powiatowe. Zaznaczono autostradę A4 z węzłami, drogę ekspresową S19 z węzłami, planowana droga ekspresową, drogę krajowa, wojewódzka, linie kolejowa zelektryfikowaną i nie zelektryfikowana. Zaznaczono linie kolejową szerokotorową zelektryfikowana i niezelektryfikowaną, obszar koncentracji inwestycji, istniejący terminal intermodalny, planowany terminal intermodalny, istniejący punkt przeładunkowy, planowany punkt przeładunkowy. Zaznaczono kolejowe przejścia graniczne, drogowe przejścia graniczne, przejścia graniczne drogowe w realizacji (potencjalne kolejowe)" title="Rysunek 78 Terminale intermodalne, punkty przeładunkowe oraz strefy inwestycyjne w województwie podkarpac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695653" name="Obraz 7" descr="Obraz zawierający tekst, mapa, atlas, diagram&#10;&#10;Opis wygenerowany automatycznie"/>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631963" cy="8047159"/>
                    </a:xfrm>
                    <a:prstGeom prst="rect">
                      <a:avLst/>
                    </a:prstGeom>
                  </pic:spPr>
                </pic:pic>
              </a:graphicData>
            </a:graphic>
          </wp:inline>
        </w:drawing>
      </w:r>
    </w:p>
    <w:p w14:paraId="2B4A4A29" w14:textId="3CAD79C4" w:rsidR="0028709F" w:rsidRPr="009B78DA" w:rsidRDefault="00A424A1" w:rsidP="00EF7F20">
      <w:pPr>
        <w:rPr>
          <w:color w:val="000000" w:themeColor="text1"/>
        </w:rPr>
      </w:pPr>
      <w:r w:rsidRPr="009B78DA">
        <w:rPr>
          <w:rFonts w:ascii="Arial" w:hAnsi="Arial" w:cs="Arial"/>
          <w:bCs/>
          <w:color w:val="000000" w:themeColor="text1"/>
          <w:sz w:val="22"/>
          <w:szCs w:val="22"/>
        </w:rPr>
        <w:t>Źródło: Opracowanie własne.</w:t>
      </w:r>
    </w:p>
    <w:p w14:paraId="17A7E671" w14:textId="77777777" w:rsidR="00D642D8" w:rsidRPr="009B78DA" w:rsidRDefault="00D642D8" w:rsidP="00466CF0">
      <w:pPr>
        <w:rPr>
          <w:rFonts w:ascii="Arial" w:hAnsi="Arial" w:cs="Arial"/>
          <w:b/>
          <w:color w:val="000000" w:themeColor="text1"/>
          <w:sz w:val="26"/>
          <w:szCs w:val="26"/>
        </w:rPr>
      </w:pPr>
      <w:bookmarkStart w:id="467" w:name="_Toc100335092"/>
      <w:r w:rsidRPr="009B78DA">
        <w:rPr>
          <w:rFonts w:ascii="Arial" w:hAnsi="Arial" w:cs="Arial"/>
          <w:b/>
          <w:color w:val="000000" w:themeColor="text1"/>
          <w:sz w:val="26"/>
          <w:szCs w:val="26"/>
        </w:rPr>
        <w:t>Objaśnienia metodologiczne</w:t>
      </w:r>
      <w:bookmarkEnd w:id="467"/>
    </w:p>
    <w:p w14:paraId="1F403579" w14:textId="11CD877A" w:rsidR="00D642D8" w:rsidRPr="009B78DA" w:rsidRDefault="00D642D8" w:rsidP="00466CF0">
      <w:pPr>
        <w:pStyle w:val="Akapitzlist"/>
        <w:numPr>
          <w:ilvl w:val="0"/>
          <w:numId w:val="219"/>
        </w:numPr>
        <w:spacing w:after="0"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Tabela 27,</w:t>
      </w:r>
      <w:r w:rsidRPr="009B78DA">
        <w:rPr>
          <w:color w:val="000000" w:themeColor="text1"/>
        </w:rPr>
        <w:t xml:space="preserve"> </w:t>
      </w:r>
      <w:r w:rsidRPr="009B78DA">
        <w:rPr>
          <w:rFonts w:ascii="Arial" w:hAnsi="Arial" w:cs="Arial"/>
          <w:i/>
          <w:color w:val="000000" w:themeColor="text1"/>
          <w:sz w:val="22"/>
          <w:szCs w:val="22"/>
        </w:rPr>
        <w:t>Szacunkowa ilość krajowych środków publicznych przeznaczonych na wydatki  w sferze transportu umożliwiających finansowanie przedsięwzięć drogowych założonych w ramach PSRT WP</w:t>
      </w:r>
      <w:r w:rsidRPr="009B78DA">
        <w:rPr>
          <w:rFonts w:ascii="Arial" w:hAnsi="Arial" w:cs="Arial"/>
          <w:color w:val="000000" w:themeColor="text1"/>
          <w:sz w:val="22"/>
          <w:szCs w:val="22"/>
        </w:rPr>
        <w:t>:</w:t>
      </w:r>
    </w:p>
    <w:p w14:paraId="454561CF" w14:textId="12830EEF" w:rsidR="00EF73D7" w:rsidRPr="009B78DA" w:rsidRDefault="00D642D8" w:rsidP="00466CF0">
      <w:pPr>
        <w:pStyle w:val="Akapitzlist"/>
        <w:numPr>
          <w:ilvl w:val="0"/>
          <w:numId w:val="220"/>
        </w:num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Dane dotyczące krajowych środków publicznych, przeznaczonych na budowę, rozbudowę i bieżące utrzymanie dróg krajowych na terenie województwa podkarpackiego, określają </w:t>
      </w:r>
      <w:r w:rsidR="00D121BE" w:rsidRPr="009B78DA">
        <w:rPr>
          <w:rFonts w:ascii="Arial" w:hAnsi="Arial" w:cs="Arial"/>
          <w:color w:val="000000" w:themeColor="text1"/>
          <w:sz w:val="22"/>
          <w:szCs w:val="22"/>
        </w:rPr>
        <w:t xml:space="preserve">sumaryczne </w:t>
      </w:r>
      <w:r w:rsidR="00EF73D7" w:rsidRPr="009B78DA">
        <w:rPr>
          <w:rFonts w:ascii="Arial" w:hAnsi="Arial" w:cs="Arial"/>
          <w:color w:val="000000" w:themeColor="text1"/>
          <w:sz w:val="22"/>
          <w:szCs w:val="22"/>
        </w:rPr>
        <w:t xml:space="preserve">koszty </w:t>
      </w:r>
      <w:r w:rsidRPr="009B78DA">
        <w:rPr>
          <w:rFonts w:ascii="Arial" w:hAnsi="Arial" w:cs="Arial"/>
          <w:color w:val="000000" w:themeColor="text1"/>
          <w:sz w:val="22"/>
          <w:szCs w:val="22"/>
        </w:rPr>
        <w:t xml:space="preserve">przewidywane, planowane na lata 2021 – 2030. </w:t>
      </w:r>
      <w:r w:rsidR="00EF73D7" w:rsidRPr="009B78DA">
        <w:rPr>
          <w:rFonts w:ascii="Arial" w:hAnsi="Arial" w:cs="Arial"/>
          <w:color w:val="000000" w:themeColor="text1"/>
          <w:sz w:val="22"/>
          <w:szCs w:val="22"/>
        </w:rPr>
        <w:t>Wartości odnoszące się do budowy dróg, przebudowy/rozbudowy oraz kosztów utrzymania</w:t>
      </w:r>
      <w:r w:rsidR="00EF73D7" w:rsidRPr="009B78DA">
        <w:rPr>
          <w:rStyle w:val="Odwoanieprzypisudolnego"/>
          <w:rFonts w:ascii="Arial" w:hAnsi="Arial" w:cs="Arial"/>
          <w:color w:val="000000" w:themeColor="text1"/>
          <w:sz w:val="22"/>
          <w:szCs w:val="22"/>
        </w:rPr>
        <w:footnoteReference w:id="50"/>
      </w:r>
      <w:r w:rsidR="00EF73D7" w:rsidRPr="009B78DA">
        <w:rPr>
          <w:rFonts w:ascii="Arial" w:hAnsi="Arial" w:cs="Arial"/>
          <w:color w:val="000000" w:themeColor="text1"/>
          <w:sz w:val="22"/>
          <w:szCs w:val="22"/>
        </w:rPr>
        <w:t xml:space="preserve"> zostały udostępnione przez GDDKiA</w:t>
      </w:r>
      <w:r w:rsidR="00D121BE" w:rsidRPr="009B78DA">
        <w:rPr>
          <w:rFonts w:ascii="Arial" w:hAnsi="Arial" w:cs="Arial"/>
          <w:color w:val="000000" w:themeColor="text1"/>
          <w:sz w:val="22"/>
          <w:szCs w:val="22"/>
        </w:rPr>
        <w:t xml:space="preserve"> o/Rzeszów</w:t>
      </w:r>
      <w:r w:rsidR="00EF73D7" w:rsidRPr="009B78DA">
        <w:rPr>
          <w:rFonts w:ascii="Arial" w:hAnsi="Arial" w:cs="Arial"/>
          <w:color w:val="000000" w:themeColor="text1"/>
          <w:sz w:val="22"/>
          <w:szCs w:val="22"/>
        </w:rPr>
        <w:t>. W ramach kosztów budowy ujęte są wszystkie nakłady na inwestycje (m.in. budowa dróg ekspresowych oraz obwodnic)</w:t>
      </w:r>
      <w:r w:rsidR="00D121BE" w:rsidRPr="009B78DA">
        <w:rPr>
          <w:rFonts w:ascii="Arial" w:hAnsi="Arial" w:cs="Arial"/>
          <w:color w:val="000000" w:themeColor="text1"/>
          <w:sz w:val="22"/>
          <w:szCs w:val="22"/>
        </w:rPr>
        <w:t xml:space="preserve">. </w:t>
      </w:r>
      <w:r w:rsidR="00EF73D7" w:rsidRPr="009B78DA">
        <w:rPr>
          <w:rFonts w:ascii="Arial" w:hAnsi="Arial" w:cs="Arial"/>
          <w:color w:val="000000" w:themeColor="text1"/>
          <w:sz w:val="22"/>
          <w:szCs w:val="22"/>
        </w:rPr>
        <w:t>Dane w odniesieniu do przyszłości stanowią koszty wyłącznie orientacyjne, które mogą ulec zmiani</w:t>
      </w:r>
      <w:r w:rsidR="007E4E11" w:rsidRPr="009B78DA">
        <w:rPr>
          <w:rFonts w:ascii="Arial" w:hAnsi="Arial" w:cs="Arial"/>
          <w:color w:val="000000" w:themeColor="text1"/>
          <w:sz w:val="22"/>
          <w:szCs w:val="22"/>
        </w:rPr>
        <w:t>e oraz nie obejmować wszystkich dostępnych środków.</w:t>
      </w:r>
    </w:p>
    <w:p w14:paraId="08EE9EA8" w14:textId="13FA408A" w:rsidR="00D642D8" w:rsidRPr="009B78DA" w:rsidRDefault="00D121BE" w:rsidP="00466CF0">
      <w:pPr>
        <w:pStyle w:val="Akapitzlist"/>
        <w:numPr>
          <w:ilvl w:val="0"/>
          <w:numId w:val="220"/>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Kwota</w:t>
      </w:r>
      <w:r w:rsidR="00D642D8" w:rsidRPr="009B78DA">
        <w:rPr>
          <w:rFonts w:ascii="Arial" w:hAnsi="Arial" w:cs="Arial"/>
          <w:color w:val="000000" w:themeColor="text1"/>
          <w:sz w:val="22"/>
          <w:szCs w:val="22"/>
        </w:rPr>
        <w:t xml:space="preserve"> krajowych środków publicznych na poziomie wojewódzkim </w:t>
      </w:r>
      <w:r w:rsidR="00D94E8A" w:rsidRPr="009B78DA">
        <w:rPr>
          <w:rFonts w:ascii="Arial" w:hAnsi="Arial" w:cs="Arial"/>
          <w:color w:val="000000" w:themeColor="text1"/>
          <w:sz w:val="22"/>
          <w:szCs w:val="22"/>
        </w:rPr>
        <w:t xml:space="preserve">stanowi sumaryczne ujęcie kosztów </w:t>
      </w:r>
      <w:r w:rsidR="00D642D8" w:rsidRPr="009B78DA">
        <w:rPr>
          <w:rFonts w:ascii="Arial" w:hAnsi="Arial" w:cs="Arial"/>
          <w:color w:val="000000" w:themeColor="text1"/>
          <w:sz w:val="22"/>
          <w:szCs w:val="22"/>
        </w:rPr>
        <w:t>przewidywan</w:t>
      </w:r>
      <w:r w:rsidR="00D94E8A" w:rsidRPr="009B78DA">
        <w:rPr>
          <w:rFonts w:ascii="Arial" w:hAnsi="Arial" w:cs="Arial"/>
          <w:color w:val="000000" w:themeColor="text1"/>
          <w:sz w:val="22"/>
          <w:szCs w:val="22"/>
        </w:rPr>
        <w:t xml:space="preserve">ych </w:t>
      </w:r>
      <w:r w:rsidR="00D642D8" w:rsidRPr="009B78DA">
        <w:rPr>
          <w:rFonts w:ascii="Arial" w:hAnsi="Arial" w:cs="Arial"/>
          <w:color w:val="000000" w:themeColor="text1"/>
          <w:sz w:val="22"/>
          <w:szCs w:val="22"/>
        </w:rPr>
        <w:t>na lata 2021 – 2030</w:t>
      </w:r>
      <w:r w:rsidR="00D94E8A"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Dane za lata 2021 oraz 2022 stanowią wartości rzeczywiste pochodzące ze sprawozdań</w:t>
      </w:r>
      <w:r w:rsidR="00D94E8A"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z</w:t>
      </w:r>
      <w:r w:rsidR="00D94E8A"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wykonanego budżetu województwa za konkretny rok.</w:t>
      </w:r>
      <w:r w:rsidR="00D94E8A" w:rsidRPr="009B78DA">
        <w:rPr>
          <w:rFonts w:ascii="Arial" w:hAnsi="Arial" w:cs="Arial"/>
          <w:color w:val="000000" w:themeColor="text1"/>
          <w:sz w:val="22"/>
          <w:szCs w:val="22"/>
        </w:rPr>
        <w:t xml:space="preserve"> </w:t>
      </w:r>
      <w:r w:rsidR="007E4E11" w:rsidRPr="009B78DA">
        <w:rPr>
          <w:rFonts w:ascii="Arial" w:hAnsi="Arial" w:cs="Arial"/>
          <w:color w:val="000000" w:themeColor="text1"/>
          <w:sz w:val="22"/>
          <w:szCs w:val="22"/>
        </w:rPr>
        <w:t>Z kolei</w:t>
      </w:r>
      <w:r w:rsidR="00D94E8A" w:rsidRPr="009B78DA">
        <w:rPr>
          <w:rFonts w:ascii="Arial" w:hAnsi="Arial" w:cs="Arial"/>
          <w:color w:val="000000" w:themeColor="text1"/>
          <w:sz w:val="22"/>
          <w:szCs w:val="22"/>
        </w:rPr>
        <w:t xml:space="preserve"> d</w:t>
      </w:r>
      <w:r w:rsidRPr="009B78DA">
        <w:rPr>
          <w:rFonts w:ascii="Arial" w:hAnsi="Arial" w:cs="Arial"/>
          <w:color w:val="000000" w:themeColor="text1"/>
          <w:sz w:val="22"/>
          <w:szCs w:val="22"/>
        </w:rPr>
        <w:t>ane</w:t>
      </w:r>
      <w:r w:rsidR="007E4E11" w:rsidRPr="009B78DA">
        <w:rPr>
          <w:rFonts w:ascii="Arial" w:hAnsi="Arial" w:cs="Arial"/>
          <w:color w:val="000000" w:themeColor="text1"/>
          <w:sz w:val="22"/>
          <w:szCs w:val="22"/>
        </w:rPr>
        <w:t xml:space="preserve"> za interwał od</w:t>
      </w:r>
      <w:r w:rsidRPr="009B78DA">
        <w:rPr>
          <w:rFonts w:ascii="Arial" w:hAnsi="Arial" w:cs="Arial"/>
          <w:color w:val="000000" w:themeColor="text1"/>
          <w:sz w:val="22"/>
          <w:szCs w:val="22"/>
        </w:rPr>
        <w:t xml:space="preserve"> </w:t>
      </w:r>
      <w:r w:rsidR="007E4E11" w:rsidRPr="009B78DA">
        <w:rPr>
          <w:rFonts w:ascii="Arial" w:hAnsi="Arial" w:cs="Arial"/>
          <w:color w:val="000000" w:themeColor="text1"/>
          <w:sz w:val="22"/>
          <w:szCs w:val="22"/>
        </w:rPr>
        <w:t xml:space="preserve">roku </w:t>
      </w:r>
      <w:r w:rsidRPr="009B78DA">
        <w:rPr>
          <w:rFonts w:ascii="Arial" w:hAnsi="Arial" w:cs="Arial"/>
          <w:color w:val="000000" w:themeColor="text1"/>
          <w:sz w:val="22"/>
          <w:szCs w:val="22"/>
        </w:rPr>
        <w:t>2023</w:t>
      </w:r>
      <w:r w:rsidR="007E4E11" w:rsidRPr="009B78DA">
        <w:rPr>
          <w:rFonts w:ascii="Arial" w:hAnsi="Arial" w:cs="Arial"/>
          <w:color w:val="000000" w:themeColor="text1"/>
          <w:sz w:val="22"/>
          <w:szCs w:val="22"/>
        </w:rPr>
        <w:t xml:space="preserve"> do </w:t>
      </w:r>
      <w:r w:rsidRPr="009B78DA">
        <w:rPr>
          <w:rFonts w:ascii="Arial" w:hAnsi="Arial" w:cs="Arial"/>
          <w:color w:val="000000" w:themeColor="text1"/>
          <w:sz w:val="22"/>
          <w:szCs w:val="22"/>
        </w:rPr>
        <w:t>2030 są oparte wyłącznie na szacunkach i nie mogą tworzyć wykładni dla ostatecznej puli środków przewidzianej na wspomniane zadania</w:t>
      </w:r>
      <w:r w:rsidR="00D94E8A"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Prognozowane wartości dla lat 2023-2030 stanowią wyliczenia polegające na corocznym zwiększaniu puli środków </w:t>
      </w:r>
      <w:r w:rsidR="00466CF0">
        <w:rPr>
          <w:rFonts w:ascii="Arial" w:hAnsi="Arial" w:cs="Arial"/>
          <w:color w:val="000000" w:themeColor="text1"/>
          <w:sz w:val="22"/>
          <w:szCs w:val="22"/>
        </w:rPr>
        <w:br/>
      </w:r>
      <w:r w:rsidRPr="009B78DA">
        <w:rPr>
          <w:rFonts w:ascii="Arial" w:hAnsi="Arial" w:cs="Arial"/>
          <w:color w:val="000000" w:themeColor="text1"/>
          <w:sz w:val="22"/>
          <w:szCs w:val="22"/>
        </w:rPr>
        <w:t>o 10% względem roku poprzedzającego po przyjęciu wydatków z roku 2022 r. za wartość bazową.</w:t>
      </w:r>
      <w:r w:rsidR="007E4E11" w:rsidRPr="009B78DA">
        <w:rPr>
          <w:color w:val="000000" w:themeColor="text1"/>
        </w:rPr>
        <w:t xml:space="preserve"> </w:t>
      </w:r>
      <w:r w:rsidR="007E4E11" w:rsidRPr="009B78DA">
        <w:rPr>
          <w:rFonts w:ascii="Arial" w:hAnsi="Arial" w:cs="Arial"/>
          <w:color w:val="000000" w:themeColor="text1"/>
          <w:sz w:val="22"/>
          <w:szCs w:val="22"/>
        </w:rPr>
        <w:t>Dane w odniesieniu do przyszłości stanowią koszty wyłącznie orientacyjne, które mogą ulec zmianie oraz nie obejmować wszystkich dostępnych środków</w:t>
      </w:r>
      <w:r w:rsidR="00895EE3" w:rsidRPr="009B78DA">
        <w:rPr>
          <w:rFonts w:ascii="Arial" w:hAnsi="Arial" w:cs="Arial"/>
          <w:color w:val="000000" w:themeColor="text1"/>
          <w:sz w:val="22"/>
          <w:szCs w:val="22"/>
        </w:rPr>
        <w:t>, przy czym przyjęto założenie, że w przypadku kwot dotyczących przebudowy wartości te zawierają się w kosztach budowy.</w:t>
      </w:r>
    </w:p>
    <w:p w14:paraId="454953B2" w14:textId="1E690CB0" w:rsidR="00D642D8" w:rsidRPr="009B78DA" w:rsidRDefault="00D642D8" w:rsidP="00466CF0">
      <w:pPr>
        <w:pStyle w:val="Akapitzlist"/>
        <w:numPr>
          <w:ilvl w:val="0"/>
          <w:numId w:val="220"/>
        </w:numPr>
        <w:spacing w:after="0" w:line="276" w:lineRule="auto"/>
        <w:ind w:left="714" w:hanging="357"/>
        <w:rPr>
          <w:rFonts w:ascii="Arial" w:hAnsi="Arial" w:cs="Arial"/>
          <w:color w:val="000000" w:themeColor="text1"/>
          <w:sz w:val="22"/>
          <w:szCs w:val="22"/>
        </w:rPr>
      </w:pPr>
      <w:r w:rsidRPr="009B78DA">
        <w:rPr>
          <w:rFonts w:ascii="Arial" w:hAnsi="Arial" w:cs="Arial"/>
          <w:color w:val="000000" w:themeColor="text1"/>
          <w:sz w:val="22"/>
          <w:szCs w:val="22"/>
        </w:rPr>
        <w:t xml:space="preserve">Dane dotyczące krajowych środków publicznych na poziomie lokalnym dotyczą </w:t>
      </w:r>
      <w:r w:rsidR="007E4E11" w:rsidRPr="009B78DA">
        <w:rPr>
          <w:rFonts w:ascii="Arial" w:hAnsi="Arial" w:cs="Arial"/>
          <w:color w:val="000000" w:themeColor="text1"/>
          <w:sz w:val="22"/>
          <w:szCs w:val="22"/>
        </w:rPr>
        <w:t xml:space="preserve">ujętych sumarycznie (za lata 2021-2030) </w:t>
      </w:r>
      <w:r w:rsidRPr="009B78DA">
        <w:rPr>
          <w:rFonts w:ascii="Arial" w:hAnsi="Arial" w:cs="Arial"/>
          <w:color w:val="000000" w:themeColor="text1"/>
          <w:sz w:val="22"/>
          <w:szCs w:val="22"/>
        </w:rPr>
        <w:t>wydatków z budżetów powiatów (tzw. grodzkich i ziemskich) oraz gmin</w:t>
      </w:r>
      <w:r w:rsidR="007E4E11" w:rsidRPr="009B78DA">
        <w:rPr>
          <w:rFonts w:ascii="Arial" w:hAnsi="Arial" w:cs="Arial"/>
          <w:color w:val="000000" w:themeColor="text1"/>
          <w:sz w:val="22"/>
          <w:szCs w:val="22"/>
        </w:rPr>
        <w:t xml:space="preserve">. </w:t>
      </w:r>
      <w:r w:rsidR="00D94E8A" w:rsidRPr="009B78DA">
        <w:rPr>
          <w:rFonts w:ascii="Arial" w:hAnsi="Arial" w:cs="Arial"/>
          <w:color w:val="000000" w:themeColor="text1"/>
          <w:sz w:val="22"/>
          <w:szCs w:val="22"/>
        </w:rPr>
        <w:t>Wartości dla dróg lokalnych są wyłącznie orientacyjne, mogące ulec zmianom oraz obejmują dane dla gmin i powiatów łącznie. Przyjęto również założenie, że nowobudowana i poddawana przebudowie infrastruktura drogowa będzie spełniała wymagane parametry unijne. Wyliczeń dla określenia przyszłych kosztów właściwych dla dróg lokalnych dokonano na podstawie danych za lata 2016-2021 dostępnych w BDL GUS</w:t>
      </w:r>
      <w:r w:rsidR="007E4E11" w:rsidRPr="009B78DA">
        <w:rPr>
          <w:rFonts w:ascii="Arial" w:hAnsi="Arial" w:cs="Arial"/>
          <w:color w:val="000000" w:themeColor="text1"/>
          <w:sz w:val="22"/>
          <w:szCs w:val="22"/>
        </w:rPr>
        <w:t xml:space="preserve">, przy czym zakłada się, że </w:t>
      </w:r>
      <w:r w:rsidR="00466CF0">
        <w:rPr>
          <w:rFonts w:ascii="Arial" w:hAnsi="Arial" w:cs="Arial"/>
          <w:color w:val="000000" w:themeColor="text1"/>
          <w:sz w:val="22"/>
          <w:szCs w:val="22"/>
        </w:rPr>
        <w:br/>
      </w:r>
      <w:r w:rsidR="007E4E11" w:rsidRPr="009B78DA">
        <w:rPr>
          <w:rFonts w:ascii="Arial" w:hAnsi="Arial" w:cs="Arial"/>
          <w:color w:val="000000" w:themeColor="text1"/>
          <w:sz w:val="22"/>
          <w:szCs w:val="22"/>
        </w:rPr>
        <w:t>w przypadku kwot dotyczących przebudowy wartości te zawierają się w kosztach budowy</w:t>
      </w:r>
      <w:r w:rsidR="00FD6BF0" w:rsidRPr="009B78DA">
        <w:rPr>
          <w:rFonts w:ascii="Arial" w:hAnsi="Arial" w:cs="Arial"/>
          <w:color w:val="000000" w:themeColor="text1"/>
          <w:sz w:val="22"/>
          <w:szCs w:val="22"/>
        </w:rPr>
        <w:t>. Ponadto d</w:t>
      </w:r>
      <w:r w:rsidR="007E4E11" w:rsidRPr="009B78DA">
        <w:rPr>
          <w:rFonts w:ascii="Arial" w:hAnsi="Arial" w:cs="Arial"/>
          <w:color w:val="000000" w:themeColor="text1"/>
          <w:sz w:val="22"/>
          <w:szCs w:val="22"/>
        </w:rPr>
        <w:t>ane w odniesieniu do przyszłości stanowią koszty wyłącznie orientacyjne, które mogą ulec zmianie oraz nie obejmować wszystkich dostępnych środków.</w:t>
      </w:r>
    </w:p>
    <w:p w14:paraId="291CA424" w14:textId="3E8D8D22" w:rsidR="00D642D8" w:rsidRPr="009B78DA" w:rsidRDefault="00D642D8" w:rsidP="00466CF0">
      <w:pPr>
        <w:pStyle w:val="Akapitzlist"/>
        <w:numPr>
          <w:ilvl w:val="0"/>
          <w:numId w:val="219"/>
        </w:numPr>
        <w:spacing w:after="0"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 xml:space="preserve">Tabela 28, </w:t>
      </w:r>
      <w:r w:rsidRPr="009B78DA">
        <w:rPr>
          <w:rFonts w:ascii="Arial" w:hAnsi="Arial" w:cs="Arial"/>
          <w:i/>
          <w:color w:val="000000" w:themeColor="text1"/>
          <w:sz w:val="22"/>
          <w:szCs w:val="22"/>
        </w:rPr>
        <w:t>Zestawienie szacunkowych ilości krajowych środków publicznych przeznaczonych na wydatki majątkowe inwestycyjne oraz wydatki bieżące w sferze transportu (drogi wszystkich kategorii) na lata 2021 – 2030 w województwie podkarpackim</w:t>
      </w:r>
      <w:r w:rsidRPr="009B78DA">
        <w:rPr>
          <w:rFonts w:ascii="Arial" w:hAnsi="Arial" w:cs="Arial"/>
          <w:color w:val="000000" w:themeColor="text1"/>
          <w:sz w:val="22"/>
          <w:szCs w:val="22"/>
        </w:rPr>
        <w:t>: uwagi analogiczne jak w odniesieniu do Tabeli 27.</w:t>
      </w:r>
    </w:p>
    <w:p w14:paraId="4AD1AFB3" w14:textId="093866FA" w:rsidR="00D642D8" w:rsidRPr="009B78DA" w:rsidRDefault="00D642D8" w:rsidP="00466CF0">
      <w:pPr>
        <w:pStyle w:val="Akapitzlist"/>
        <w:numPr>
          <w:ilvl w:val="0"/>
          <w:numId w:val="219"/>
        </w:numPr>
        <w:spacing w:after="0"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Tabela 32</w:t>
      </w:r>
      <w:r w:rsidR="003A0717" w:rsidRPr="009B78DA">
        <w:rPr>
          <w:rFonts w:ascii="Arial" w:hAnsi="Arial" w:cs="Arial"/>
          <w:color w:val="000000" w:themeColor="text1"/>
          <w:sz w:val="22"/>
          <w:szCs w:val="22"/>
        </w:rPr>
        <w:t xml:space="preserve">, </w:t>
      </w:r>
      <w:r w:rsidR="003A0717" w:rsidRPr="009B78DA">
        <w:rPr>
          <w:rFonts w:ascii="Arial" w:hAnsi="Arial" w:cs="Arial"/>
          <w:i/>
          <w:color w:val="000000" w:themeColor="text1"/>
          <w:sz w:val="22"/>
          <w:szCs w:val="22"/>
        </w:rPr>
        <w:t>Prognozowana dynamika wzrostu kosztu nakładów dotyczących wojewódzkiej infrastruktury drogowej w perspektywie do 2030 r. w przeliczeniu na 1 km drogi wojewódzkiej w PLN</w:t>
      </w:r>
      <w:r w:rsidR="003A0717" w:rsidRPr="009B78DA">
        <w:rPr>
          <w:rFonts w:ascii="Arial" w:hAnsi="Arial" w:cs="Arial"/>
          <w:color w:val="000000" w:themeColor="text1"/>
          <w:sz w:val="22"/>
          <w:szCs w:val="22"/>
        </w:rPr>
        <w:t>:</w:t>
      </w:r>
    </w:p>
    <w:p w14:paraId="64196F56" w14:textId="1DE0CF12" w:rsidR="00590D96" w:rsidRPr="009B78DA" w:rsidRDefault="00590D96" w:rsidP="00466CF0">
      <w:pPr>
        <w:pStyle w:val="Akapitzlist"/>
        <w:spacing w:after="0" w:line="276" w:lineRule="auto"/>
        <w:ind w:left="357"/>
        <w:rPr>
          <w:rFonts w:ascii="Arial" w:hAnsi="Arial" w:cs="Arial"/>
          <w:color w:val="000000" w:themeColor="text1"/>
          <w:sz w:val="22"/>
          <w:szCs w:val="22"/>
        </w:rPr>
      </w:pPr>
      <w:r w:rsidRPr="009B78DA">
        <w:rPr>
          <w:rFonts w:ascii="Arial" w:hAnsi="Arial" w:cs="Arial"/>
          <w:color w:val="000000" w:themeColor="text1"/>
          <w:sz w:val="22"/>
          <w:szCs w:val="22"/>
        </w:rPr>
        <w:t>Informacje dotyczące dróg wojewódzkich zamieszczone w tabeli zostały opracowane przez PZDW na podstawie dostępnych danych, a oszacowanie wzrostu poszczególnych kosztów nastąpiło przy uwzględnieniu dotychczasowych doświadczeń i zastosowaniu współczynników inflacji. Przedstawione koszty zostały przedstawione w przeliczeniu na</w:t>
      </w:r>
      <w:r w:rsidR="00466CF0">
        <w:rPr>
          <w:rFonts w:ascii="Arial" w:hAnsi="Arial" w:cs="Arial"/>
          <w:color w:val="000000" w:themeColor="text1"/>
          <w:sz w:val="22"/>
          <w:szCs w:val="22"/>
        </w:rPr>
        <w:t xml:space="preserve"> </w:t>
      </w:r>
      <w:r w:rsidR="00466CF0">
        <w:rPr>
          <w:rFonts w:ascii="Arial" w:hAnsi="Arial" w:cs="Arial"/>
          <w:color w:val="000000" w:themeColor="text1"/>
          <w:sz w:val="22"/>
          <w:szCs w:val="22"/>
        </w:rPr>
        <w:br/>
      </w:r>
      <w:r w:rsidRPr="009B78DA">
        <w:rPr>
          <w:rFonts w:ascii="Arial" w:hAnsi="Arial" w:cs="Arial"/>
          <w:color w:val="000000" w:themeColor="text1"/>
          <w:sz w:val="22"/>
          <w:szCs w:val="22"/>
        </w:rPr>
        <w:t>1 km drogi wojewódzkiej.</w:t>
      </w:r>
    </w:p>
    <w:p w14:paraId="4E6A8F93" w14:textId="03FB9021" w:rsidR="00590D96" w:rsidRPr="009B78DA" w:rsidRDefault="00590D96" w:rsidP="00466CF0">
      <w:pPr>
        <w:pStyle w:val="Akapitzlist"/>
        <w:numPr>
          <w:ilvl w:val="0"/>
          <w:numId w:val="219"/>
        </w:numPr>
        <w:spacing w:after="0" w:line="276" w:lineRule="auto"/>
        <w:ind w:left="357" w:hanging="357"/>
        <w:rPr>
          <w:rFonts w:ascii="Arial" w:hAnsi="Arial" w:cs="Arial"/>
          <w:color w:val="000000" w:themeColor="text1"/>
          <w:sz w:val="22"/>
          <w:szCs w:val="22"/>
        </w:rPr>
      </w:pPr>
      <w:r w:rsidRPr="009B78DA">
        <w:rPr>
          <w:rFonts w:ascii="Arial" w:hAnsi="Arial" w:cs="Arial"/>
          <w:color w:val="000000" w:themeColor="text1"/>
          <w:sz w:val="22"/>
          <w:szCs w:val="22"/>
        </w:rPr>
        <w:t>Tabela 3</w:t>
      </w:r>
      <w:r w:rsidR="00B569BE" w:rsidRPr="009B78DA">
        <w:rPr>
          <w:rFonts w:ascii="Arial" w:hAnsi="Arial" w:cs="Arial"/>
          <w:color w:val="000000" w:themeColor="text1"/>
          <w:sz w:val="22"/>
          <w:szCs w:val="22"/>
        </w:rPr>
        <w:t>4</w:t>
      </w:r>
      <w:r w:rsidRPr="009B78DA">
        <w:rPr>
          <w:rFonts w:ascii="Arial" w:hAnsi="Arial" w:cs="Arial"/>
          <w:color w:val="000000" w:themeColor="text1"/>
          <w:sz w:val="22"/>
          <w:szCs w:val="22"/>
        </w:rPr>
        <w:t xml:space="preserve">, </w:t>
      </w:r>
      <w:r w:rsidRPr="009B78DA">
        <w:rPr>
          <w:rFonts w:ascii="Arial" w:hAnsi="Arial" w:cs="Arial"/>
          <w:i/>
          <w:color w:val="000000" w:themeColor="text1"/>
          <w:sz w:val="22"/>
          <w:szCs w:val="22"/>
        </w:rPr>
        <w:t>Prognozowana dynamika wzrostu kosztu nakładów dotyczących pozostałej infrastruktury drogowej (szczebla krajowego i lokalnego) na obszarze województwa podkarpackiego w perspektywie do 2030 r. (w tys. PLN):</w:t>
      </w:r>
    </w:p>
    <w:p w14:paraId="459D1D28" w14:textId="1A0D69E2" w:rsidR="00590D96" w:rsidRPr="009B78DA" w:rsidRDefault="00590D96" w:rsidP="00466CF0">
      <w:pPr>
        <w:pStyle w:val="Akapitzlist"/>
        <w:numPr>
          <w:ilvl w:val="0"/>
          <w:numId w:val="292"/>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Wartości dotyczące dróg krajowych w kolumnach odnoszących się do budowy dróg, przebudowy/rozbudowy oraz kosztów utrzymania (wyłącznie za lata 2021-2023) zostały udostępnione przez GDDKiA. W ramach kosztów budowy ujęte są wszystkie nakłady na inwestycje (m.in. budowa dróg ekspresowych oraz obwodnic), z kolei </w:t>
      </w:r>
      <w:r w:rsidR="00466CF0">
        <w:rPr>
          <w:rFonts w:ascii="Arial" w:hAnsi="Arial" w:cs="Arial"/>
          <w:color w:val="000000" w:themeColor="text1"/>
          <w:sz w:val="22"/>
          <w:szCs w:val="22"/>
        </w:rPr>
        <w:br/>
      </w:r>
      <w:r w:rsidRPr="009B78DA">
        <w:rPr>
          <w:rFonts w:ascii="Arial" w:hAnsi="Arial" w:cs="Arial"/>
          <w:color w:val="000000" w:themeColor="text1"/>
          <w:sz w:val="22"/>
          <w:szCs w:val="22"/>
        </w:rPr>
        <w:t xml:space="preserve">w kolumnie dotyczącej przebudowy/rozbudowy znajdują się przede wszystkim rozbudowy. Wyliczeń dla kosztów utrzymania w przedziale czasowym od roku 2024 do 2030 dokonano na podstawie analizy wzrostu kosztów utrzymania wspomnianych dróg rok do roku poprzedzającego w skali dekady (przedział 2013-2023). Dane </w:t>
      </w:r>
      <w:r w:rsidR="00466CF0">
        <w:rPr>
          <w:rFonts w:ascii="Arial" w:hAnsi="Arial" w:cs="Arial"/>
          <w:color w:val="000000" w:themeColor="text1"/>
          <w:sz w:val="22"/>
          <w:szCs w:val="22"/>
        </w:rPr>
        <w:br/>
      </w:r>
      <w:r w:rsidRPr="009B78DA">
        <w:rPr>
          <w:rFonts w:ascii="Arial" w:hAnsi="Arial" w:cs="Arial"/>
          <w:color w:val="000000" w:themeColor="text1"/>
          <w:sz w:val="22"/>
          <w:szCs w:val="22"/>
        </w:rPr>
        <w:t>w odniesieniu do przyszłości stanowią koszty wyłącznie orientacyjne, które mogą ulec zmianie.</w:t>
      </w:r>
    </w:p>
    <w:p w14:paraId="544C46E3" w14:textId="0FA3CA36" w:rsidR="00590D96" w:rsidRPr="009B78DA" w:rsidRDefault="00590D96" w:rsidP="00466CF0">
      <w:pPr>
        <w:pStyle w:val="Akapitzlist"/>
        <w:numPr>
          <w:ilvl w:val="0"/>
          <w:numId w:val="292"/>
        </w:numPr>
        <w:spacing w:after="0" w:line="276" w:lineRule="auto"/>
        <w:rPr>
          <w:rFonts w:ascii="Arial" w:hAnsi="Arial" w:cs="Arial"/>
          <w:color w:val="000000" w:themeColor="text1"/>
          <w:sz w:val="22"/>
          <w:szCs w:val="22"/>
        </w:rPr>
      </w:pPr>
      <w:bookmarkStart w:id="468" w:name="_Hlk142297057"/>
      <w:r w:rsidRPr="009B78DA">
        <w:rPr>
          <w:rFonts w:ascii="Arial" w:hAnsi="Arial" w:cs="Arial"/>
          <w:color w:val="000000" w:themeColor="text1"/>
          <w:sz w:val="22"/>
          <w:szCs w:val="22"/>
        </w:rPr>
        <w:t xml:space="preserve">Wartości dla dróg lokalnych są wyłącznie orientacyjne, mogące ulec zmianom oraz obejmują dane dla gmin i powiatów łącznie. Przyjęto również założenie, że nowobudowana i poddawana przebudowie infrastruktura drogowa będzie spełniała wymagane parametry unijne. Wyliczeń dla określenia przyszłych kosztów właściwych dla dróg lokalnych dokonano na podstawie danych za lata 2016-2021 dostępnych </w:t>
      </w:r>
      <w:r w:rsidR="00466CF0">
        <w:rPr>
          <w:rFonts w:ascii="Arial" w:hAnsi="Arial" w:cs="Arial"/>
          <w:color w:val="000000" w:themeColor="text1"/>
          <w:sz w:val="22"/>
          <w:szCs w:val="22"/>
        </w:rPr>
        <w:br/>
      </w:r>
      <w:r w:rsidRPr="009B78DA">
        <w:rPr>
          <w:rFonts w:ascii="Arial" w:hAnsi="Arial" w:cs="Arial"/>
          <w:color w:val="000000" w:themeColor="text1"/>
          <w:sz w:val="22"/>
          <w:szCs w:val="22"/>
        </w:rPr>
        <w:t>w BDL GUS</w:t>
      </w:r>
      <w:bookmarkEnd w:id="468"/>
      <w:r w:rsidRPr="009B78DA">
        <w:rPr>
          <w:rFonts w:ascii="Arial" w:hAnsi="Arial" w:cs="Arial"/>
          <w:color w:val="000000" w:themeColor="text1"/>
          <w:sz w:val="22"/>
          <w:szCs w:val="22"/>
        </w:rPr>
        <w:t>:</w:t>
      </w:r>
    </w:p>
    <w:p w14:paraId="71DAA028" w14:textId="77777777" w:rsidR="00590D96" w:rsidRPr="009B78DA" w:rsidRDefault="00590D96" w:rsidP="00466CF0">
      <w:pPr>
        <w:pStyle w:val="Akapitzlist"/>
        <w:numPr>
          <w:ilvl w:val="0"/>
          <w:numId w:val="291"/>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w zakresie budowy dróg – na podstawie danych dotyczących nakładów na cele inwestycyjne w transporcie właściwych dla ww. szczebli samorządu terytorialnego; w drodze analizy różnic w nakładach odnotowywanych poprzez porównanie rok do roku poprzedzającego w ww. zakresie czasowym, uzyskano kwotę stanowiącą uśrednioną kwotę, tzw. Zmienną progresu (P = 50 867 092,06 PLN). Dla zakresu czasowego objętego prognozowaniem (lata 2021 – 2030) dla każdego kolejnego roku dokonano zwiększenia kwoty wydatków o ww. wartość P, przy czym za bazowy przyjęto rok 2021 r., dla którego przypisaną kwotę nakładów stanowią nakłady rzeczywiste (dane historyczne).</w:t>
      </w:r>
    </w:p>
    <w:p w14:paraId="5E8A5E1A" w14:textId="3DAA73F6" w:rsidR="00D642D8" w:rsidRPr="00466CF0" w:rsidRDefault="00590D96" w:rsidP="00466CF0">
      <w:pPr>
        <w:pStyle w:val="Akapitzlist"/>
        <w:numPr>
          <w:ilvl w:val="0"/>
          <w:numId w:val="291"/>
        </w:num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w zakresie utrzymania dróg – na podstawie danych dotyczących kosztów bieżących na transport (po odjęciu wydatków poniesionych  na poczet wynagrodzeń) właściwych dla ww. szczebli samorządu terytorialnego; w drodze analizy różnic w nakładach odnotowywanych poprzez porównanie, rok do roku poprzedzającego w ww. zakresie czasowym, uzyskano kwotę stanowiącą uśrednioną kwotę, tzw. Zmienną progresu (P = 27 379 225,3 PLN). Dla zakresu czasowego objętego prognozowaniem (lata 2021 – 2030) dla każdego kolejnego roku dokonano zwiększenia kwoty wydatków o ww. wartość P, przy czym za bazowy przyjęto rok 2021 r., dla którego przypisaną kwotę nakładów stanowią nakłady rzeczywiste (dane historyczne).</w:t>
      </w:r>
    </w:p>
    <w:p w14:paraId="562AD1CE" w14:textId="472536F1" w:rsidR="00284B82" w:rsidRPr="009B78DA" w:rsidRDefault="00284B82" w:rsidP="00466CF0">
      <w:pPr>
        <w:pStyle w:val="Nagwek2"/>
        <w:numPr>
          <w:ilvl w:val="0"/>
          <w:numId w:val="269"/>
        </w:numPr>
        <w:rPr>
          <w:rFonts w:cs="Arial"/>
          <w:sz w:val="24"/>
          <w:szCs w:val="24"/>
        </w:rPr>
      </w:pPr>
      <w:bookmarkStart w:id="469" w:name="_Toc85803999"/>
      <w:bookmarkStart w:id="470" w:name="_Toc100335096"/>
      <w:bookmarkStart w:id="471" w:name="_Toc146785821"/>
      <w:r w:rsidRPr="009B78DA">
        <w:rPr>
          <w:rFonts w:cs="Arial"/>
          <w:sz w:val="24"/>
          <w:szCs w:val="24"/>
        </w:rPr>
        <w:t>Ocena ex-ante Programu</w:t>
      </w:r>
      <w:bookmarkEnd w:id="469"/>
      <w:bookmarkEnd w:id="470"/>
      <w:bookmarkEnd w:id="471"/>
    </w:p>
    <w:p w14:paraId="1C85E9B8" w14:textId="7D04F9E7" w:rsidR="007E26DC" w:rsidRPr="009B78DA" w:rsidRDefault="007E26DC" w:rsidP="00466CF0">
      <w:pPr>
        <w:spacing w:before="60" w:after="60" w:line="276" w:lineRule="auto"/>
        <w:ind w:firstLine="708"/>
        <w:rPr>
          <w:rFonts w:ascii="Arial" w:hAnsi="Arial" w:cs="Arial"/>
          <w:color w:val="000000" w:themeColor="text1"/>
          <w:sz w:val="22"/>
          <w:szCs w:val="22"/>
          <w:lang w:eastAsia="en-US"/>
        </w:rPr>
      </w:pPr>
      <w:r w:rsidRPr="009B78DA">
        <w:rPr>
          <w:rFonts w:ascii="Arial" w:hAnsi="Arial" w:cs="Arial"/>
          <w:color w:val="000000" w:themeColor="text1"/>
          <w:sz w:val="22"/>
          <w:szCs w:val="22"/>
        </w:rPr>
        <w:t xml:space="preserve">Projekt PSRT WP, zgodnie z wymogami wynikającymi z art. 15 ust. 6 </w:t>
      </w:r>
      <w:bookmarkStart w:id="472" w:name="_Hlk101430449"/>
      <w:r w:rsidRPr="009B78DA">
        <w:rPr>
          <w:rFonts w:ascii="Arial" w:hAnsi="Arial" w:cs="Arial"/>
          <w:color w:val="000000" w:themeColor="text1"/>
          <w:sz w:val="22"/>
          <w:szCs w:val="22"/>
        </w:rPr>
        <w:t xml:space="preserve">Ustawy z dnia </w:t>
      </w:r>
      <w:r w:rsidR="00C43547"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6 grudnia 2006 r. o zasadach prowadzenia polityki rozwoju </w:t>
      </w:r>
      <w:r w:rsidR="00062E7C" w:rsidRPr="009B78DA">
        <w:rPr>
          <w:rFonts w:ascii="Arial" w:hAnsi="Arial" w:cs="Arial"/>
          <w:color w:val="000000" w:themeColor="text1"/>
          <w:sz w:val="22"/>
          <w:szCs w:val="22"/>
        </w:rPr>
        <w:t>(Dz.U. z 2023 r. poz.1259)</w:t>
      </w:r>
      <w:bookmarkEnd w:id="472"/>
      <w:r w:rsidR="00062E7C"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poddany został procedurze oceny ex-ante realizowanej przez zewnętrznego wykonawcę.</w:t>
      </w:r>
      <w:r w:rsidRPr="009B78DA">
        <w:rPr>
          <w:rStyle w:val="Odwoanieprzypisudolnego"/>
          <w:rFonts w:ascii="Arial" w:hAnsi="Arial" w:cs="Arial"/>
          <w:color w:val="000000" w:themeColor="text1"/>
          <w:sz w:val="22"/>
          <w:szCs w:val="22"/>
        </w:rPr>
        <w:footnoteReference w:id="51"/>
      </w:r>
      <w:r w:rsidRPr="009B78DA">
        <w:rPr>
          <w:rFonts w:ascii="Arial" w:hAnsi="Arial" w:cs="Arial"/>
          <w:color w:val="000000" w:themeColor="text1"/>
          <w:sz w:val="22"/>
          <w:szCs w:val="22"/>
        </w:rPr>
        <w:t xml:space="preserve"> </w:t>
      </w:r>
    </w:p>
    <w:p w14:paraId="5863ED6B" w14:textId="6A7D035C" w:rsidR="007E26DC" w:rsidRPr="009B78DA" w:rsidRDefault="007E26DC" w:rsidP="00466CF0">
      <w:pPr>
        <w:spacing w:before="60" w:after="60" w:line="276" w:lineRule="auto"/>
        <w:ind w:firstLine="708"/>
        <w:rPr>
          <w:rFonts w:ascii="Arial" w:hAnsi="Arial" w:cs="Arial"/>
          <w:color w:val="000000" w:themeColor="text1"/>
          <w:sz w:val="22"/>
          <w:szCs w:val="22"/>
        </w:rPr>
      </w:pPr>
      <w:r w:rsidRPr="009B78DA">
        <w:rPr>
          <w:rFonts w:ascii="Arial" w:hAnsi="Arial" w:cs="Arial"/>
          <w:color w:val="000000" w:themeColor="text1"/>
          <w:sz w:val="22"/>
          <w:szCs w:val="22"/>
        </w:rPr>
        <w:t xml:space="preserve">Ewaluacja ex ante projektu </w:t>
      </w:r>
      <w:r w:rsidRPr="009B78DA">
        <w:rPr>
          <w:rFonts w:ascii="Arial" w:hAnsi="Arial" w:cs="Arial"/>
          <w:iCs/>
          <w:color w:val="000000" w:themeColor="text1"/>
          <w:sz w:val="22"/>
          <w:szCs w:val="22"/>
        </w:rPr>
        <w:t>Programu Strategicznego Rozwoju Transportu Województwa Podkarpackiego do roku 2030</w:t>
      </w:r>
      <w:r w:rsidRPr="009B78DA">
        <w:rPr>
          <w:rFonts w:ascii="Arial" w:hAnsi="Arial" w:cs="Arial"/>
          <w:color w:val="000000" w:themeColor="text1"/>
          <w:sz w:val="22"/>
          <w:szCs w:val="22"/>
        </w:rPr>
        <w:t xml:space="preserve"> miała na celu sformułowanie wniosków </w:t>
      </w:r>
      <w:r w:rsidRPr="009B78DA">
        <w:rPr>
          <w:rFonts w:ascii="Arial" w:hAnsi="Arial" w:cs="Arial"/>
          <w:color w:val="000000" w:themeColor="text1"/>
          <w:sz w:val="22"/>
          <w:szCs w:val="22"/>
        </w:rPr>
        <w:br/>
        <w:t>i rekomendacji, umożliwiających podniesienie jakości ocenianego dokumentu i zwiększenie efektywności podejmowanej w jego ramach interwencji.</w:t>
      </w:r>
    </w:p>
    <w:p w14:paraId="0C97F6D8" w14:textId="77777777" w:rsidR="007E26DC" w:rsidRPr="009B78DA" w:rsidRDefault="007E26DC" w:rsidP="00466CF0">
      <w:pPr>
        <w:spacing w:before="60" w:after="6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W ewaluacji zastosowano następujące kryteria:</w:t>
      </w:r>
    </w:p>
    <w:p w14:paraId="3CE56F32" w14:textId="0CECC729" w:rsidR="007E26DC" w:rsidRPr="009B78DA" w:rsidRDefault="007E26DC" w:rsidP="00466CF0">
      <w:pPr>
        <w:pStyle w:val="Akapitzlist"/>
        <w:numPr>
          <w:ilvl w:val="0"/>
          <w:numId w:val="286"/>
        </w:numPr>
        <w:spacing w:before="60" w:after="60" w:line="276" w:lineRule="auto"/>
        <w:ind w:left="567" w:hanging="283"/>
        <w:rPr>
          <w:rFonts w:ascii="Arial" w:hAnsi="Arial" w:cs="Arial"/>
          <w:color w:val="000000" w:themeColor="text1"/>
          <w:sz w:val="22"/>
          <w:szCs w:val="22"/>
        </w:rPr>
      </w:pPr>
      <w:r w:rsidRPr="009B78DA">
        <w:rPr>
          <w:rFonts w:ascii="Arial" w:hAnsi="Arial" w:cs="Arial"/>
          <w:b/>
          <w:bCs/>
          <w:color w:val="000000" w:themeColor="text1"/>
          <w:sz w:val="22"/>
          <w:szCs w:val="22"/>
        </w:rPr>
        <w:t>kryterium trafności</w:t>
      </w:r>
      <w:r w:rsidRPr="009B78DA">
        <w:rPr>
          <w:rFonts w:ascii="Arial" w:hAnsi="Arial" w:cs="Arial"/>
          <w:color w:val="000000" w:themeColor="text1"/>
          <w:sz w:val="22"/>
          <w:szCs w:val="22"/>
        </w:rPr>
        <w:t xml:space="preserve"> – w ramach tego kryterium analizowano </w:t>
      </w:r>
      <w:r w:rsidRPr="009B78DA">
        <w:rPr>
          <w:rFonts w:ascii="Arial" w:hAnsi="Arial" w:cs="Arial"/>
          <w:b/>
          <w:bCs/>
          <w:color w:val="000000" w:themeColor="text1"/>
          <w:sz w:val="22"/>
          <w:szCs w:val="22"/>
        </w:rPr>
        <w:t>zasadność</w:t>
      </w:r>
      <w:r w:rsidRPr="009B78DA">
        <w:rPr>
          <w:rFonts w:ascii="Arial" w:hAnsi="Arial" w:cs="Arial"/>
          <w:color w:val="000000" w:themeColor="text1"/>
          <w:sz w:val="22"/>
          <w:szCs w:val="22"/>
        </w:rPr>
        <w:t xml:space="preserve"> sformułowanych celów i kierunków działań oraz Rozdziału IV Programu (obejmujący założenia ogólne, strukturę podmiotową realizacji Programu; ramy finansowe oraz system monitoringu i ewaluacji). Temu kryterium poddana została również analiza ryzyka zamieszczona w projekcie Programu;</w:t>
      </w:r>
    </w:p>
    <w:p w14:paraId="48E7A9E1" w14:textId="69DDFFA8" w:rsidR="007E26DC" w:rsidRPr="009B78DA" w:rsidRDefault="007E26DC" w:rsidP="00466CF0">
      <w:pPr>
        <w:pStyle w:val="Akapitzlist"/>
        <w:numPr>
          <w:ilvl w:val="0"/>
          <w:numId w:val="286"/>
        </w:numPr>
        <w:spacing w:before="60" w:after="60" w:line="276" w:lineRule="auto"/>
        <w:ind w:left="567" w:hanging="283"/>
        <w:rPr>
          <w:rFonts w:ascii="Arial" w:hAnsi="Arial" w:cs="Arial"/>
          <w:color w:val="000000" w:themeColor="text1"/>
          <w:sz w:val="22"/>
          <w:szCs w:val="22"/>
        </w:rPr>
      </w:pPr>
      <w:r w:rsidRPr="009B78DA">
        <w:rPr>
          <w:rFonts w:ascii="Arial" w:hAnsi="Arial" w:cs="Arial"/>
          <w:b/>
          <w:bCs/>
          <w:color w:val="000000" w:themeColor="text1"/>
          <w:sz w:val="22"/>
          <w:szCs w:val="22"/>
        </w:rPr>
        <w:t>kryterium spójności</w:t>
      </w:r>
      <w:r w:rsidRPr="009B78DA">
        <w:rPr>
          <w:rFonts w:ascii="Arial" w:hAnsi="Arial" w:cs="Arial"/>
          <w:color w:val="000000" w:themeColor="text1"/>
          <w:sz w:val="22"/>
          <w:szCs w:val="22"/>
        </w:rPr>
        <w:t xml:space="preserve"> – to kryterium posłuży</w:t>
      </w:r>
      <w:r w:rsidR="00C43547" w:rsidRPr="009B78DA">
        <w:rPr>
          <w:rFonts w:ascii="Arial" w:hAnsi="Arial" w:cs="Arial"/>
          <w:color w:val="000000" w:themeColor="text1"/>
          <w:sz w:val="22"/>
          <w:szCs w:val="22"/>
        </w:rPr>
        <w:t>ło</w:t>
      </w:r>
      <w:r w:rsidRPr="009B78DA">
        <w:rPr>
          <w:rFonts w:ascii="Arial" w:hAnsi="Arial" w:cs="Arial"/>
          <w:color w:val="000000" w:themeColor="text1"/>
          <w:sz w:val="22"/>
          <w:szCs w:val="22"/>
        </w:rPr>
        <w:t xml:space="preserve"> ocenie relacji między </w:t>
      </w:r>
      <w:r w:rsidR="00C43547" w:rsidRPr="009B78DA">
        <w:rPr>
          <w:rFonts w:ascii="Arial" w:hAnsi="Arial" w:cs="Arial"/>
          <w:color w:val="000000" w:themeColor="text1"/>
          <w:sz w:val="22"/>
          <w:szCs w:val="22"/>
        </w:rPr>
        <w:t>Programem</w:t>
      </w:r>
      <w:r w:rsidR="00C43547"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a kluczowymi dokumentami unijnymi, krajowymi i regionalnymi (w tym lokalnymi) ze szczególnym uwzględnieniem </w:t>
      </w:r>
      <w:r w:rsidRPr="009B78DA">
        <w:rPr>
          <w:rFonts w:ascii="Arial" w:hAnsi="Arial" w:cs="Arial"/>
          <w:i/>
          <w:iCs/>
          <w:color w:val="000000" w:themeColor="text1"/>
          <w:sz w:val="22"/>
          <w:szCs w:val="22"/>
        </w:rPr>
        <w:t>Strategii Rozwoju Województwa – Podkarpackie 2030</w:t>
      </w:r>
      <w:r w:rsidRPr="009B78DA">
        <w:rPr>
          <w:rFonts w:ascii="Arial" w:hAnsi="Arial" w:cs="Arial"/>
          <w:color w:val="000000" w:themeColor="text1"/>
          <w:sz w:val="22"/>
          <w:szCs w:val="22"/>
        </w:rPr>
        <w:t xml:space="preserve">. </w:t>
      </w:r>
      <w:r w:rsidR="00C43547"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W ramach tego kryterium </w:t>
      </w:r>
      <w:r w:rsidR="00C43547" w:rsidRPr="009B78DA">
        <w:rPr>
          <w:rFonts w:ascii="Arial" w:hAnsi="Arial" w:cs="Arial"/>
          <w:color w:val="000000" w:themeColor="text1"/>
          <w:sz w:val="22"/>
          <w:szCs w:val="22"/>
        </w:rPr>
        <w:t>oceniano</w:t>
      </w:r>
      <w:r w:rsidRPr="009B78DA">
        <w:rPr>
          <w:rFonts w:ascii="Arial" w:hAnsi="Arial" w:cs="Arial"/>
          <w:color w:val="000000" w:themeColor="text1"/>
          <w:sz w:val="22"/>
          <w:szCs w:val="22"/>
        </w:rPr>
        <w:t xml:space="preserve"> również spójność wewnętrzna ewaluowanego dokumentu;</w:t>
      </w:r>
    </w:p>
    <w:p w14:paraId="7A6CF8F9" w14:textId="6B96FC3C" w:rsidR="007E26DC" w:rsidRPr="009B78DA" w:rsidRDefault="007E26DC" w:rsidP="00466CF0">
      <w:pPr>
        <w:pStyle w:val="Akapitzlist"/>
        <w:numPr>
          <w:ilvl w:val="0"/>
          <w:numId w:val="286"/>
        </w:numPr>
        <w:spacing w:before="60" w:after="60" w:line="276" w:lineRule="auto"/>
        <w:ind w:left="567" w:hanging="283"/>
        <w:rPr>
          <w:rFonts w:ascii="Arial" w:hAnsi="Arial" w:cs="Arial"/>
          <w:color w:val="000000" w:themeColor="text1"/>
          <w:sz w:val="22"/>
          <w:szCs w:val="22"/>
        </w:rPr>
      </w:pPr>
      <w:r w:rsidRPr="009B78DA">
        <w:rPr>
          <w:rFonts w:ascii="Arial" w:hAnsi="Arial" w:cs="Arial"/>
          <w:b/>
          <w:bCs/>
          <w:color w:val="000000" w:themeColor="text1"/>
          <w:sz w:val="22"/>
          <w:szCs w:val="22"/>
        </w:rPr>
        <w:t>kryterium skuteczności</w:t>
      </w:r>
      <w:r w:rsidRPr="009B78DA">
        <w:rPr>
          <w:rStyle w:val="Odwoanieprzypisudolnego"/>
          <w:rFonts w:ascii="Arial" w:hAnsi="Arial" w:cs="Arial"/>
          <w:color w:val="000000" w:themeColor="text1"/>
          <w:sz w:val="22"/>
          <w:szCs w:val="22"/>
        </w:rPr>
        <w:footnoteReference w:id="52"/>
      </w:r>
      <w:r w:rsidRPr="009B78DA">
        <w:rPr>
          <w:rFonts w:ascii="Arial" w:hAnsi="Arial" w:cs="Arial"/>
          <w:color w:val="000000" w:themeColor="text1"/>
          <w:sz w:val="22"/>
          <w:szCs w:val="22"/>
        </w:rPr>
        <w:t xml:space="preserve"> – w przypadku tego kryterium kluczowa b</w:t>
      </w:r>
      <w:r w:rsidR="00C43547" w:rsidRPr="009B78DA">
        <w:rPr>
          <w:rFonts w:ascii="Arial" w:hAnsi="Arial" w:cs="Arial"/>
          <w:color w:val="000000" w:themeColor="text1"/>
          <w:sz w:val="22"/>
          <w:szCs w:val="22"/>
        </w:rPr>
        <w:t>yła</w:t>
      </w:r>
      <w:r w:rsidRPr="009B78DA">
        <w:rPr>
          <w:rFonts w:ascii="Arial" w:hAnsi="Arial" w:cs="Arial"/>
          <w:color w:val="000000" w:themeColor="text1"/>
          <w:sz w:val="22"/>
          <w:szCs w:val="22"/>
        </w:rPr>
        <w:t xml:space="preserve"> ocena logiki interwencji w kontekście zakładanych celów Programu oraz przełożenia realizacji Programu na osiąganie celów rozwoju społeczno-gospodarczego określonych </w:t>
      </w:r>
      <w:r w:rsidR="00C43547" w:rsidRPr="009B78DA">
        <w:rPr>
          <w:rFonts w:ascii="Arial" w:hAnsi="Arial" w:cs="Arial"/>
          <w:color w:val="000000" w:themeColor="text1"/>
          <w:sz w:val="22"/>
          <w:szCs w:val="22"/>
        </w:rPr>
        <w:br/>
      </w:r>
      <w:r w:rsidRPr="009B78DA">
        <w:rPr>
          <w:rFonts w:ascii="Arial" w:hAnsi="Arial" w:cs="Arial"/>
          <w:color w:val="000000" w:themeColor="text1"/>
          <w:sz w:val="22"/>
          <w:szCs w:val="22"/>
        </w:rPr>
        <w:t xml:space="preserve">w </w:t>
      </w:r>
      <w:r w:rsidRPr="009B78DA">
        <w:rPr>
          <w:rFonts w:ascii="Arial" w:hAnsi="Arial" w:cs="Arial"/>
          <w:i/>
          <w:iCs/>
          <w:color w:val="000000" w:themeColor="text1"/>
          <w:sz w:val="22"/>
          <w:szCs w:val="22"/>
        </w:rPr>
        <w:t>Strategii Rozwoju Województwa – Podkarpackie 2030</w:t>
      </w:r>
      <w:r w:rsidRPr="009B78DA">
        <w:rPr>
          <w:rFonts w:ascii="Arial" w:hAnsi="Arial" w:cs="Arial"/>
          <w:color w:val="000000" w:themeColor="text1"/>
          <w:sz w:val="22"/>
          <w:szCs w:val="22"/>
        </w:rPr>
        <w:t>. Kryterium skuteczności pozwoli</w:t>
      </w:r>
      <w:r w:rsidR="00C43547" w:rsidRPr="009B78DA">
        <w:rPr>
          <w:rFonts w:ascii="Arial" w:hAnsi="Arial" w:cs="Arial"/>
          <w:color w:val="000000" w:themeColor="text1"/>
          <w:sz w:val="22"/>
          <w:szCs w:val="22"/>
        </w:rPr>
        <w:t>ło</w:t>
      </w:r>
      <w:r w:rsidRPr="009B78DA">
        <w:rPr>
          <w:rFonts w:ascii="Arial" w:hAnsi="Arial" w:cs="Arial"/>
          <w:color w:val="000000" w:themeColor="text1"/>
          <w:sz w:val="22"/>
          <w:szCs w:val="22"/>
        </w:rPr>
        <w:t xml:space="preserve"> również ocenić system wdrażania (założenia dot. finansowania, monitoringu </w:t>
      </w:r>
      <w:r w:rsidR="00C43547" w:rsidRPr="009B78DA">
        <w:rPr>
          <w:rFonts w:ascii="Arial" w:hAnsi="Arial" w:cs="Arial"/>
          <w:color w:val="000000" w:themeColor="text1"/>
          <w:sz w:val="22"/>
          <w:szCs w:val="22"/>
        </w:rPr>
        <w:br/>
      </w:r>
      <w:r w:rsidRPr="009B78DA">
        <w:rPr>
          <w:rFonts w:ascii="Arial" w:hAnsi="Arial" w:cs="Arial"/>
          <w:color w:val="000000" w:themeColor="text1"/>
          <w:sz w:val="22"/>
          <w:szCs w:val="22"/>
        </w:rPr>
        <w:t>i ewaluacji);</w:t>
      </w:r>
    </w:p>
    <w:p w14:paraId="4198594D" w14:textId="1F87194C" w:rsidR="007E26DC" w:rsidRPr="009B78DA" w:rsidRDefault="007E26DC" w:rsidP="00466CF0">
      <w:pPr>
        <w:pStyle w:val="Akapitzlist"/>
        <w:numPr>
          <w:ilvl w:val="0"/>
          <w:numId w:val="286"/>
        </w:numPr>
        <w:spacing w:before="60" w:after="60" w:line="276" w:lineRule="auto"/>
        <w:ind w:left="567" w:hanging="283"/>
        <w:rPr>
          <w:rFonts w:ascii="Arial" w:hAnsi="Arial" w:cs="Arial"/>
          <w:color w:val="000000" w:themeColor="text1"/>
          <w:sz w:val="22"/>
          <w:szCs w:val="22"/>
        </w:rPr>
      </w:pPr>
      <w:r w:rsidRPr="009B78DA">
        <w:rPr>
          <w:rFonts w:ascii="Arial" w:hAnsi="Arial" w:cs="Arial"/>
          <w:b/>
          <w:bCs/>
          <w:color w:val="000000" w:themeColor="text1"/>
          <w:sz w:val="22"/>
          <w:szCs w:val="22"/>
        </w:rPr>
        <w:t>kryterium</w:t>
      </w:r>
      <w:r w:rsidRPr="009B78DA">
        <w:rPr>
          <w:rFonts w:ascii="Arial" w:hAnsi="Arial" w:cs="Arial"/>
          <w:color w:val="000000" w:themeColor="text1"/>
          <w:sz w:val="22"/>
          <w:szCs w:val="22"/>
        </w:rPr>
        <w:t xml:space="preserve"> </w:t>
      </w:r>
      <w:r w:rsidRPr="009B78DA">
        <w:rPr>
          <w:rFonts w:ascii="Arial" w:hAnsi="Arial" w:cs="Arial"/>
          <w:b/>
          <w:bCs/>
          <w:color w:val="000000" w:themeColor="text1"/>
          <w:sz w:val="22"/>
          <w:szCs w:val="22"/>
        </w:rPr>
        <w:t>efektywności</w:t>
      </w:r>
      <w:r w:rsidRPr="009B78DA">
        <w:rPr>
          <w:rFonts w:ascii="Arial" w:hAnsi="Arial" w:cs="Arial"/>
          <w:color w:val="000000" w:themeColor="text1"/>
          <w:sz w:val="22"/>
          <w:szCs w:val="22"/>
        </w:rPr>
        <w:t xml:space="preserve"> – zgodnie z zapisami SOPZ to kryterium </w:t>
      </w:r>
      <w:r w:rsidR="00C43547" w:rsidRPr="009B78DA">
        <w:rPr>
          <w:rFonts w:ascii="Arial" w:hAnsi="Arial" w:cs="Arial"/>
          <w:color w:val="000000" w:themeColor="text1"/>
          <w:sz w:val="22"/>
          <w:szCs w:val="22"/>
        </w:rPr>
        <w:t>zastosowano</w:t>
      </w:r>
      <w:r w:rsidRPr="009B78DA">
        <w:rPr>
          <w:rFonts w:ascii="Arial" w:hAnsi="Arial" w:cs="Arial"/>
          <w:color w:val="000000" w:themeColor="text1"/>
          <w:sz w:val="22"/>
          <w:szCs w:val="22"/>
        </w:rPr>
        <w:t xml:space="preserve"> do oceny zapisów dotyczących monitoringu i ewaluacji. </w:t>
      </w:r>
    </w:p>
    <w:p w14:paraId="447DA5C1" w14:textId="54EC2A37" w:rsidR="00CC44F7" w:rsidRPr="009B78DA" w:rsidRDefault="007E26DC" w:rsidP="00466CF0">
      <w:pPr>
        <w:spacing w:before="60" w:after="6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 xml:space="preserve">Ewaluacja była prowadzona równolegle do procesu konsultacji społecznych Programu. Ewaluator na etapie przygotowywania Raportu z konsultacji społecznych </w:t>
      </w:r>
      <w:r w:rsidR="00C43547" w:rsidRPr="009B78DA">
        <w:rPr>
          <w:rFonts w:ascii="Arial" w:hAnsi="Arial" w:cs="Arial"/>
          <w:color w:val="000000" w:themeColor="text1"/>
          <w:sz w:val="22"/>
          <w:szCs w:val="22"/>
        </w:rPr>
        <w:t>wskazał</w:t>
      </w:r>
      <w:r w:rsidRPr="009B78DA">
        <w:rPr>
          <w:rFonts w:ascii="Arial" w:hAnsi="Arial" w:cs="Arial"/>
          <w:color w:val="000000" w:themeColor="text1"/>
          <w:sz w:val="22"/>
          <w:szCs w:val="22"/>
        </w:rPr>
        <w:t xml:space="preserve"> </w:t>
      </w:r>
      <w:r w:rsidR="00C43547" w:rsidRPr="009B78DA">
        <w:rPr>
          <w:rFonts w:ascii="Arial" w:hAnsi="Arial" w:cs="Arial"/>
          <w:color w:val="000000" w:themeColor="text1"/>
          <w:sz w:val="22"/>
          <w:szCs w:val="22"/>
        </w:rPr>
        <w:br/>
        <w:t>Zamawiającemu</w:t>
      </w:r>
      <w:r w:rsidRPr="009B78DA">
        <w:rPr>
          <w:rFonts w:ascii="Arial" w:hAnsi="Arial" w:cs="Arial"/>
          <w:color w:val="000000" w:themeColor="text1"/>
          <w:sz w:val="22"/>
          <w:szCs w:val="22"/>
        </w:rPr>
        <w:t xml:space="preserve"> wstępn</w:t>
      </w:r>
      <w:r w:rsidR="00C43547" w:rsidRPr="009B78DA">
        <w:rPr>
          <w:rFonts w:ascii="Arial" w:hAnsi="Arial" w:cs="Arial"/>
          <w:color w:val="000000" w:themeColor="text1"/>
          <w:sz w:val="22"/>
          <w:szCs w:val="22"/>
        </w:rPr>
        <w:t xml:space="preserve">e </w:t>
      </w:r>
      <w:r w:rsidRPr="009B78DA">
        <w:rPr>
          <w:rFonts w:ascii="Arial" w:hAnsi="Arial" w:cs="Arial"/>
          <w:color w:val="000000" w:themeColor="text1"/>
          <w:sz w:val="22"/>
          <w:szCs w:val="22"/>
        </w:rPr>
        <w:t>wniosk</w:t>
      </w:r>
      <w:r w:rsidR="00C43547" w:rsidRPr="009B78DA">
        <w:rPr>
          <w:rFonts w:ascii="Arial" w:hAnsi="Arial" w:cs="Arial"/>
          <w:color w:val="000000" w:themeColor="text1"/>
          <w:sz w:val="22"/>
          <w:szCs w:val="22"/>
        </w:rPr>
        <w:t>i</w:t>
      </w:r>
      <w:r w:rsidRPr="009B78DA">
        <w:rPr>
          <w:rFonts w:ascii="Arial" w:hAnsi="Arial" w:cs="Arial"/>
          <w:color w:val="000000" w:themeColor="text1"/>
          <w:sz w:val="22"/>
          <w:szCs w:val="22"/>
        </w:rPr>
        <w:t xml:space="preserve"> oraz przekazał wstępne uwagi zarówno do projektu Programu, jak i zastosowanych rozstrzygnięć dotyczących uwag z konsultacji społecznych.</w:t>
      </w:r>
    </w:p>
    <w:p w14:paraId="435BF998" w14:textId="02887571" w:rsidR="00CD2D3E" w:rsidRDefault="007E26DC" w:rsidP="00CD2D3E">
      <w:pPr>
        <w:spacing w:before="60" w:after="60" w:line="276" w:lineRule="auto"/>
        <w:ind w:firstLine="709"/>
        <w:rPr>
          <w:rFonts w:ascii="Arial" w:hAnsi="Arial" w:cs="Arial"/>
          <w:color w:val="000000" w:themeColor="text1"/>
          <w:sz w:val="22"/>
          <w:szCs w:val="22"/>
        </w:rPr>
      </w:pPr>
      <w:r w:rsidRPr="009B78DA">
        <w:rPr>
          <w:rFonts w:ascii="Arial" w:hAnsi="Arial" w:cs="Arial"/>
          <w:color w:val="000000" w:themeColor="text1"/>
          <w:sz w:val="22"/>
          <w:szCs w:val="22"/>
        </w:rPr>
        <w:t>Zastosowanie kilku metod badawczych (desk research, wywiady pogłębione oraz panel ekspertów) pozwoliło sformułować wnioski i rekomendacje, bazując na udzielonych odpowiedziach na stawiane prze</w:t>
      </w:r>
      <w:r w:rsidR="00C43547" w:rsidRPr="009B78DA">
        <w:rPr>
          <w:rFonts w:ascii="Arial" w:hAnsi="Arial" w:cs="Arial"/>
          <w:color w:val="000000" w:themeColor="text1"/>
          <w:sz w:val="22"/>
          <w:szCs w:val="22"/>
        </w:rPr>
        <w:t>z</w:t>
      </w:r>
      <w:r w:rsidRPr="009B78DA">
        <w:rPr>
          <w:rFonts w:ascii="Arial" w:hAnsi="Arial" w:cs="Arial"/>
          <w:color w:val="000000" w:themeColor="text1"/>
          <w:sz w:val="22"/>
          <w:szCs w:val="22"/>
        </w:rPr>
        <w:t xml:space="preserve"> ewaluator</w:t>
      </w:r>
      <w:r w:rsidR="00C43547" w:rsidRPr="009B78DA">
        <w:rPr>
          <w:rFonts w:ascii="Arial" w:hAnsi="Arial" w:cs="Arial"/>
          <w:color w:val="000000" w:themeColor="text1"/>
          <w:sz w:val="22"/>
          <w:szCs w:val="22"/>
        </w:rPr>
        <w:t>a</w:t>
      </w:r>
      <w:r w:rsidRPr="009B78DA">
        <w:rPr>
          <w:rFonts w:ascii="Arial" w:hAnsi="Arial" w:cs="Arial"/>
          <w:color w:val="000000" w:themeColor="text1"/>
          <w:sz w:val="22"/>
          <w:szCs w:val="22"/>
        </w:rPr>
        <w:t xml:space="preserve"> pytania. Na wszystkie z trzynastu pytań ewaluacyjnych udzielono odpowiedzi pozytywnej. </w:t>
      </w:r>
      <w:bookmarkStart w:id="473" w:name="_Hlk101881216"/>
      <w:r w:rsidRPr="009B78DA">
        <w:rPr>
          <w:rFonts w:ascii="Arial" w:hAnsi="Arial" w:cs="Arial"/>
          <w:color w:val="000000" w:themeColor="text1"/>
          <w:sz w:val="22"/>
          <w:szCs w:val="22"/>
        </w:rPr>
        <w:t xml:space="preserve">Świadczy to o </w:t>
      </w:r>
      <w:r w:rsidR="00191E92" w:rsidRPr="009B78DA">
        <w:rPr>
          <w:rFonts w:ascii="Arial" w:hAnsi="Arial" w:cs="Arial"/>
          <w:color w:val="000000" w:themeColor="text1"/>
          <w:sz w:val="22"/>
          <w:szCs w:val="22"/>
        </w:rPr>
        <w:t>wysokiej</w:t>
      </w:r>
      <w:r w:rsidR="00C43547"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jakości przygotowanego dokumentu.</w:t>
      </w:r>
      <w:bookmarkStart w:id="474" w:name="_Ref89626500"/>
      <w:bookmarkStart w:id="475" w:name="_Toc90222975"/>
      <w:bookmarkStart w:id="476" w:name="_Toc101257087"/>
      <w:bookmarkEnd w:id="473"/>
    </w:p>
    <w:p w14:paraId="480E30A4" w14:textId="77777777" w:rsidR="00CD2D3E" w:rsidRDefault="00CD2D3E">
      <w:pPr>
        <w:rPr>
          <w:rFonts w:ascii="Arial" w:hAnsi="Arial" w:cs="Arial"/>
          <w:color w:val="000000" w:themeColor="text1"/>
          <w:sz w:val="22"/>
          <w:szCs w:val="22"/>
        </w:rPr>
      </w:pPr>
      <w:r>
        <w:rPr>
          <w:rFonts w:ascii="Arial" w:hAnsi="Arial" w:cs="Arial"/>
          <w:color w:val="000000" w:themeColor="text1"/>
          <w:sz w:val="22"/>
          <w:szCs w:val="22"/>
        </w:rPr>
        <w:br w:type="page"/>
      </w:r>
    </w:p>
    <w:bookmarkEnd w:id="474"/>
    <w:p w14:paraId="17A6E91E" w14:textId="5132ED49" w:rsidR="007E26DC" w:rsidRPr="009B78DA" w:rsidRDefault="007E26DC" w:rsidP="00466CF0">
      <w:pPr>
        <w:spacing w:after="0" w:line="276" w:lineRule="auto"/>
        <w:rPr>
          <w:rFonts w:ascii="Arial" w:hAnsi="Arial" w:cs="Arial"/>
          <w:color w:val="000000" w:themeColor="text1"/>
          <w:sz w:val="22"/>
          <w:szCs w:val="22"/>
        </w:rPr>
      </w:pPr>
      <w:r w:rsidRPr="009B78DA">
        <w:rPr>
          <w:rFonts w:ascii="Arial" w:hAnsi="Arial" w:cs="Arial"/>
          <w:color w:val="000000" w:themeColor="text1"/>
          <w:sz w:val="22"/>
          <w:szCs w:val="22"/>
        </w:rPr>
        <w:t>Pytania ewaluacyjne i syntetyczne odpowiedzi</w:t>
      </w:r>
      <w:bookmarkEnd w:id="475"/>
      <w:bookmarkEnd w:id="476"/>
    </w:p>
    <w:tbl>
      <w:tblPr>
        <w:tblStyle w:val="Tabela-Siatka"/>
        <w:tblpPr w:leftFromText="141" w:rightFromText="141" w:vertAnchor="text" w:tblpX="23" w:tblpY="104"/>
        <w:tblW w:w="4962" w:type="pct"/>
        <w:tblLook w:val="04A0" w:firstRow="1" w:lastRow="0" w:firstColumn="1" w:lastColumn="0" w:noHBand="0" w:noVBand="1"/>
        <w:tblCaption w:val="Pytania ewaluacyjne i syntetyczne odpowiedzi"/>
        <w:tblDescription w:val="Tabela zawiera Pytaniai Syntetyczne odpowiedzi*"/>
      </w:tblPr>
      <w:tblGrid>
        <w:gridCol w:w="7528"/>
        <w:gridCol w:w="1466"/>
      </w:tblGrid>
      <w:tr w:rsidR="006F4FD2" w:rsidRPr="00F51C63" w14:paraId="6400A0CA" w14:textId="77777777" w:rsidTr="00F51C63">
        <w:trPr>
          <w:tblHeader/>
        </w:trPr>
        <w:tc>
          <w:tcPr>
            <w:tcW w:w="4185" w:type="pct"/>
            <w:shd w:val="clear" w:color="auto" w:fill="BDD6EE" w:themeFill="accent1" w:themeFillTint="66"/>
            <w:vAlign w:val="center"/>
          </w:tcPr>
          <w:p w14:paraId="7949E981"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Pytania</w:t>
            </w:r>
          </w:p>
        </w:tc>
        <w:tc>
          <w:tcPr>
            <w:tcW w:w="815" w:type="pct"/>
            <w:shd w:val="clear" w:color="auto" w:fill="BDD6EE" w:themeFill="accent1" w:themeFillTint="66"/>
            <w:vAlign w:val="center"/>
          </w:tcPr>
          <w:p w14:paraId="238FF041"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Syntetyczne odpowiedzi*</w:t>
            </w:r>
          </w:p>
        </w:tc>
      </w:tr>
      <w:tr w:rsidR="006F4FD2" w:rsidRPr="00F51C63" w14:paraId="14CE183E" w14:textId="77777777" w:rsidTr="00F51C63">
        <w:tc>
          <w:tcPr>
            <w:tcW w:w="4185" w:type="pct"/>
            <w:vAlign w:val="center"/>
          </w:tcPr>
          <w:p w14:paraId="0725418C" w14:textId="77777777" w:rsidR="007E26DC" w:rsidRPr="00F51C63" w:rsidRDefault="007E26DC" w:rsidP="00F51C63">
            <w:pPr>
              <w:spacing w:before="40" w:after="40" w:line="276" w:lineRule="auto"/>
              <w:rPr>
                <w:rFonts w:ascii="Arial" w:eastAsiaTheme="minorHAnsi" w:hAnsi="Arial" w:cs="Arial"/>
                <w:color w:val="000000" w:themeColor="text1"/>
                <w:sz w:val="22"/>
                <w:szCs w:val="22"/>
              </w:rPr>
            </w:pPr>
            <w:r w:rsidRPr="00F51C63">
              <w:rPr>
                <w:rFonts w:ascii="Arial" w:hAnsi="Arial" w:cs="Arial"/>
                <w:b/>
                <w:color w:val="000000" w:themeColor="text1"/>
                <w:sz w:val="22"/>
                <w:szCs w:val="22"/>
              </w:rPr>
              <w:t>Ocena trafności założeń projektu PSRT WP</w:t>
            </w:r>
          </w:p>
        </w:tc>
        <w:tc>
          <w:tcPr>
            <w:tcW w:w="815" w:type="pct"/>
            <w:vAlign w:val="center"/>
          </w:tcPr>
          <w:p w14:paraId="3B505B5F" w14:textId="77777777" w:rsidR="007E26DC" w:rsidRPr="00F51C63" w:rsidRDefault="007E26DC" w:rsidP="00F51C63">
            <w:pPr>
              <w:spacing w:before="40" w:after="40" w:line="276" w:lineRule="auto"/>
              <w:jc w:val="center"/>
              <w:rPr>
                <w:rFonts w:ascii="Arial" w:eastAsiaTheme="minorHAnsi" w:hAnsi="Arial" w:cs="Arial"/>
                <w:snapToGrid w:val="0"/>
                <w:color w:val="000000" w:themeColor="text1"/>
                <w:sz w:val="22"/>
                <w:szCs w:val="22"/>
              </w:rPr>
            </w:pPr>
          </w:p>
        </w:tc>
      </w:tr>
      <w:tr w:rsidR="006F4FD2" w:rsidRPr="00F51C63" w14:paraId="0B6572E1" w14:textId="77777777" w:rsidTr="00F51C63">
        <w:tc>
          <w:tcPr>
            <w:tcW w:w="4185" w:type="pct"/>
            <w:vAlign w:val="center"/>
          </w:tcPr>
          <w:p w14:paraId="4184B600" w14:textId="77777777" w:rsidR="007E26DC" w:rsidRPr="00F51C63" w:rsidRDefault="007E26DC" w:rsidP="00F51C63">
            <w:pPr>
              <w:spacing w:before="40" w:after="40" w:line="276" w:lineRule="auto"/>
              <w:rPr>
                <w:rFonts w:ascii="Arial" w:eastAsiaTheme="minorHAnsi" w:hAnsi="Arial" w:cs="Arial"/>
                <w:color w:val="000000" w:themeColor="text1"/>
                <w:sz w:val="22"/>
                <w:szCs w:val="22"/>
              </w:rPr>
            </w:pPr>
            <w:r w:rsidRPr="00F51C63">
              <w:rPr>
                <w:rFonts w:ascii="Arial" w:hAnsi="Arial" w:cs="Arial"/>
                <w:snapToGrid w:val="0"/>
                <w:color w:val="000000" w:themeColor="text1"/>
                <w:sz w:val="22"/>
                <w:szCs w:val="22"/>
              </w:rPr>
              <w:t>Czy projekt Programu trafnie odpowiada na wyzwania i potrzeby społeczno-ekonomiczne obszaru nim objętego?</w:t>
            </w:r>
          </w:p>
        </w:tc>
        <w:tc>
          <w:tcPr>
            <w:tcW w:w="815" w:type="pct"/>
            <w:vAlign w:val="center"/>
          </w:tcPr>
          <w:p w14:paraId="1B46EFAD" w14:textId="77777777" w:rsidR="007E26DC" w:rsidRPr="00F51C63" w:rsidRDefault="007E26DC" w:rsidP="00F51C63">
            <w:pPr>
              <w:spacing w:before="40" w:after="40" w:line="276" w:lineRule="auto"/>
              <w:jc w:val="center"/>
              <w:rPr>
                <w:rFonts w:ascii="Arial" w:eastAsiaTheme="minorHAnsi" w:hAnsi="Arial" w:cs="Arial"/>
                <w:snapToGrid w:val="0"/>
                <w:color w:val="000000" w:themeColor="text1"/>
                <w:sz w:val="22"/>
                <w:szCs w:val="22"/>
              </w:rPr>
            </w:pPr>
            <w:r w:rsidRPr="00F51C63">
              <w:rPr>
                <w:rFonts w:ascii="Arial" w:eastAsiaTheme="minorHAnsi" w:hAnsi="Arial" w:cs="Arial"/>
                <w:snapToGrid w:val="0"/>
                <w:color w:val="000000" w:themeColor="text1"/>
                <w:sz w:val="22"/>
                <w:szCs w:val="22"/>
              </w:rPr>
              <w:t>Tak</w:t>
            </w:r>
          </w:p>
        </w:tc>
      </w:tr>
      <w:tr w:rsidR="006F4FD2" w:rsidRPr="00F51C63" w14:paraId="2EE07302" w14:textId="77777777" w:rsidTr="00F51C63">
        <w:tc>
          <w:tcPr>
            <w:tcW w:w="4185" w:type="pct"/>
            <w:vAlign w:val="center"/>
          </w:tcPr>
          <w:p w14:paraId="4DF4C99A" w14:textId="2A64C800" w:rsidR="007E26DC" w:rsidRPr="00F51C63" w:rsidRDefault="007E26DC" w:rsidP="00F51C63">
            <w:pPr>
              <w:spacing w:before="40" w:after="40" w:line="276" w:lineRule="auto"/>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 xml:space="preserve">Czy projekt Programu trafnie odpowiada na rozwijające się </w:t>
            </w:r>
            <w:r w:rsidR="00F51C63">
              <w:rPr>
                <w:rFonts w:ascii="Arial" w:eastAsiaTheme="minorHAnsi" w:hAnsi="Arial" w:cs="Arial"/>
                <w:color w:val="000000" w:themeColor="text1"/>
                <w:sz w:val="22"/>
                <w:szCs w:val="22"/>
              </w:rPr>
              <w:br/>
            </w:r>
            <w:r w:rsidRPr="00F51C63">
              <w:rPr>
                <w:rFonts w:ascii="Arial" w:eastAsiaTheme="minorHAnsi" w:hAnsi="Arial" w:cs="Arial"/>
                <w:color w:val="000000" w:themeColor="text1"/>
                <w:sz w:val="22"/>
                <w:szCs w:val="22"/>
              </w:rPr>
              <w:t>i prawdopodobne do zaistnienia w przyszłości trendy, które mogą mieć istotny wpływ na zmiany w sektorze transportu?</w:t>
            </w:r>
          </w:p>
        </w:tc>
        <w:tc>
          <w:tcPr>
            <w:tcW w:w="815" w:type="pct"/>
            <w:vAlign w:val="center"/>
          </w:tcPr>
          <w:p w14:paraId="42E6E4B3"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r w:rsidR="006F4FD2" w:rsidRPr="00F51C63" w14:paraId="62113A6C" w14:textId="77777777" w:rsidTr="00F51C63">
        <w:tc>
          <w:tcPr>
            <w:tcW w:w="4185" w:type="pct"/>
            <w:vAlign w:val="center"/>
          </w:tcPr>
          <w:p w14:paraId="73A8CE3E" w14:textId="6A583D35" w:rsidR="007E26DC" w:rsidRPr="00F51C63" w:rsidRDefault="007E26DC" w:rsidP="00F51C63">
            <w:pPr>
              <w:spacing w:before="40" w:after="40" w:line="276" w:lineRule="auto"/>
              <w:rPr>
                <w:rFonts w:ascii="Arial" w:eastAsiaTheme="minorHAnsi" w:hAnsi="Arial" w:cs="Arial"/>
                <w:color w:val="000000" w:themeColor="text1"/>
                <w:sz w:val="22"/>
                <w:szCs w:val="22"/>
              </w:rPr>
            </w:pPr>
            <w:r w:rsidRPr="00F51C63">
              <w:rPr>
                <w:rFonts w:ascii="Arial" w:hAnsi="Arial" w:cs="Arial"/>
                <w:snapToGrid w:val="0"/>
                <w:color w:val="000000" w:themeColor="text1"/>
                <w:sz w:val="22"/>
                <w:szCs w:val="22"/>
              </w:rPr>
              <w:t>Czy wskazane w projekcie Programu przedsięwzięcia priorytetowe dla rozwoju systemu transportowego w województwie stanowią podstawowe warunki dalszego rozwoju tego obszaru?</w:t>
            </w:r>
          </w:p>
        </w:tc>
        <w:tc>
          <w:tcPr>
            <w:tcW w:w="815" w:type="pct"/>
            <w:vAlign w:val="center"/>
          </w:tcPr>
          <w:p w14:paraId="2DFD1B68"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r w:rsidR="006F4FD2" w:rsidRPr="00F51C63" w14:paraId="11CB215B" w14:textId="77777777" w:rsidTr="00F51C63">
        <w:tc>
          <w:tcPr>
            <w:tcW w:w="4185" w:type="pct"/>
            <w:vAlign w:val="center"/>
          </w:tcPr>
          <w:p w14:paraId="49FB32AD" w14:textId="77777777" w:rsidR="007E26DC" w:rsidRPr="00F51C63" w:rsidRDefault="007E26DC" w:rsidP="00F51C63">
            <w:pPr>
              <w:spacing w:before="40" w:after="40" w:line="276" w:lineRule="auto"/>
              <w:rPr>
                <w:rFonts w:ascii="Arial" w:eastAsiaTheme="minorHAnsi" w:hAnsi="Arial" w:cs="Arial"/>
                <w:color w:val="000000" w:themeColor="text1"/>
                <w:sz w:val="22"/>
                <w:szCs w:val="22"/>
              </w:rPr>
            </w:pPr>
            <w:r w:rsidRPr="00F51C63">
              <w:rPr>
                <w:rFonts w:ascii="Arial" w:hAnsi="Arial" w:cs="Arial"/>
                <w:snapToGrid w:val="0"/>
                <w:color w:val="000000" w:themeColor="text1"/>
                <w:sz w:val="22"/>
                <w:szCs w:val="22"/>
              </w:rPr>
              <w:t>Czy wskazane ewentualne czynniki ryzyka, mogące wystąpić podczas realizacji Programu są trafnie sprecyzowane?</w:t>
            </w:r>
          </w:p>
        </w:tc>
        <w:tc>
          <w:tcPr>
            <w:tcW w:w="815" w:type="pct"/>
            <w:vAlign w:val="center"/>
          </w:tcPr>
          <w:p w14:paraId="44D3F0D6"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r w:rsidR="006F4FD2" w:rsidRPr="00F51C63" w14:paraId="12744D20" w14:textId="77777777" w:rsidTr="00F51C63">
        <w:tc>
          <w:tcPr>
            <w:tcW w:w="4185" w:type="pct"/>
            <w:vAlign w:val="center"/>
          </w:tcPr>
          <w:p w14:paraId="38CB4AD8" w14:textId="77777777" w:rsidR="007E26DC" w:rsidRPr="00F51C63" w:rsidRDefault="007E26DC" w:rsidP="00F51C63">
            <w:pPr>
              <w:spacing w:before="40" w:after="40" w:line="276" w:lineRule="auto"/>
              <w:rPr>
                <w:rFonts w:ascii="Arial" w:eastAsiaTheme="minorHAnsi" w:hAnsi="Arial" w:cs="Arial"/>
                <w:color w:val="000000" w:themeColor="text1"/>
                <w:sz w:val="22"/>
                <w:szCs w:val="22"/>
              </w:rPr>
            </w:pPr>
            <w:r w:rsidRPr="00F51C63">
              <w:rPr>
                <w:rFonts w:ascii="Arial" w:hAnsi="Arial" w:cs="Arial"/>
                <w:snapToGrid w:val="0"/>
                <w:color w:val="000000" w:themeColor="text1"/>
                <w:sz w:val="22"/>
                <w:szCs w:val="22"/>
              </w:rPr>
              <w:t>Czy wskazane w Programie elementy systemu wdrażania i realizacji dokumentu zostały dobrane i sformułowane trafnie?</w:t>
            </w:r>
          </w:p>
        </w:tc>
        <w:tc>
          <w:tcPr>
            <w:tcW w:w="815" w:type="pct"/>
            <w:vAlign w:val="center"/>
          </w:tcPr>
          <w:p w14:paraId="6A030F71"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r w:rsidR="006F4FD2" w:rsidRPr="00F51C63" w14:paraId="04B895B2" w14:textId="77777777" w:rsidTr="00F51C63">
        <w:tc>
          <w:tcPr>
            <w:tcW w:w="4185" w:type="pct"/>
            <w:vAlign w:val="center"/>
          </w:tcPr>
          <w:p w14:paraId="12BF8DC2" w14:textId="77777777" w:rsidR="007E26DC" w:rsidRPr="00F51C63" w:rsidRDefault="007E26DC" w:rsidP="00F51C63">
            <w:pPr>
              <w:spacing w:before="40" w:after="40" w:line="276" w:lineRule="auto"/>
              <w:rPr>
                <w:rFonts w:ascii="Arial" w:eastAsiaTheme="minorHAnsi" w:hAnsi="Arial" w:cs="Arial"/>
                <w:color w:val="000000" w:themeColor="text1"/>
                <w:sz w:val="22"/>
                <w:szCs w:val="22"/>
              </w:rPr>
            </w:pPr>
            <w:r w:rsidRPr="00F51C63">
              <w:rPr>
                <w:rFonts w:ascii="Arial" w:hAnsi="Arial" w:cs="Arial"/>
                <w:b/>
                <w:snapToGrid w:val="0"/>
                <w:color w:val="000000" w:themeColor="text1"/>
                <w:sz w:val="22"/>
                <w:szCs w:val="22"/>
              </w:rPr>
              <w:t xml:space="preserve">Ocena przewidywanej skuteczności i efektywności </w:t>
            </w:r>
            <w:r w:rsidRPr="00F51C63">
              <w:rPr>
                <w:rFonts w:ascii="Arial" w:hAnsi="Arial" w:cs="Arial"/>
                <w:b/>
                <w:color w:val="000000" w:themeColor="text1"/>
                <w:sz w:val="22"/>
                <w:szCs w:val="22"/>
              </w:rPr>
              <w:t>założeń projektu PSRT WP</w:t>
            </w:r>
          </w:p>
        </w:tc>
        <w:tc>
          <w:tcPr>
            <w:tcW w:w="815" w:type="pct"/>
            <w:vAlign w:val="center"/>
          </w:tcPr>
          <w:p w14:paraId="59AE09BE"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p>
        </w:tc>
      </w:tr>
      <w:tr w:rsidR="006F4FD2" w:rsidRPr="00F51C63" w14:paraId="4BEEC509" w14:textId="77777777" w:rsidTr="00F51C63">
        <w:tc>
          <w:tcPr>
            <w:tcW w:w="4185" w:type="pct"/>
            <w:vAlign w:val="center"/>
          </w:tcPr>
          <w:p w14:paraId="38536EB5" w14:textId="77777777" w:rsidR="007E26DC" w:rsidRPr="00F51C63" w:rsidRDefault="007E26DC" w:rsidP="00F51C63">
            <w:pPr>
              <w:spacing w:before="40" w:after="40" w:line="276" w:lineRule="auto"/>
              <w:rPr>
                <w:rFonts w:ascii="Arial" w:eastAsiaTheme="minorHAnsi" w:hAnsi="Arial" w:cs="Arial"/>
                <w:color w:val="000000" w:themeColor="text1"/>
                <w:sz w:val="22"/>
                <w:szCs w:val="22"/>
              </w:rPr>
            </w:pPr>
            <w:r w:rsidRPr="00F51C63">
              <w:rPr>
                <w:rFonts w:ascii="Arial" w:hAnsi="Arial" w:cs="Arial"/>
                <w:snapToGrid w:val="0"/>
                <w:color w:val="000000" w:themeColor="text1"/>
                <w:sz w:val="22"/>
                <w:szCs w:val="22"/>
              </w:rPr>
              <w:t>Czy zaproponowana logika interwencji umożliwi zrealizowanie założonych celów?</w:t>
            </w:r>
          </w:p>
        </w:tc>
        <w:tc>
          <w:tcPr>
            <w:tcW w:w="815" w:type="pct"/>
            <w:vAlign w:val="center"/>
          </w:tcPr>
          <w:p w14:paraId="73CAF390"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r w:rsidR="006F4FD2" w:rsidRPr="00F51C63" w14:paraId="1BFB123E" w14:textId="77777777" w:rsidTr="00F51C63">
        <w:tc>
          <w:tcPr>
            <w:tcW w:w="4185" w:type="pct"/>
            <w:vAlign w:val="center"/>
          </w:tcPr>
          <w:p w14:paraId="2209CF80" w14:textId="77777777" w:rsidR="007E26DC" w:rsidRPr="00F51C63" w:rsidRDefault="007E26DC" w:rsidP="00F51C63">
            <w:pPr>
              <w:spacing w:before="40" w:after="40" w:line="276" w:lineRule="auto"/>
              <w:rPr>
                <w:rFonts w:ascii="Arial" w:hAnsi="Arial" w:cs="Arial"/>
                <w:snapToGrid w:val="0"/>
                <w:color w:val="000000" w:themeColor="text1"/>
                <w:sz w:val="22"/>
                <w:szCs w:val="22"/>
              </w:rPr>
            </w:pPr>
            <w:r w:rsidRPr="00F51C63">
              <w:rPr>
                <w:rFonts w:ascii="Arial" w:hAnsi="Arial" w:cs="Arial"/>
                <w:snapToGrid w:val="0"/>
                <w:color w:val="000000" w:themeColor="text1"/>
                <w:sz w:val="22"/>
                <w:szCs w:val="22"/>
              </w:rPr>
              <w:t xml:space="preserve">Czy przyjęty system wdrażania oraz wskazane źródła i instrumenty finansowania pozwolą na skuteczną realizację Programu? </w:t>
            </w:r>
          </w:p>
        </w:tc>
        <w:tc>
          <w:tcPr>
            <w:tcW w:w="815" w:type="pct"/>
            <w:vAlign w:val="center"/>
          </w:tcPr>
          <w:p w14:paraId="6D6A242F"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r w:rsidR="006F4FD2" w:rsidRPr="00F51C63" w14:paraId="5E713698" w14:textId="77777777" w:rsidTr="00F51C63">
        <w:tc>
          <w:tcPr>
            <w:tcW w:w="4185" w:type="pct"/>
            <w:vAlign w:val="center"/>
          </w:tcPr>
          <w:p w14:paraId="09F78F0C" w14:textId="56310853" w:rsidR="007E26DC" w:rsidRPr="00F51C63" w:rsidRDefault="007E26DC" w:rsidP="00F51C63">
            <w:pPr>
              <w:spacing w:before="40" w:after="40" w:line="276" w:lineRule="auto"/>
              <w:rPr>
                <w:rFonts w:ascii="Arial" w:hAnsi="Arial" w:cs="Arial"/>
                <w:snapToGrid w:val="0"/>
                <w:color w:val="000000" w:themeColor="text1"/>
                <w:sz w:val="22"/>
                <w:szCs w:val="22"/>
              </w:rPr>
            </w:pPr>
            <w:r w:rsidRPr="00F51C63">
              <w:rPr>
                <w:rFonts w:ascii="Arial" w:hAnsi="Arial" w:cs="Arial"/>
                <w:snapToGrid w:val="0"/>
                <w:color w:val="000000" w:themeColor="text1"/>
                <w:sz w:val="22"/>
                <w:szCs w:val="22"/>
              </w:rPr>
              <w:t>Czy ustalony w projekcie Programu system monitoringu i ewaluacji, umożliwia skuteczną i efektywną rejestrację i ocenę efektów jego realizacji, w odniesieniu do systemu transportowego poszczególnych JST z regionu jak i obszaru całego województwa podkarpackiego?</w:t>
            </w:r>
          </w:p>
        </w:tc>
        <w:tc>
          <w:tcPr>
            <w:tcW w:w="815" w:type="pct"/>
            <w:vAlign w:val="center"/>
          </w:tcPr>
          <w:p w14:paraId="79376D83"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r w:rsidR="006F4FD2" w:rsidRPr="00F51C63" w14:paraId="5337D81A" w14:textId="77777777" w:rsidTr="00F51C63">
        <w:tc>
          <w:tcPr>
            <w:tcW w:w="4185" w:type="pct"/>
            <w:vAlign w:val="center"/>
          </w:tcPr>
          <w:p w14:paraId="384856BC" w14:textId="5D3F8D53" w:rsidR="007E26DC" w:rsidRPr="00F51C63" w:rsidRDefault="007E26DC" w:rsidP="00F51C63">
            <w:pPr>
              <w:spacing w:before="40" w:after="40" w:line="276" w:lineRule="auto"/>
              <w:rPr>
                <w:rFonts w:ascii="Arial" w:hAnsi="Arial" w:cs="Arial"/>
                <w:snapToGrid w:val="0"/>
                <w:color w:val="000000" w:themeColor="text1"/>
                <w:sz w:val="22"/>
                <w:szCs w:val="22"/>
              </w:rPr>
            </w:pPr>
            <w:r w:rsidRPr="00F51C63">
              <w:rPr>
                <w:rFonts w:ascii="Arial" w:hAnsi="Arial" w:cs="Arial"/>
                <w:b/>
                <w:color w:val="000000" w:themeColor="text1"/>
                <w:sz w:val="22"/>
                <w:szCs w:val="22"/>
              </w:rPr>
              <w:t xml:space="preserve">Ocena spójności projektu PSRT WP w wymiarze wewnętrznym </w:t>
            </w:r>
            <w:r w:rsidR="00F51C63">
              <w:rPr>
                <w:rFonts w:ascii="Arial" w:hAnsi="Arial" w:cs="Arial"/>
                <w:b/>
                <w:color w:val="000000" w:themeColor="text1"/>
                <w:sz w:val="22"/>
                <w:szCs w:val="22"/>
              </w:rPr>
              <w:br/>
            </w:r>
            <w:r w:rsidRPr="00F51C63">
              <w:rPr>
                <w:rFonts w:ascii="Arial" w:hAnsi="Arial" w:cs="Arial"/>
                <w:b/>
                <w:color w:val="000000" w:themeColor="text1"/>
                <w:sz w:val="22"/>
                <w:szCs w:val="22"/>
              </w:rPr>
              <w:t>i zewnętrznym</w:t>
            </w:r>
          </w:p>
        </w:tc>
        <w:tc>
          <w:tcPr>
            <w:tcW w:w="815" w:type="pct"/>
            <w:vAlign w:val="center"/>
          </w:tcPr>
          <w:p w14:paraId="4A344B41"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p>
        </w:tc>
      </w:tr>
      <w:tr w:rsidR="006F4FD2" w:rsidRPr="00F51C63" w14:paraId="0FF9F054" w14:textId="77777777" w:rsidTr="00F51C63">
        <w:tc>
          <w:tcPr>
            <w:tcW w:w="4185" w:type="pct"/>
            <w:vAlign w:val="center"/>
          </w:tcPr>
          <w:p w14:paraId="206A2EF8" w14:textId="63BDF821" w:rsidR="007E26DC" w:rsidRPr="00F51C63" w:rsidRDefault="007E26DC" w:rsidP="00F51C63">
            <w:pPr>
              <w:spacing w:before="40" w:after="40" w:line="276" w:lineRule="auto"/>
              <w:rPr>
                <w:rFonts w:ascii="Arial" w:hAnsi="Arial" w:cs="Arial"/>
                <w:snapToGrid w:val="0"/>
                <w:color w:val="000000" w:themeColor="text1"/>
                <w:sz w:val="22"/>
                <w:szCs w:val="22"/>
              </w:rPr>
            </w:pPr>
            <w:r w:rsidRPr="00F51C63">
              <w:rPr>
                <w:rFonts w:ascii="Arial" w:hAnsi="Arial" w:cs="Arial"/>
                <w:snapToGrid w:val="0"/>
                <w:color w:val="000000" w:themeColor="text1"/>
                <w:sz w:val="22"/>
                <w:szCs w:val="22"/>
              </w:rPr>
              <w:t xml:space="preserve">Czy projekt Programu jest zgodny i komplementarny z obowiązującymi regulacjami prawa, wytycznymi MFiPR dotyczącymi spełnienia warunkowości podstawowej, wytycznymi JASPERS dotyczącymi metodologii opracowania regionalnych planów transportowych oraz właściwymi dokumentami krajowymi i unijnymi dotyczącymi nowego systemu programowania i wdrażania Europejskich Funduszy Strukturalnych i Inwestycyjnych (EFSI) w perspektywie finansowej </w:t>
            </w:r>
            <w:r w:rsidR="00F51C63">
              <w:rPr>
                <w:rFonts w:ascii="Arial" w:hAnsi="Arial" w:cs="Arial"/>
                <w:snapToGrid w:val="0"/>
                <w:color w:val="000000" w:themeColor="text1"/>
                <w:sz w:val="22"/>
                <w:szCs w:val="22"/>
              </w:rPr>
              <w:br/>
            </w:r>
            <w:r w:rsidRPr="00F51C63">
              <w:rPr>
                <w:rFonts w:ascii="Arial" w:hAnsi="Arial" w:cs="Arial"/>
                <w:snapToGrid w:val="0"/>
                <w:color w:val="000000" w:themeColor="text1"/>
                <w:sz w:val="22"/>
                <w:szCs w:val="22"/>
              </w:rPr>
              <w:t>2021-2027 oraz aktualnie obowiązującymi zasadami polityki regionalnej?</w:t>
            </w:r>
          </w:p>
        </w:tc>
        <w:tc>
          <w:tcPr>
            <w:tcW w:w="815" w:type="pct"/>
            <w:vAlign w:val="center"/>
          </w:tcPr>
          <w:p w14:paraId="2498AB8C"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r w:rsidR="006F4FD2" w:rsidRPr="00F51C63" w14:paraId="1891BCFA" w14:textId="77777777" w:rsidTr="00F51C63">
        <w:tc>
          <w:tcPr>
            <w:tcW w:w="4185" w:type="pct"/>
            <w:vAlign w:val="center"/>
          </w:tcPr>
          <w:p w14:paraId="02859186" w14:textId="3913FF0E" w:rsidR="007E26DC" w:rsidRPr="00F51C63" w:rsidRDefault="007E26DC" w:rsidP="00F51C63">
            <w:pPr>
              <w:spacing w:before="40" w:after="40" w:line="276" w:lineRule="auto"/>
              <w:rPr>
                <w:rFonts w:ascii="Arial" w:hAnsi="Arial" w:cs="Arial"/>
                <w:snapToGrid w:val="0"/>
                <w:color w:val="000000" w:themeColor="text1"/>
                <w:sz w:val="22"/>
                <w:szCs w:val="22"/>
              </w:rPr>
            </w:pPr>
            <w:r w:rsidRPr="00F51C63">
              <w:rPr>
                <w:rFonts w:ascii="Arial" w:hAnsi="Arial" w:cs="Arial"/>
                <w:snapToGrid w:val="0"/>
                <w:color w:val="000000" w:themeColor="text1"/>
                <w:sz w:val="22"/>
                <w:szCs w:val="22"/>
              </w:rPr>
              <w:t xml:space="preserve">Czy cele i kierunki rozwoju przyjęte w projekcie Programu są zgodne </w:t>
            </w:r>
            <w:r w:rsidR="00F51C63">
              <w:rPr>
                <w:rFonts w:ascii="Arial" w:hAnsi="Arial" w:cs="Arial"/>
                <w:snapToGrid w:val="0"/>
                <w:color w:val="000000" w:themeColor="text1"/>
                <w:sz w:val="22"/>
                <w:szCs w:val="22"/>
              </w:rPr>
              <w:br/>
            </w:r>
            <w:r w:rsidRPr="00F51C63">
              <w:rPr>
                <w:rFonts w:ascii="Arial" w:hAnsi="Arial" w:cs="Arial"/>
                <w:snapToGrid w:val="0"/>
                <w:color w:val="000000" w:themeColor="text1"/>
                <w:sz w:val="22"/>
                <w:szCs w:val="22"/>
              </w:rPr>
              <w:t xml:space="preserve">z najważniejszymi politykami i strategiami na poziomie unijnym </w:t>
            </w:r>
            <w:r w:rsidR="00F51C63">
              <w:rPr>
                <w:rFonts w:ascii="Arial" w:hAnsi="Arial" w:cs="Arial"/>
                <w:snapToGrid w:val="0"/>
                <w:color w:val="000000" w:themeColor="text1"/>
                <w:sz w:val="22"/>
                <w:szCs w:val="22"/>
              </w:rPr>
              <w:br/>
            </w:r>
            <w:r w:rsidRPr="00F51C63">
              <w:rPr>
                <w:rFonts w:ascii="Arial" w:hAnsi="Arial" w:cs="Arial"/>
                <w:snapToGrid w:val="0"/>
                <w:color w:val="000000" w:themeColor="text1"/>
                <w:sz w:val="22"/>
                <w:szCs w:val="22"/>
              </w:rPr>
              <w:t xml:space="preserve">i krajowym? </w:t>
            </w:r>
          </w:p>
        </w:tc>
        <w:tc>
          <w:tcPr>
            <w:tcW w:w="815" w:type="pct"/>
            <w:vAlign w:val="center"/>
          </w:tcPr>
          <w:p w14:paraId="592C6E56"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r w:rsidR="006F4FD2" w:rsidRPr="00F51C63" w14:paraId="2D077A36" w14:textId="77777777" w:rsidTr="00F51C63">
        <w:tc>
          <w:tcPr>
            <w:tcW w:w="4185" w:type="pct"/>
            <w:vAlign w:val="center"/>
          </w:tcPr>
          <w:p w14:paraId="2A0B843C" w14:textId="4B336D72" w:rsidR="007E26DC" w:rsidRPr="00F51C63" w:rsidRDefault="007E26DC" w:rsidP="00F51C63">
            <w:pPr>
              <w:spacing w:before="40" w:after="40" w:line="276" w:lineRule="auto"/>
              <w:rPr>
                <w:rFonts w:ascii="Arial" w:hAnsi="Arial" w:cs="Arial"/>
                <w:snapToGrid w:val="0"/>
                <w:color w:val="000000" w:themeColor="text1"/>
                <w:sz w:val="22"/>
                <w:szCs w:val="22"/>
              </w:rPr>
            </w:pPr>
            <w:r w:rsidRPr="00F51C63">
              <w:rPr>
                <w:rFonts w:ascii="Arial" w:hAnsi="Arial" w:cs="Arial"/>
                <w:snapToGrid w:val="0"/>
                <w:color w:val="000000" w:themeColor="text1"/>
                <w:sz w:val="22"/>
                <w:szCs w:val="22"/>
              </w:rPr>
              <w:t xml:space="preserve">Czy cele i kierunki rozwoju przyjęte w projekcie Programu są zgodne </w:t>
            </w:r>
            <w:r w:rsidR="00F51C63">
              <w:rPr>
                <w:rFonts w:ascii="Arial" w:hAnsi="Arial" w:cs="Arial"/>
                <w:snapToGrid w:val="0"/>
                <w:color w:val="000000" w:themeColor="text1"/>
                <w:sz w:val="22"/>
                <w:szCs w:val="22"/>
              </w:rPr>
              <w:br/>
            </w:r>
            <w:r w:rsidRPr="00F51C63">
              <w:rPr>
                <w:rFonts w:ascii="Arial" w:hAnsi="Arial" w:cs="Arial"/>
                <w:snapToGrid w:val="0"/>
                <w:color w:val="000000" w:themeColor="text1"/>
                <w:sz w:val="22"/>
                <w:szCs w:val="22"/>
              </w:rPr>
              <w:t>z zapisami Strategii rozwoju województwa - Podkarpackie 2030 oraz programu regionalnego Fundusze Europejskie dla Podkarpacia 2021-2027 (projekt)?</w:t>
            </w:r>
          </w:p>
        </w:tc>
        <w:tc>
          <w:tcPr>
            <w:tcW w:w="815" w:type="pct"/>
            <w:vAlign w:val="center"/>
          </w:tcPr>
          <w:p w14:paraId="16DCBB3B"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r w:rsidR="006F4FD2" w:rsidRPr="00F51C63" w14:paraId="02CCE5F7" w14:textId="77777777" w:rsidTr="00F51C63">
        <w:tc>
          <w:tcPr>
            <w:tcW w:w="4185" w:type="pct"/>
            <w:vAlign w:val="center"/>
          </w:tcPr>
          <w:p w14:paraId="12E830CD" w14:textId="77777777" w:rsidR="007E26DC" w:rsidRPr="00F51C63" w:rsidRDefault="007E26DC" w:rsidP="00F51C63">
            <w:pPr>
              <w:spacing w:before="40" w:after="40" w:line="276" w:lineRule="auto"/>
              <w:rPr>
                <w:rFonts w:ascii="Arial" w:hAnsi="Arial" w:cs="Arial"/>
                <w:snapToGrid w:val="0"/>
                <w:color w:val="000000" w:themeColor="text1"/>
                <w:sz w:val="22"/>
                <w:szCs w:val="22"/>
              </w:rPr>
            </w:pPr>
            <w:r w:rsidRPr="00F51C63">
              <w:rPr>
                <w:rFonts w:ascii="Arial" w:hAnsi="Arial" w:cs="Arial"/>
                <w:snapToGrid w:val="0"/>
                <w:color w:val="000000" w:themeColor="text1"/>
                <w:sz w:val="22"/>
                <w:szCs w:val="22"/>
              </w:rPr>
              <w:t>Czy występuje zgodność pomiędzy analizą SWOT a diagnozą i celami wskazanymi w Programie?</w:t>
            </w:r>
          </w:p>
        </w:tc>
        <w:tc>
          <w:tcPr>
            <w:tcW w:w="815" w:type="pct"/>
            <w:vAlign w:val="center"/>
          </w:tcPr>
          <w:p w14:paraId="70A4F160"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r w:rsidR="006F4FD2" w:rsidRPr="00F51C63" w14:paraId="12FB579D" w14:textId="77777777" w:rsidTr="00F51C63">
        <w:tc>
          <w:tcPr>
            <w:tcW w:w="4185" w:type="pct"/>
            <w:vAlign w:val="center"/>
          </w:tcPr>
          <w:p w14:paraId="099EF266" w14:textId="77777777" w:rsidR="007E26DC" w:rsidRPr="00F51C63" w:rsidRDefault="007E26DC" w:rsidP="00F51C63">
            <w:pPr>
              <w:spacing w:before="40" w:after="40" w:line="276" w:lineRule="auto"/>
              <w:rPr>
                <w:rFonts w:ascii="Arial" w:eastAsiaTheme="minorHAnsi" w:hAnsi="Arial" w:cs="Arial"/>
                <w:color w:val="000000" w:themeColor="text1"/>
                <w:sz w:val="22"/>
                <w:szCs w:val="22"/>
              </w:rPr>
            </w:pPr>
            <w:r w:rsidRPr="00F51C63">
              <w:rPr>
                <w:rFonts w:ascii="Arial" w:hAnsi="Arial" w:cs="Arial"/>
                <w:snapToGrid w:val="0"/>
                <w:color w:val="000000" w:themeColor="text1"/>
                <w:sz w:val="22"/>
                <w:szCs w:val="22"/>
              </w:rPr>
              <w:t>Czy projekt Programu jest wewnętrznie spójny, czytelny, logicznie powiązany oraz napisany zrozumiałym językiem?</w:t>
            </w:r>
          </w:p>
        </w:tc>
        <w:tc>
          <w:tcPr>
            <w:tcW w:w="815" w:type="pct"/>
            <w:vAlign w:val="center"/>
          </w:tcPr>
          <w:p w14:paraId="31C5F957" w14:textId="77777777" w:rsidR="007E26DC" w:rsidRPr="00F51C63" w:rsidRDefault="007E26DC" w:rsidP="00F51C63">
            <w:pPr>
              <w:spacing w:before="40" w:after="40" w:line="276" w:lineRule="auto"/>
              <w:jc w:val="center"/>
              <w:rPr>
                <w:rFonts w:ascii="Arial" w:eastAsiaTheme="minorHAnsi" w:hAnsi="Arial" w:cs="Arial"/>
                <w:color w:val="000000" w:themeColor="text1"/>
                <w:sz w:val="22"/>
                <w:szCs w:val="22"/>
              </w:rPr>
            </w:pPr>
            <w:r w:rsidRPr="00F51C63">
              <w:rPr>
                <w:rFonts w:ascii="Arial" w:eastAsiaTheme="minorHAnsi" w:hAnsi="Arial" w:cs="Arial"/>
                <w:color w:val="000000" w:themeColor="text1"/>
                <w:sz w:val="22"/>
                <w:szCs w:val="22"/>
              </w:rPr>
              <w:t>Tak</w:t>
            </w:r>
          </w:p>
        </w:tc>
      </w:tr>
    </w:tbl>
    <w:p w14:paraId="4F5CE489" w14:textId="366DB2F8" w:rsidR="007E26DC" w:rsidRPr="00F51C63" w:rsidRDefault="007E26DC" w:rsidP="00F51C63">
      <w:pPr>
        <w:spacing w:before="120" w:after="0" w:line="276" w:lineRule="auto"/>
        <w:rPr>
          <w:rFonts w:ascii="Arial" w:hAnsi="Arial" w:cs="Arial"/>
          <w:color w:val="000000" w:themeColor="text1"/>
          <w:sz w:val="22"/>
          <w:szCs w:val="22"/>
        </w:rPr>
      </w:pPr>
      <w:r w:rsidRPr="00F51C63">
        <w:rPr>
          <w:rFonts w:ascii="Arial" w:hAnsi="Arial" w:cs="Arial"/>
          <w:b/>
          <w:color w:val="000000" w:themeColor="text1"/>
          <w:sz w:val="22"/>
          <w:szCs w:val="22"/>
        </w:rPr>
        <w:t>*</w:t>
      </w:r>
      <w:r w:rsidR="002F3766" w:rsidRPr="00F51C63">
        <w:rPr>
          <w:rFonts w:ascii="Arial" w:hAnsi="Arial" w:cs="Arial"/>
          <w:color w:val="000000" w:themeColor="text1"/>
          <w:sz w:val="22"/>
          <w:szCs w:val="22"/>
        </w:rPr>
        <w:t xml:space="preserve"> </w:t>
      </w:r>
      <w:r w:rsidRPr="00F51C63">
        <w:rPr>
          <w:rFonts w:ascii="Arial" w:hAnsi="Arial" w:cs="Arial"/>
          <w:color w:val="000000" w:themeColor="text1"/>
          <w:sz w:val="22"/>
          <w:szCs w:val="22"/>
        </w:rPr>
        <w:t>Pytania, na które odpowiedź brzmi „tak, z pewnymi zastrzeżeniami” oznaczono gwiazdką (szerzej na ten temat w końcowym raporcie).</w:t>
      </w:r>
    </w:p>
    <w:p w14:paraId="39B82A55" w14:textId="71510106" w:rsidR="007E26DC" w:rsidRPr="00F51C63" w:rsidRDefault="007E26DC" w:rsidP="00F51C63">
      <w:pPr>
        <w:spacing w:before="120" w:after="120" w:line="276" w:lineRule="auto"/>
        <w:rPr>
          <w:rFonts w:ascii="Arial" w:hAnsi="Arial" w:cs="Arial"/>
          <w:b/>
          <w:color w:val="000000" w:themeColor="text1"/>
          <w:sz w:val="22"/>
          <w:szCs w:val="22"/>
        </w:rPr>
      </w:pPr>
      <w:r w:rsidRPr="00F51C63">
        <w:rPr>
          <w:rFonts w:ascii="Arial" w:hAnsi="Arial" w:cs="Arial"/>
          <w:color w:val="000000" w:themeColor="text1"/>
          <w:sz w:val="22"/>
          <w:szCs w:val="22"/>
        </w:rPr>
        <w:t xml:space="preserve">Źródło: </w:t>
      </w:r>
      <w:r w:rsidRPr="00F51C63">
        <w:rPr>
          <w:rFonts w:ascii="Arial" w:hAnsi="Arial" w:cs="Arial"/>
          <w:bCs/>
          <w:color w:val="000000" w:themeColor="text1"/>
          <w:sz w:val="22"/>
          <w:szCs w:val="22"/>
        </w:rPr>
        <w:t xml:space="preserve">Ewaluacja ex ante projektu </w:t>
      </w:r>
      <w:r w:rsidRPr="00F51C63">
        <w:rPr>
          <w:rFonts w:ascii="Arial" w:hAnsi="Arial" w:cs="Arial"/>
          <w:bCs/>
          <w:i/>
          <w:iCs/>
          <w:color w:val="000000" w:themeColor="text1"/>
          <w:sz w:val="22"/>
          <w:szCs w:val="22"/>
        </w:rPr>
        <w:t>Programu Strategicznego Rozwoju Transportu Województwa Podkarpackiego do roku 2030</w:t>
      </w:r>
      <w:r w:rsidRPr="00F51C63">
        <w:rPr>
          <w:rFonts w:ascii="Arial" w:hAnsi="Arial" w:cs="Arial"/>
          <w:bCs/>
          <w:color w:val="000000" w:themeColor="text1"/>
          <w:sz w:val="22"/>
          <w:szCs w:val="22"/>
        </w:rPr>
        <w:t xml:space="preserve">, Geoprofit, Warszawa – Rzeszów, </w:t>
      </w:r>
      <w:r w:rsidR="004D5104" w:rsidRPr="00F51C63">
        <w:rPr>
          <w:rFonts w:ascii="Arial" w:hAnsi="Arial" w:cs="Arial"/>
          <w:bCs/>
          <w:color w:val="000000" w:themeColor="text1"/>
          <w:sz w:val="22"/>
          <w:szCs w:val="22"/>
        </w:rPr>
        <w:t>k</w:t>
      </w:r>
      <w:r w:rsidRPr="00F51C63">
        <w:rPr>
          <w:rFonts w:ascii="Arial" w:hAnsi="Arial" w:cs="Arial"/>
          <w:bCs/>
          <w:color w:val="000000" w:themeColor="text1"/>
          <w:sz w:val="22"/>
          <w:szCs w:val="22"/>
        </w:rPr>
        <w:t>wiecień 2022</w:t>
      </w:r>
      <w:r w:rsidR="004D5104" w:rsidRPr="00F51C63">
        <w:rPr>
          <w:rFonts w:ascii="Arial" w:hAnsi="Arial" w:cs="Arial"/>
          <w:bCs/>
          <w:color w:val="000000" w:themeColor="text1"/>
          <w:sz w:val="22"/>
          <w:szCs w:val="22"/>
        </w:rPr>
        <w:t xml:space="preserve"> </w:t>
      </w:r>
      <w:r w:rsidR="00F51C63">
        <w:rPr>
          <w:rFonts w:ascii="Arial" w:hAnsi="Arial" w:cs="Arial"/>
          <w:bCs/>
          <w:color w:val="000000" w:themeColor="text1"/>
          <w:sz w:val="22"/>
          <w:szCs w:val="22"/>
        </w:rPr>
        <w:t>r.</w:t>
      </w:r>
    </w:p>
    <w:p w14:paraId="5E0AFFBF" w14:textId="2423486C" w:rsidR="007E26DC" w:rsidRPr="00F51C63" w:rsidRDefault="00B74691" w:rsidP="00F51C63">
      <w:pPr>
        <w:spacing w:after="0" w:line="276" w:lineRule="auto"/>
        <w:ind w:firstLine="709"/>
        <w:rPr>
          <w:rFonts w:ascii="Arial" w:hAnsi="Arial" w:cs="Arial"/>
          <w:color w:val="000000" w:themeColor="text1"/>
          <w:sz w:val="22"/>
          <w:szCs w:val="22"/>
        </w:rPr>
      </w:pPr>
      <w:r w:rsidRPr="00F51C63">
        <w:rPr>
          <w:rFonts w:ascii="Arial" w:hAnsi="Arial" w:cs="Arial"/>
          <w:color w:val="000000" w:themeColor="text1"/>
          <w:sz w:val="22"/>
          <w:szCs w:val="22"/>
        </w:rPr>
        <w:t xml:space="preserve">Ewaluator, w ramach oceny ex -ante wskazał następujące kluczowe cechy </w:t>
      </w:r>
      <w:r w:rsidRPr="00F51C63">
        <w:rPr>
          <w:rFonts w:ascii="Arial" w:hAnsi="Arial" w:cs="Arial"/>
          <w:i/>
          <w:iCs/>
          <w:color w:val="000000" w:themeColor="text1"/>
          <w:sz w:val="22"/>
          <w:szCs w:val="22"/>
        </w:rPr>
        <w:t>Programu Strategicznego Rozwoju Transportu Województwa Podkarpackiego do roku 2030</w:t>
      </w:r>
      <w:r w:rsidRPr="00F51C63">
        <w:rPr>
          <w:rFonts w:ascii="Arial" w:hAnsi="Arial" w:cs="Arial"/>
          <w:color w:val="000000" w:themeColor="text1"/>
          <w:sz w:val="22"/>
          <w:szCs w:val="22"/>
        </w:rPr>
        <w:t>:</w:t>
      </w:r>
    </w:p>
    <w:p w14:paraId="67023613" w14:textId="77777777" w:rsidR="007E26DC" w:rsidRPr="00F51C63" w:rsidRDefault="007E26DC" w:rsidP="00F51C63">
      <w:pPr>
        <w:pStyle w:val="Akapitzlist"/>
        <w:numPr>
          <w:ilvl w:val="0"/>
          <w:numId w:val="285"/>
        </w:numPr>
        <w:spacing w:after="0" w:line="276" w:lineRule="auto"/>
        <w:ind w:left="426" w:hanging="284"/>
        <w:contextualSpacing w:val="0"/>
        <w:rPr>
          <w:rFonts w:ascii="Arial" w:hAnsi="Arial" w:cs="Arial"/>
          <w:color w:val="000000" w:themeColor="text1"/>
          <w:sz w:val="22"/>
          <w:szCs w:val="22"/>
        </w:rPr>
      </w:pPr>
      <w:r w:rsidRPr="00F51C63">
        <w:rPr>
          <w:rFonts w:ascii="Arial" w:hAnsi="Arial" w:cs="Arial"/>
          <w:b/>
          <w:bCs/>
          <w:color w:val="000000" w:themeColor="text1"/>
          <w:sz w:val="22"/>
          <w:szCs w:val="22"/>
        </w:rPr>
        <w:t>Spójność z politykami i dokumentami przygotowywanymi na poziomie Unii Europejskiej i w Polsce</w:t>
      </w:r>
      <w:r w:rsidRPr="00F51C63">
        <w:rPr>
          <w:rFonts w:ascii="Arial" w:hAnsi="Arial" w:cs="Arial"/>
          <w:color w:val="000000" w:themeColor="text1"/>
          <w:sz w:val="22"/>
          <w:szCs w:val="22"/>
        </w:rPr>
        <w:t xml:space="preserve"> – analiza wykazała, że Program spełnia wymogi stawiane tego typu dokumentom i powinien przyczynić się do pozyskiwania zasobów zewnętrznych na podniesienie jakości szeroko rozumianego transportu w województwie;</w:t>
      </w:r>
    </w:p>
    <w:p w14:paraId="5AE16220" w14:textId="24EBEDAD" w:rsidR="007E26DC" w:rsidRPr="00F51C63" w:rsidRDefault="007E26DC" w:rsidP="00F51C63">
      <w:pPr>
        <w:pStyle w:val="Akapitzlist"/>
        <w:numPr>
          <w:ilvl w:val="0"/>
          <w:numId w:val="285"/>
        </w:numPr>
        <w:spacing w:after="0" w:line="276" w:lineRule="auto"/>
        <w:ind w:left="426" w:hanging="284"/>
        <w:contextualSpacing w:val="0"/>
        <w:rPr>
          <w:rFonts w:ascii="Arial" w:hAnsi="Arial" w:cs="Arial"/>
          <w:color w:val="000000" w:themeColor="text1"/>
          <w:sz w:val="22"/>
          <w:szCs w:val="22"/>
        </w:rPr>
      </w:pPr>
      <w:r w:rsidRPr="00F51C63">
        <w:rPr>
          <w:rFonts w:ascii="Arial" w:hAnsi="Arial" w:cs="Arial"/>
          <w:b/>
          <w:bCs/>
          <w:color w:val="000000" w:themeColor="text1"/>
          <w:sz w:val="22"/>
          <w:szCs w:val="22"/>
        </w:rPr>
        <w:t>Pozytywna implementacja wytycznych JASPERS</w:t>
      </w:r>
      <w:r w:rsidR="00A40131" w:rsidRPr="00F51C63">
        <w:rPr>
          <w:rFonts w:ascii="Arial" w:hAnsi="Arial" w:cs="Arial"/>
          <w:color w:val="000000" w:themeColor="text1"/>
          <w:sz w:val="22"/>
          <w:szCs w:val="22"/>
        </w:rPr>
        <w:t xml:space="preserve">. </w:t>
      </w:r>
      <w:bookmarkStart w:id="477" w:name="_Hlk101938198"/>
      <w:r w:rsidR="00D41E23" w:rsidRPr="00F51C63">
        <w:rPr>
          <w:rFonts w:ascii="Arial" w:hAnsi="Arial" w:cs="Arial"/>
          <w:color w:val="000000" w:themeColor="text1"/>
          <w:sz w:val="22"/>
          <w:szCs w:val="22"/>
        </w:rPr>
        <w:t xml:space="preserve">Cecha wymaga szczególnego podkreślenia, ponieważ wdrożenie wytycznych gwarantuje nie tylko właściwe podejście do planowania rozwiązań dotyczących transportu, ale również pozwala zadbać, </w:t>
      </w:r>
      <w:r w:rsidR="00D41E23" w:rsidRPr="00F51C63">
        <w:rPr>
          <w:rFonts w:ascii="Arial" w:hAnsi="Arial" w:cs="Arial"/>
          <w:color w:val="000000" w:themeColor="text1"/>
          <w:sz w:val="22"/>
          <w:szCs w:val="22"/>
        </w:rPr>
        <w:br/>
        <w:t xml:space="preserve">z uwzględnieniem specyfiki regionu i kraju, w którym program jest przygotowywany, </w:t>
      </w:r>
      <w:r w:rsidR="00F51C63">
        <w:rPr>
          <w:rFonts w:ascii="Arial" w:hAnsi="Arial" w:cs="Arial"/>
          <w:color w:val="000000" w:themeColor="text1"/>
          <w:sz w:val="22"/>
          <w:szCs w:val="22"/>
        </w:rPr>
        <w:br/>
      </w:r>
      <w:r w:rsidR="00D41E23" w:rsidRPr="00F51C63">
        <w:rPr>
          <w:rFonts w:ascii="Arial" w:hAnsi="Arial" w:cs="Arial"/>
          <w:color w:val="000000" w:themeColor="text1"/>
          <w:sz w:val="22"/>
          <w:szCs w:val="22"/>
        </w:rPr>
        <w:t>o jak najlepsze pozytywne efekty oddziaływania transportu na rozwój społeczno-gospodarczy, jakość życia i stan środowiska przyrodniczego poprze</w:t>
      </w:r>
      <w:r w:rsidR="00F51C63">
        <w:rPr>
          <w:rFonts w:ascii="Arial" w:hAnsi="Arial" w:cs="Arial"/>
          <w:color w:val="000000" w:themeColor="text1"/>
          <w:sz w:val="22"/>
          <w:szCs w:val="22"/>
        </w:rPr>
        <w:t xml:space="preserve">z ograniczanie emisji. Zgodnie </w:t>
      </w:r>
      <w:r w:rsidR="00D41E23" w:rsidRPr="00F51C63">
        <w:rPr>
          <w:rFonts w:ascii="Arial" w:hAnsi="Arial" w:cs="Arial"/>
          <w:color w:val="000000" w:themeColor="text1"/>
          <w:sz w:val="22"/>
          <w:szCs w:val="22"/>
        </w:rPr>
        <w:t>z oczekiwaniami JASPERS dokument odnosi się do wszystkich wytycznych w zakresie metodyki opracowania regionalnych planów transportowych.</w:t>
      </w:r>
      <w:r w:rsidRPr="00F51C63">
        <w:rPr>
          <w:rFonts w:ascii="Arial" w:hAnsi="Arial" w:cs="Arial"/>
          <w:color w:val="000000" w:themeColor="text1"/>
          <w:sz w:val="22"/>
          <w:szCs w:val="22"/>
        </w:rPr>
        <w:t xml:space="preserve"> Program był również przygotowany i konsultowany z udziałem dużej liczby interesariuszy;</w:t>
      </w:r>
      <w:bookmarkEnd w:id="477"/>
    </w:p>
    <w:p w14:paraId="137E3CB2" w14:textId="1E480F1A" w:rsidR="007E26DC" w:rsidRPr="00F51C63" w:rsidRDefault="007E26DC" w:rsidP="00F51C63">
      <w:pPr>
        <w:pStyle w:val="Akapitzlist"/>
        <w:numPr>
          <w:ilvl w:val="0"/>
          <w:numId w:val="285"/>
        </w:numPr>
        <w:spacing w:after="0" w:line="276" w:lineRule="auto"/>
        <w:ind w:left="426" w:hanging="284"/>
        <w:contextualSpacing w:val="0"/>
        <w:rPr>
          <w:rFonts w:ascii="Arial" w:hAnsi="Arial" w:cs="Arial"/>
          <w:color w:val="000000" w:themeColor="text1"/>
          <w:sz w:val="22"/>
          <w:szCs w:val="22"/>
        </w:rPr>
      </w:pPr>
      <w:r w:rsidRPr="00F51C63">
        <w:rPr>
          <w:rFonts w:ascii="Arial" w:hAnsi="Arial" w:cs="Arial"/>
          <w:b/>
          <w:bCs/>
          <w:color w:val="000000" w:themeColor="text1"/>
          <w:sz w:val="22"/>
          <w:szCs w:val="22"/>
        </w:rPr>
        <w:t xml:space="preserve">Silny związek ze </w:t>
      </w:r>
      <w:r w:rsidRPr="00F51C63">
        <w:rPr>
          <w:rFonts w:ascii="Arial" w:hAnsi="Arial" w:cs="Arial"/>
          <w:b/>
          <w:bCs/>
          <w:i/>
          <w:iCs/>
          <w:color w:val="000000" w:themeColor="text1"/>
          <w:sz w:val="22"/>
          <w:szCs w:val="22"/>
        </w:rPr>
        <w:t>Strategią rozwoju województwa – Podkarpackie 2030</w:t>
      </w:r>
      <w:r w:rsidRPr="00F51C63">
        <w:rPr>
          <w:rFonts w:ascii="Arial" w:hAnsi="Arial" w:cs="Arial"/>
          <w:color w:val="000000" w:themeColor="text1"/>
          <w:sz w:val="22"/>
          <w:szCs w:val="22"/>
        </w:rPr>
        <w:t xml:space="preserve">. Program właściwie i szczegółowo podejmuje kluczowe zagadnienia sformułowane </w:t>
      </w:r>
      <w:r w:rsidR="00A40131" w:rsidRPr="00F51C63">
        <w:rPr>
          <w:rFonts w:ascii="Arial" w:hAnsi="Arial" w:cs="Arial"/>
          <w:color w:val="000000" w:themeColor="text1"/>
          <w:sz w:val="22"/>
          <w:szCs w:val="22"/>
        </w:rPr>
        <w:br/>
      </w:r>
      <w:r w:rsidRPr="00F51C63">
        <w:rPr>
          <w:rFonts w:ascii="Arial" w:hAnsi="Arial" w:cs="Arial"/>
          <w:color w:val="000000" w:themeColor="text1"/>
          <w:sz w:val="22"/>
          <w:szCs w:val="22"/>
        </w:rPr>
        <w:t xml:space="preserve">w najważniejszym dokumencie samorządu województwa. Realizacja programu wpłynie na ograniczanie słabości regionu wskazanych w Strategii, a jednocześnie odpowiada na zewnętrzne uwarunkowania rozwoju województwa (określone w szansach </w:t>
      </w:r>
      <w:r w:rsidR="00A40131" w:rsidRPr="00F51C63">
        <w:rPr>
          <w:rFonts w:ascii="Arial" w:hAnsi="Arial" w:cs="Arial"/>
          <w:color w:val="000000" w:themeColor="text1"/>
          <w:sz w:val="22"/>
          <w:szCs w:val="22"/>
        </w:rPr>
        <w:br/>
      </w:r>
      <w:r w:rsidRPr="00F51C63">
        <w:rPr>
          <w:rFonts w:ascii="Arial" w:hAnsi="Arial" w:cs="Arial"/>
          <w:color w:val="000000" w:themeColor="text1"/>
          <w:sz w:val="22"/>
          <w:szCs w:val="22"/>
        </w:rPr>
        <w:t>i zagrożeniach);</w:t>
      </w:r>
    </w:p>
    <w:p w14:paraId="6CEB2EAF" w14:textId="3D6634DC" w:rsidR="007E26DC" w:rsidRPr="00F51C63" w:rsidRDefault="007E26DC" w:rsidP="00F51C63">
      <w:pPr>
        <w:pStyle w:val="Akapitzlist"/>
        <w:numPr>
          <w:ilvl w:val="0"/>
          <w:numId w:val="285"/>
        </w:numPr>
        <w:spacing w:after="0" w:line="276" w:lineRule="auto"/>
        <w:ind w:left="426" w:hanging="284"/>
        <w:contextualSpacing w:val="0"/>
        <w:rPr>
          <w:rFonts w:ascii="Arial" w:hAnsi="Arial" w:cs="Arial"/>
          <w:color w:val="000000" w:themeColor="text1"/>
          <w:sz w:val="22"/>
          <w:szCs w:val="22"/>
        </w:rPr>
      </w:pPr>
      <w:r w:rsidRPr="00F51C63">
        <w:rPr>
          <w:rFonts w:ascii="Arial" w:hAnsi="Arial" w:cs="Arial"/>
          <w:b/>
          <w:bCs/>
          <w:color w:val="000000" w:themeColor="text1"/>
          <w:sz w:val="22"/>
          <w:szCs w:val="22"/>
        </w:rPr>
        <w:t>Wyjście naprzeciw oczekiwaniom samorządów lokalnych</w:t>
      </w:r>
      <w:r w:rsidRPr="00F51C63">
        <w:rPr>
          <w:rFonts w:ascii="Arial" w:hAnsi="Arial" w:cs="Arial"/>
          <w:color w:val="000000" w:themeColor="text1"/>
          <w:sz w:val="22"/>
          <w:szCs w:val="22"/>
        </w:rPr>
        <w:t>.</w:t>
      </w:r>
      <w:r w:rsidR="00D41E23" w:rsidRPr="00F51C63">
        <w:rPr>
          <w:rFonts w:ascii="Arial" w:hAnsi="Arial" w:cs="Arial"/>
          <w:color w:val="000000" w:themeColor="text1"/>
          <w:sz w:val="22"/>
          <w:szCs w:val="22"/>
        </w:rPr>
        <w:t xml:space="preserve"> </w:t>
      </w:r>
      <w:bookmarkStart w:id="478" w:name="_Hlk101938355"/>
      <w:r w:rsidR="00D41E23" w:rsidRPr="00F51C63">
        <w:rPr>
          <w:rFonts w:ascii="Arial" w:hAnsi="Arial" w:cs="Arial"/>
          <w:color w:val="000000" w:themeColor="text1"/>
          <w:sz w:val="22"/>
          <w:szCs w:val="22"/>
        </w:rPr>
        <w:t>Zarówno w układach miejskich obszarów funkcjonalnych, jak i innych obszarów funkcjonalnych, jak Bieszczady, czy „Błękitny San”, a także na poziomie pojedynczych gmin zagadnienia transportu jako czynnika umożliwiającego rozwój należą do kluczowych podejmowanych w strategiach rozwoju. Należy podkreślić, że cele Programu będą umożliwiały również realizację Planów zrównoważonego rozwoju publicznego transportu zbiorowego dla powiatów województwa podkarpackiego</w:t>
      </w:r>
      <w:bookmarkEnd w:id="478"/>
      <w:r w:rsidR="00D41E23" w:rsidRPr="00F51C63">
        <w:rPr>
          <w:rFonts w:ascii="Arial" w:hAnsi="Arial" w:cs="Arial"/>
          <w:color w:val="000000" w:themeColor="text1"/>
          <w:sz w:val="22"/>
          <w:szCs w:val="22"/>
        </w:rPr>
        <w:t>;</w:t>
      </w:r>
    </w:p>
    <w:p w14:paraId="156AEE5B" w14:textId="77777777" w:rsidR="007E26DC" w:rsidRPr="00F51C63" w:rsidRDefault="007E26DC" w:rsidP="00F51C63">
      <w:pPr>
        <w:pStyle w:val="Akapitzlist"/>
        <w:numPr>
          <w:ilvl w:val="0"/>
          <w:numId w:val="285"/>
        </w:numPr>
        <w:spacing w:after="0" w:line="276" w:lineRule="auto"/>
        <w:ind w:left="426" w:hanging="284"/>
        <w:contextualSpacing w:val="0"/>
        <w:rPr>
          <w:rFonts w:ascii="Arial" w:hAnsi="Arial" w:cs="Arial"/>
          <w:color w:val="000000" w:themeColor="text1"/>
          <w:sz w:val="22"/>
          <w:szCs w:val="22"/>
        </w:rPr>
      </w:pPr>
      <w:r w:rsidRPr="00F51C63">
        <w:rPr>
          <w:rFonts w:ascii="Arial" w:hAnsi="Arial" w:cs="Arial"/>
          <w:b/>
          <w:bCs/>
          <w:color w:val="000000" w:themeColor="text1"/>
          <w:sz w:val="22"/>
          <w:szCs w:val="22"/>
        </w:rPr>
        <w:t>Zachowaną logikę interwencji uwzględniającą uwarunkowania prawne w Polsce</w:t>
      </w:r>
      <w:r w:rsidRPr="00F51C63">
        <w:rPr>
          <w:rFonts w:ascii="Arial" w:hAnsi="Arial" w:cs="Arial"/>
          <w:color w:val="000000" w:themeColor="text1"/>
          <w:sz w:val="22"/>
          <w:szCs w:val="22"/>
        </w:rPr>
        <w:t>. Program koncentruje się na działaniach, które leżą w gestii samorządu województwa, otwierając jednocześnie możliwości pośredniego oddziaływania na te działania, których realizacja zależy od instytucji centralnych;</w:t>
      </w:r>
    </w:p>
    <w:p w14:paraId="4246D96C" w14:textId="6A21FBAE" w:rsidR="007E26DC" w:rsidRPr="00F51C63" w:rsidRDefault="007E26DC" w:rsidP="00F51C63">
      <w:pPr>
        <w:pStyle w:val="Akapitzlist"/>
        <w:numPr>
          <w:ilvl w:val="0"/>
          <w:numId w:val="285"/>
        </w:numPr>
        <w:spacing w:after="0" w:line="276" w:lineRule="auto"/>
        <w:ind w:left="426" w:hanging="284"/>
        <w:contextualSpacing w:val="0"/>
        <w:rPr>
          <w:rFonts w:ascii="Arial" w:hAnsi="Arial" w:cs="Arial"/>
          <w:color w:val="000000" w:themeColor="text1"/>
          <w:sz w:val="22"/>
          <w:szCs w:val="22"/>
        </w:rPr>
      </w:pPr>
      <w:r w:rsidRPr="00F51C63">
        <w:rPr>
          <w:rFonts w:ascii="Arial" w:hAnsi="Arial" w:cs="Arial"/>
          <w:b/>
          <w:bCs/>
          <w:color w:val="000000" w:themeColor="text1"/>
          <w:sz w:val="22"/>
          <w:szCs w:val="22"/>
        </w:rPr>
        <w:t>Jasno sprecyzowane kryteria wyboru projektów</w:t>
      </w:r>
      <w:r w:rsidR="00A40131" w:rsidRPr="00F51C63">
        <w:rPr>
          <w:rFonts w:ascii="Arial" w:hAnsi="Arial" w:cs="Arial"/>
          <w:color w:val="000000" w:themeColor="text1"/>
          <w:sz w:val="22"/>
          <w:szCs w:val="22"/>
        </w:rPr>
        <w:t>. P</w:t>
      </w:r>
      <w:r w:rsidRPr="00F51C63">
        <w:rPr>
          <w:rFonts w:ascii="Arial" w:hAnsi="Arial" w:cs="Arial"/>
          <w:color w:val="000000" w:themeColor="text1"/>
          <w:sz w:val="22"/>
          <w:szCs w:val="22"/>
        </w:rPr>
        <w:t xml:space="preserve">omimo różnych ocen przyjętego systemu kryteriów wyboru projektów priorytetowych dokonane rozstrzygnięcie preferujące projekty powiązane z siecią TEN-T oraz projekty już rozpoczęte jest logiczne </w:t>
      </w:r>
      <w:r w:rsidR="00A40131" w:rsidRPr="00F51C63">
        <w:rPr>
          <w:rFonts w:ascii="Arial" w:hAnsi="Arial" w:cs="Arial"/>
          <w:color w:val="000000" w:themeColor="text1"/>
          <w:sz w:val="22"/>
          <w:szCs w:val="22"/>
        </w:rPr>
        <w:br/>
      </w:r>
      <w:r w:rsidRPr="00F51C63">
        <w:rPr>
          <w:rFonts w:ascii="Arial" w:hAnsi="Arial" w:cs="Arial"/>
          <w:color w:val="000000" w:themeColor="text1"/>
          <w:sz w:val="22"/>
          <w:szCs w:val="22"/>
        </w:rPr>
        <w:t xml:space="preserve">i uzasadnione z punktu widzenia efektywności osiągania celów i szerszego oddziaływania Programu; </w:t>
      </w:r>
    </w:p>
    <w:p w14:paraId="330FDF33" w14:textId="0A09BC40" w:rsidR="007E26DC" w:rsidRPr="00F51C63" w:rsidRDefault="007E26DC" w:rsidP="00F51C63">
      <w:pPr>
        <w:pStyle w:val="Akapitzlist"/>
        <w:numPr>
          <w:ilvl w:val="0"/>
          <w:numId w:val="285"/>
        </w:numPr>
        <w:spacing w:after="0" w:line="276" w:lineRule="auto"/>
        <w:ind w:left="426" w:hanging="284"/>
        <w:contextualSpacing w:val="0"/>
        <w:rPr>
          <w:rFonts w:ascii="Arial" w:hAnsi="Arial" w:cs="Arial"/>
          <w:color w:val="000000" w:themeColor="text1"/>
          <w:sz w:val="22"/>
          <w:szCs w:val="22"/>
        </w:rPr>
      </w:pPr>
      <w:r w:rsidRPr="00F51C63">
        <w:rPr>
          <w:rFonts w:ascii="Arial" w:hAnsi="Arial" w:cs="Arial"/>
          <w:b/>
          <w:bCs/>
          <w:color w:val="000000" w:themeColor="text1"/>
          <w:sz w:val="22"/>
          <w:szCs w:val="22"/>
        </w:rPr>
        <w:t>Wysoka spójność wewnętrzna dokumentu</w:t>
      </w:r>
      <w:r w:rsidRPr="00F51C63">
        <w:rPr>
          <w:rFonts w:ascii="Arial" w:hAnsi="Arial" w:cs="Arial"/>
          <w:color w:val="000000" w:themeColor="text1"/>
          <w:sz w:val="22"/>
          <w:szCs w:val="22"/>
        </w:rPr>
        <w:t xml:space="preserve">. Podkreślenia wymaga fakt, że za część Programu należy traktować dokument diagnostyczny, w którym sprecyzowano problemy i wyzwania transportowe. Te zagadnienia znalazły swoje odzwierciedlenie </w:t>
      </w:r>
      <w:r w:rsidR="00F51C63">
        <w:rPr>
          <w:rFonts w:ascii="Arial" w:hAnsi="Arial" w:cs="Arial"/>
          <w:color w:val="000000" w:themeColor="text1"/>
          <w:sz w:val="22"/>
          <w:szCs w:val="22"/>
        </w:rPr>
        <w:br/>
      </w:r>
      <w:r w:rsidRPr="00F51C63">
        <w:rPr>
          <w:rFonts w:ascii="Arial" w:hAnsi="Arial" w:cs="Arial"/>
          <w:color w:val="000000" w:themeColor="text1"/>
          <w:sz w:val="22"/>
          <w:szCs w:val="22"/>
        </w:rPr>
        <w:t xml:space="preserve">w dokumencie głównym. </w:t>
      </w:r>
      <w:r w:rsidR="00D41E23" w:rsidRPr="00F51C63">
        <w:rPr>
          <w:rFonts w:ascii="Arial" w:hAnsi="Arial" w:cs="Arial"/>
          <w:color w:val="000000" w:themeColor="text1"/>
          <w:sz w:val="22"/>
          <w:szCs w:val="22"/>
        </w:rPr>
        <w:t>Odnotowano także wysoką spójność w układzie diagnoza – analiza SWOT – cele Programu.</w:t>
      </w:r>
    </w:p>
    <w:p w14:paraId="02F26EA3" w14:textId="77777777" w:rsidR="007E26DC" w:rsidRPr="00F51C63" w:rsidRDefault="007E26DC" w:rsidP="00F51C63">
      <w:pPr>
        <w:pStyle w:val="Akapitzlist"/>
        <w:numPr>
          <w:ilvl w:val="0"/>
          <w:numId w:val="285"/>
        </w:numPr>
        <w:spacing w:after="0" w:line="276" w:lineRule="auto"/>
        <w:ind w:left="426" w:hanging="284"/>
        <w:contextualSpacing w:val="0"/>
        <w:rPr>
          <w:rFonts w:ascii="Arial" w:hAnsi="Arial" w:cs="Arial"/>
          <w:color w:val="000000" w:themeColor="text1"/>
          <w:sz w:val="22"/>
          <w:szCs w:val="22"/>
        </w:rPr>
      </w:pPr>
      <w:r w:rsidRPr="00F51C63">
        <w:rPr>
          <w:rFonts w:ascii="Arial" w:hAnsi="Arial" w:cs="Arial"/>
          <w:b/>
          <w:bCs/>
          <w:color w:val="000000" w:themeColor="text1"/>
          <w:sz w:val="22"/>
          <w:szCs w:val="22"/>
        </w:rPr>
        <w:t>Właściwie określone ryzyka realizacji Programu</w:t>
      </w:r>
      <w:r w:rsidRPr="00F51C63">
        <w:rPr>
          <w:rFonts w:ascii="Arial" w:hAnsi="Arial" w:cs="Arial"/>
          <w:color w:val="000000" w:themeColor="text1"/>
          <w:sz w:val="22"/>
          <w:szCs w:val="22"/>
        </w:rPr>
        <w:t>. Z wyjątkiem kilku propozycji doprecyzowania zapisów, wszystkie ryzyka są realne i uwzględniają również ostatnie wydarzenia związane z wojną w Ukrainie.</w:t>
      </w:r>
    </w:p>
    <w:p w14:paraId="37BFBF47" w14:textId="39A1D760" w:rsidR="00A40131" w:rsidRPr="00F51C63" w:rsidRDefault="007E26DC" w:rsidP="00F51C63">
      <w:pPr>
        <w:pStyle w:val="Akapitzlist"/>
        <w:numPr>
          <w:ilvl w:val="0"/>
          <w:numId w:val="285"/>
        </w:numPr>
        <w:spacing w:after="120" w:line="276" w:lineRule="auto"/>
        <w:ind w:left="426" w:hanging="284"/>
        <w:contextualSpacing w:val="0"/>
        <w:rPr>
          <w:rFonts w:ascii="Arial" w:hAnsi="Arial" w:cs="Arial"/>
          <w:color w:val="000000" w:themeColor="text1"/>
          <w:sz w:val="22"/>
          <w:szCs w:val="22"/>
        </w:rPr>
      </w:pPr>
      <w:r w:rsidRPr="00F51C63">
        <w:rPr>
          <w:rFonts w:ascii="Arial" w:hAnsi="Arial" w:cs="Arial"/>
          <w:b/>
          <w:bCs/>
          <w:color w:val="000000" w:themeColor="text1"/>
          <w:sz w:val="22"/>
          <w:szCs w:val="22"/>
        </w:rPr>
        <w:t>Właściwe założenia dotyczące wdrażania Programu</w:t>
      </w:r>
      <w:r w:rsidR="00A40131" w:rsidRPr="00F51C63">
        <w:rPr>
          <w:rFonts w:ascii="Arial" w:hAnsi="Arial" w:cs="Arial"/>
          <w:color w:val="000000" w:themeColor="text1"/>
          <w:sz w:val="22"/>
          <w:szCs w:val="22"/>
        </w:rPr>
        <w:t>. W</w:t>
      </w:r>
      <w:r w:rsidRPr="00F51C63">
        <w:rPr>
          <w:rFonts w:ascii="Arial" w:hAnsi="Arial" w:cs="Arial"/>
          <w:color w:val="000000" w:themeColor="text1"/>
          <w:sz w:val="22"/>
          <w:szCs w:val="22"/>
        </w:rPr>
        <w:t xml:space="preserve"> szczególności precyzyjnie wskazano podmiot odpowiedzialny za wdrażanie Programu, którym będzie Zespół ds. Monitorowania i Koordynowania Programu, w skład którego mają wejść przedstawiciele podstawowych jednostek Urzędu Marszałkowskiego oraz interesariuszy zewnętrznych. Istotne jest również połączenie monitorowania Programu z systemem monitoringu funduszy europejskich w województwie.</w:t>
      </w:r>
    </w:p>
    <w:p w14:paraId="29EEF6C0" w14:textId="5FE44607" w:rsidR="007E26DC" w:rsidRPr="00F51C63" w:rsidRDefault="007E26DC" w:rsidP="00F51C63">
      <w:pPr>
        <w:spacing w:after="120" w:line="276" w:lineRule="auto"/>
        <w:ind w:firstLine="709"/>
        <w:rPr>
          <w:rFonts w:ascii="Arial" w:hAnsi="Arial" w:cs="Arial"/>
          <w:color w:val="000000" w:themeColor="text1"/>
          <w:sz w:val="22"/>
          <w:szCs w:val="22"/>
        </w:rPr>
      </w:pPr>
      <w:r w:rsidRPr="00F51C63">
        <w:rPr>
          <w:rFonts w:ascii="Arial" w:hAnsi="Arial" w:cs="Arial"/>
          <w:color w:val="000000" w:themeColor="text1"/>
          <w:sz w:val="22"/>
          <w:szCs w:val="22"/>
        </w:rPr>
        <w:t>Ewaluator wskazał pięć szczegółowych rekomendacji dotyczących ocenianego dokumentu. Wszystkie zaproponowane w ramach oceny ex-ante rekomendacje zostały wdrożone do dokumentu. Poniżej przedstawiono wykaz rekomendacji wraz z odniesieniem się w zakresie sposobu ich wdrożenia w dokumencie.</w:t>
      </w:r>
    </w:p>
    <w:p w14:paraId="6DFD9BED" w14:textId="3553B3FB" w:rsidR="00492BBB" w:rsidRPr="00F51C63" w:rsidRDefault="007E26DC" w:rsidP="00F51C63">
      <w:pPr>
        <w:spacing w:after="120" w:line="276" w:lineRule="auto"/>
        <w:rPr>
          <w:rFonts w:ascii="Arial" w:hAnsi="Arial" w:cs="Arial"/>
          <w:color w:val="000000" w:themeColor="text1"/>
          <w:sz w:val="22"/>
          <w:szCs w:val="22"/>
        </w:rPr>
      </w:pPr>
      <w:r w:rsidRPr="00F51C63">
        <w:rPr>
          <w:rFonts w:ascii="Arial" w:hAnsi="Arial" w:cs="Arial"/>
          <w:color w:val="000000" w:themeColor="text1"/>
          <w:sz w:val="22"/>
          <w:szCs w:val="22"/>
        </w:rPr>
        <w:t>Rekomendacje oceny ex-ante projektu Programu</w:t>
      </w:r>
    </w:p>
    <w:tbl>
      <w:tblPr>
        <w:tblStyle w:val="Tabela-Siatka"/>
        <w:tblW w:w="5000" w:type="pct"/>
        <w:tblLook w:val="04A0" w:firstRow="1" w:lastRow="0" w:firstColumn="1" w:lastColumn="0" w:noHBand="0" w:noVBand="1"/>
        <w:tblCaption w:val="Rekomendacje oceny ex-ante projektu Programu"/>
        <w:tblDescription w:val="Tabela zawiera Lp. Rekomendacja ewaluatora do ocenianego dokumentu Odniesienie się do rekomendacji i sposób wdrożenia do dokumentu "/>
      </w:tblPr>
      <w:tblGrid>
        <w:gridCol w:w="562"/>
        <w:gridCol w:w="2835"/>
        <w:gridCol w:w="5666"/>
      </w:tblGrid>
      <w:tr w:rsidR="006F4FD2" w:rsidRPr="009B78DA" w14:paraId="494D435D" w14:textId="77777777" w:rsidTr="00F51C63">
        <w:trPr>
          <w:tblHeader/>
        </w:trPr>
        <w:tc>
          <w:tcPr>
            <w:tcW w:w="310" w:type="pct"/>
            <w:shd w:val="clear" w:color="auto" w:fill="DEEAF6" w:themeFill="accent1" w:themeFillTint="33"/>
          </w:tcPr>
          <w:p w14:paraId="055666DB" w14:textId="77777777" w:rsidR="007E26DC" w:rsidRPr="009B78DA" w:rsidRDefault="007E26DC" w:rsidP="00F51C63">
            <w:pPr>
              <w:spacing w:line="276" w:lineRule="auto"/>
              <w:rPr>
                <w:rFonts w:ascii="Arial" w:hAnsi="Arial" w:cs="Arial"/>
                <w:b/>
                <w:bCs/>
                <w:color w:val="000000" w:themeColor="text1"/>
                <w:sz w:val="22"/>
                <w:szCs w:val="22"/>
              </w:rPr>
            </w:pPr>
            <w:bookmarkStart w:id="479" w:name="_Hlk101438788"/>
            <w:r w:rsidRPr="009B78DA">
              <w:rPr>
                <w:rFonts w:ascii="Arial" w:hAnsi="Arial" w:cs="Arial"/>
                <w:b/>
                <w:bCs/>
                <w:color w:val="000000" w:themeColor="text1"/>
                <w:sz w:val="22"/>
                <w:szCs w:val="22"/>
              </w:rPr>
              <w:t>Lp.</w:t>
            </w:r>
          </w:p>
        </w:tc>
        <w:tc>
          <w:tcPr>
            <w:tcW w:w="1564" w:type="pct"/>
            <w:shd w:val="clear" w:color="auto" w:fill="DEEAF6" w:themeFill="accent1" w:themeFillTint="33"/>
          </w:tcPr>
          <w:p w14:paraId="5EB4920F" w14:textId="77777777" w:rsidR="007E26DC" w:rsidRPr="009B78DA" w:rsidRDefault="007E26DC" w:rsidP="00F51C63">
            <w:pPr>
              <w:spacing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Rekomendacja ewaluatora do ocenianego dokumentu </w:t>
            </w:r>
          </w:p>
        </w:tc>
        <w:tc>
          <w:tcPr>
            <w:tcW w:w="3126" w:type="pct"/>
            <w:shd w:val="clear" w:color="auto" w:fill="DEEAF6" w:themeFill="accent1" w:themeFillTint="33"/>
          </w:tcPr>
          <w:p w14:paraId="5054339F" w14:textId="77777777" w:rsidR="007E26DC" w:rsidRPr="009B78DA" w:rsidRDefault="007E26DC" w:rsidP="00F51C63">
            <w:pPr>
              <w:spacing w:line="276" w:lineRule="auto"/>
              <w:rPr>
                <w:rFonts w:ascii="Arial" w:hAnsi="Arial" w:cs="Arial"/>
                <w:b/>
                <w:bCs/>
                <w:color w:val="000000" w:themeColor="text1"/>
                <w:sz w:val="22"/>
                <w:szCs w:val="22"/>
              </w:rPr>
            </w:pPr>
            <w:r w:rsidRPr="009B78DA">
              <w:rPr>
                <w:rFonts w:ascii="Arial" w:hAnsi="Arial" w:cs="Arial"/>
                <w:b/>
                <w:bCs/>
                <w:color w:val="000000" w:themeColor="text1"/>
                <w:sz w:val="22"/>
                <w:szCs w:val="22"/>
              </w:rPr>
              <w:t xml:space="preserve">Odniesienie się do rekomendacji i sposób wdrożenia do dokumentu </w:t>
            </w:r>
          </w:p>
        </w:tc>
      </w:tr>
      <w:tr w:rsidR="006F4FD2" w:rsidRPr="009B78DA" w14:paraId="728BF21D" w14:textId="77777777" w:rsidTr="00F51C63">
        <w:tc>
          <w:tcPr>
            <w:tcW w:w="310" w:type="pct"/>
          </w:tcPr>
          <w:p w14:paraId="341E1024" w14:textId="77777777" w:rsidR="007E26DC" w:rsidRPr="009B78DA" w:rsidRDefault="007E26DC" w:rsidP="00F51C63">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1. </w:t>
            </w:r>
          </w:p>
        </w:tc>
        <w:tc>
          <w:tcPr>
            <w:tcW w:w="1564" w:type="pct"/>
          </w:tcPr>
          <w:p w14:paraId="005E0841" w14:textId="77777777" w:rsidR="007E26DC" w:rsidRPr="009B78DA" w:rsidRDefault="007E26DC" w:rsidP="00F51C63">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Wprowadzenie celu głównego, jakim jest: „Efektywne i skuteczne wdrażanie działań, przyczyniających się do realizacji celów </w:t>
            </w:r>
            <w:r w:rsidRPr="009B78DA">
              <w:rPr>
                <w:rFonts w:ascii="Arial" w:hAnsi="Arial" w:cs="Arial"/>
                <w:i/>
                <w:iCs/>
                <w:color w:val="000000" w:themeColor="text1"/>
                <w:sz w:val="22"/>
                <w:szCs w:val="22"/>
              </w:rPr>
              <w:t>Strategii rozwoju województwa – Podkarpackie 2030</w:t>
            </w:r>
            <w:r w:rsidRPr="009B78DA">
              <w:rPr>
                <w:rFonts w:ascii="Arial" w:hAnsi="Arial" w:cs="Arial"/>
                <w:color w:val="000000" w:themeColor="text1"/>
                <w:sz w:val="22"/>
                <w:szCs w:val="22"/>
              </w:rPr>
              <w:t>, w obrębie transportu”;</w:t>
            </w:r>
          </w:p>
        </w:tc>
        <w:tc>
          <w:tcPr>
            <w:tcW w:w="3126" w:type="pct"/>
          </w:tcPr>
          <w:p w14:paraId="326F4A8E" w14:textId="3F957272" w:rsidR="007E26DC" w:rsidRPr="009B78DA" w:rsidRDefault="007E26DC" w:rsidP="00F51C63">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Rekomendacja została wdrożona do dokumentu. Rekomendacja wynikała z zapisów </w:t>
            </w:r>
            <w:r w:rsidRPr="009B78DA">
              <w:rPr>
                <w:rFonts w:ascii="Arial" w:hAnsi="Arial" w:cs="Arial"/>
                <w:i/>
                <w:iCs/>
                <w:color w:val="000000" w:themeColor="text1"/>
                <w:sz w:val="22"/>
                <w:szCs w:val="22"/>
              </w:rPr>
              <w:t xml:space="preserve">Ustawy </w:t>
            </w:r>
            <w:r w:rsidR="002E6FDD">
              <w:rPr>
                <w:rFonts w:ascii="Arial" w:hAnsi="Arial" w:cs="Arial"/>
                <w:i/>
                <w:iCs/>
                <w:color w:val="000000" w:themeColor="text1"/>
                <w:sz w:val="22"/>
                <w:szCs w:val="22"/>
              </w:rPr>
              <w:br/>
            </w:r>
            <w:r w:rsidRPr="009B78DA">
              <w:rPr>
                <w:rFonts w:ascii="Arial" w:hAnsi="Arial" w:cs="Arial"/>
                <w:i/>
                <w:iCs/>
                <w:color w:val="000000" w:themeColor="text1"/>
                <w:sz w:val="22"/>
                <w:szCs w:val="22"/>
              </w:rPr>
              <w:t xml:space="preserve">o prowadzeniu polityki rozwoju </w:t>
            </w:r>
            <w:r w:rsidRPr="009B78DA">
              <w:rPr>
                <w:rFonts w:ascii="Arial" w:hAnsi="Arial" w:cs="Arial"/>
                <w:color w:val="000000" w:themeColor="text1"/>
                <w:sz w:val="22"/>
                <w:szCs w:val="22"/>
              </w:rPr>
              <w:t>(</w:t>
            </w:r>
            <w:r w:rsidR="001F7F77" w:rsidRPr="009B78DA">
              <w:rPr>
                <w:rFonts w:ascii="Arial" w:hAnsi="Arial" w:cs="Arial"/>
                <w:color w:val="000000" w:themeColor="text1"/>
                <w:sz w:val="22"/>
                <w:szCs w:val="22"/>
              </w:rPr>
              <w:t>Dz.U. z 2023 r. poz.1259</w:t>
            </w:r>
            <w:r w:rsidRPr="009B78DA">
              <w:rPr>
                <w:rFonts w:ascii="Arial" w:hAnsi="Arial" w:cs="Arial"/>
                <w:color w:val="000000" w:themeColor="text1"/>
                <w:sz w:val="22"/>
                <w:szCs w:val="22"/>
              </w:rPr>
              <w:t xml:space="preserve">, art. 17 ust.1 pkt. 3). W dokumencie podkreślono, że PSRT WP jest zasadniczym narzędziem realizacji </w:t>
            </w:r>
            <w:r w:rsidRPr="009B78DA">
              <w:rPr>
                <w:rFonts w:ascii="Arial" w:hAnsi="Arial" w:cs="Arial"/>
                <w:i/>
                <w:iCs/>
                <w:color w:val="000000" w:themeColor="text1"/>
                <w:sz w:val="22"/>
                <w:szCs w:val="22"/>
              </w:rPr>
              <w:t>Strategii Rozwoju Województwa – Podkarpackie 2030</w:t>
            </w:r>
            <w:r w:rsidRPr="009B78DA">
              <w:rPr>
                <w:rFonts w:ascii="Arial" w:hAnsi="Arial" w:cs="Arial"/>
                <w:color w:val="000000" w:themeColor="text1"/>
                <w:sz w:val="22"/>
                <w:szCs w:val="22"/>
              </w:rPr>
              <w:t xml:space="preserve"> uchwalonej przez Sejmik Województwa Podkarpackiego w dniu 28 września 2020 r. (Uchwała Nr XXVII/458/20), toteż zaproponowany cel główny jest zgodny z zapisami Programu. Cel główny został w</w:t>
            </w:r>
            <w:r w:rsidR="002E6FDD">
              <w:rPr>
                <w:rFonts w:ascii="Arial" w:hAnsi="Arial" w:cs="Arial"/>
                <w:color w:val="000000" w:themeColor="text1"/>
                <w:sz w:val="22"/>
                <w:szCs w:val="22"/>
              </w:rPr>
              <w:t>prowadzony do tekstu dokumentu.</w:t>
            </w:r>
          </w:p>
        </w:tc>
      </w:tr>
      <w:tr w:rsidR="006F4FD2" w:rsidRPr="009B78DA" w14:paraId="42871024" w14:textId="77777777" w:rsidTr="00F51C63">
        <w:tc>
          <w:tcPr>
            <w:tcW w:w="310" w:type="pct"/>
          </w:tcPr>
          <w:p w14:paraId="7DD44A87" w14:textId="77777777" w:rsidR="007E26DC" w:rsidRPr="009B78DA" w:rsidRDefault="007E26DC" w:rsidP="00F51C63">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2.</w:t>
            </w:r>
          </w:p>
        </w:tc>
        <w:tc>
          <w:tcPr>
            <w:tcW w:w="1564" w:type="pct"/>
          </w:tcPr>
          <w:p w14:paraId="543C10F5" w14:textId="77777777" w:rsidR="007E26DC" w:rsidRPr="009B78DA" w:rsidRDefault="007E26DC" w:rsidP="00F51C63">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Modyfikacja zmiany nazwy celu horyzontalnego „Transport publiczny” na „Rozwój transportu publicznego”;</w:t>
            </w:r>
          </w:p>
        </w:tc>
        <w:tc>
          <w:tcPr>
            <w:tcW w:w="3126" w:type="pct"/>
          </w:tcPr>
          <w:p w14:paraId="1F6360D8" w14:textId="35A67A7B" w:rsidR="007E26DC" w:rsidRPr="009B78DA" w:rsidRDefault="007E26DC" w:rsidP="00F51C63">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Rekomendacja została wdrożona do dokumentu. Zapisy Celu horyzontalnego „Transport publiczny” zostały zmodyfikowane w całym dokumencie, zgodnie </w:t>
            </w:r>
            <w:r w:rsidR="001E62EC" w:rsidRPr="009B78DA">
              <w:rPr>
                <w:rFonts w:ascii="Arial" w:hAnsi="Arial" w:cs="Arial"/>
                <w:color w:val="000000" w:themeColor="text1"/>
                <w:sz w:val="22"/>
                <w:szCs w:val="22"/>
              </w:rPr>
              <w:br/>
            </w:r>
            <w:r w:rsidRPr="009B78DA">
              <w:rPr>
                <w:rFonts w:ascii="Arial" w:hAnsi="Arial" w:cs="Arial"/>
                <w:color w:val="000000" w:themeColor="text1"/>
                <w:sz w:val="22"/>
                <w:szCs w:val="22"/>
              </w:rPr>
              <w:t>z sugestią ewaluatora.</w:t>
            </w:r>
          </w:p>
        </w:tc>
      </w:tr>
      <w:tr w:rsidR="006F4FD2" w:rsidRPr="009B78DA" w14:paraId="6B6EFD56" w14:textId="77777777" w:rsidTr="00F51C63">
        <w:tc>
          <w:tcPr>
            <w:tcW w:w="310" w:type="pct"/>
          </w:tcPr>
          <w:p w14:paraId="52830E77" w14:textId="77777777" w:rsidR="007E26DC" w:rsidRPr="009B78DA" w:rsidRDefault="007E26DC" w:rsidP="00F51C63">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3. </w:t>
            </w:r>
          </w:p>
        </w:tc>
        <w:tc>
          <w:tcPr>
            <w:tcW w:w="1564" w:type="pct"/>
          </w:tcPr>
          <w:p w14:paraId="036D470C" w14:textId="6D882F11" w:rsidR="007E26DC" w:rsidRPr="009B78DA" w:rsidRDefault="007E26DC" w:rsidP="00F51C63">
            <w:pPr>
              <w:spacing w:line="276" w:lineRule="auto"/>
              <w:rPr>
                <w:rFonts w:ascii="Arial" w:hAnsi="Arial" w:cs="Arial"/>
                <w:color w:val="000000" w:themeColor="text1"/>
                <w:sz w:val="22"/>
                <w:szCs w:val="22"/>
              </w:rPr>
            </w:pPr>
            <w:bookmarkStart w:id="480" w:name="_Hlk101425877"/>
            <w:r w:rsidRPr="009B78DA">
              <w:rPr>
                <w:rFonts w:ascii="Arial" w:hAnsi="Arial" w:cs="Arial"/>
                <w:color w:val="000000" w:themeColor="text1"/>
                <w:sz w:val="22"/>
                <w:szCs w:val="22"/>
              </w:rPr>
              <w:t>Doprecyzowanie nazw i pomiaru części wskaźników monitorowania wraz ze wskazaniem oczekiwanego trendu zmiany.</w:t>
            </w:r>
            <w:bookmarkEnd w:id="480"/>
          </w:p>
        </w:tc>
        <w:tc>
          <w:tcPr>
            <w:tcW w:w="3126" w:type="pct"/>
          </w:tcPr>
          <w:p w14:paraId="124B3CFA" w14:textId="613FECB4" w:rsidR="007E26DC" w:rsidRPr="009B78DA" w:rsidRDefault="007E26DC" w:rsidP="00F51C63">
            <w:pPr>
              <w:spacing w:line="276" w:lineRule="auto"/>
              <w:rPr>
                <w:rFonts w:ascii="Arial" w:eastAsiaTheme="minorHAnsi" w:hAnsi="Arial" w:cs="Arial"/>
                <w:color w:val="000000" w:themeColor="text1"/>
                <w:sz w:val="22"/>
                <w:szCs w:val="22"/>
              </w:rPr>
            </w:pPr>
            <w:r w:rsidRPr="009B78DA">
              <w:rPr>
                <w:rFonts w:ascii="Arial" w:hAnsi="Arial" w:cs="Arial"/>
                <w:color w:val="000000" w:themeColor="text1"/>
                <w:sz w:val="22"/>
                <w:szCs w:val="22"/>
              </w:rPr>
              <w:t xml:space="preserve">Rekomendacja została wdrożona do dokumentu. </w:t>
            </w:r>
            <w:r w:rsidR="002E6FDD">
              <w:rPr>
                <w:rFonts w:ascii="Arial" w:hAnsi="Arial" w:cs="Arial"/>
                <w:color w:val="000000" w:themeColor="text1"/>
                <w:sz w:val="22"/>
                <w:szCs w:val="22"/>
              </w:rPr>
              <w:br/>
            </w:r>
            <w:r w:rsidRPr="009B78DA">
              <w:rPr>
                <w:rFonts w:ascii="Arial" w:hAnsi="Arial" w:cs="Arial"/>
                <w:color w:val="000000" w:themeColor="text1"/>
                <w:sz w:val="22"/>
                <w:szCs w:val="22"/>
              </w:rPr>
              <w:t xml:space="preserve">W rozdziale IV </w:t>
            </w:r>
            <w:r w:rsidRPr="009B78DA">
              <w:rPr>
                <w:rFonts w:ascii="Arial" w:hAnsi="Arial" w:cs="Arial"/>
                <w:i/>
                <w:iCs/>
                <w:color w:val="000000" w:themeColor="text1"/>
                <w:sz w:val="22"/>
                <w:szCs w:val="22"/>
              </w:rPr>
              <w:t>System wdrażania i realizacji</w:t>
            </w:r>
            <w:r w:rsidRPr="009B78DA">
              <w:rPr>
                <w:rFonts w:ascii="Arial" w:hAnsi="Arial" w:cs="Arial"/>
                <w:color w:val="000000" w:themeColor="text1"/>
                <w:sz w:val="22"/>
                <w:szCs w:val="22"/>
              </w:rPr>
              <w:t>, w części poświęconej systemowi monitoringu i ewaluacji (oceny realizacji Programu</w:t>
            </w:r>
            <w:r w:rsidR="003608CA" w:rsidRPr="009B78DA">
              <w:rPr>
                <w:rFonts w:ascii="Arial" w:hAnsi="Arial" w:cs="Arial"/>
                <w:color w:val="000000" w:themeColor="text1"/>
                <w:sz w:val="22"/>
                <w:szCs w:val="22"/>
              </w:rPr>
              <w:t xml:space="preserve"> - </w:t>
            </w:r>
            <w:r w:rsidRPr="009B78DA">
              <w:rPr>
                <w:rFonts w:ascii="Arial" w:hAnsi="Arial" w:cs="Arial"/>
                <w:color w:val="000000" w:themeColor="text1"/>
                <w:sz w:val="22"/>
                <w:szCs w:val="22"/>
              </w:rPr>
              <w:t xml:space="preserve">Tabela 34.) </w:t>
            </w:r>
            <w:r w:rsidR="003608CA" w:rsidRPr="009B78DA">
              <w:rPr>
                <w:rFonts w:ascii="Arial" w:hAnsi="Arial" w:cs="Arial"/>
                <w:color w:val="000000" w:themeColor="text1"/>
                <w:sz w:val="22"/>
                <w:szCs w:val="22"/>
              </w:rPr>
              <w:t>d</w:t>
            </w:r>
            <w:r w:rsidRPr="009B78DA">
              <w:rPr>
                <w:rFonts w:ascii="Arial" w:hAnsi="Arial" w:cs="Arial"/>
                <w:color w:val="000000" w:themeColor="text1"/>
                <w:sz w:val="22"/>
                <w:szCs w:val="22"/>
              </w:rPr>
              <w:t xml:space="preserve">okonano uszczegółowienia dotyczącego zakresu badanych zjawisk oraz uzupełnienia polegającego na wskazaniu oczekiwanych trendów, które powinny być </w:t>
            </w:r>
            <w:r w:rsidR="002E6FDD">
              <w:rPr>
                <w:rFonts w:ascii="Arial" w:hAnsi="Arial" w:cs="Arial"/>
                <w:color w:val="000000" w:themeColor="text1"/>
                <w:sz w:val="22"/>
                <w:szCs w:val="22"/>
              </w:rPr>
              <w:br/>
            </w:r>
            <w:r w:rsidRPr="009B78DA">
              <w:rPr>
                <w:rFonts w:ascii="Arial" w:hAnsi="Arial" w:cs="Arial"/>
                <w:color w:val="000000" w:themeColor="text1"/>
                <w:sz w:val="22"/>
                <w:szCs w:val="22"/>
              </w:rPr>
              <w:t>w przyszłości obserwowane jako efekt realizacji zaplanowanych w Programie interwencji.</w:t>
            </w:r>
          </w:p>
        </w:tc>
      </w:tr>
      <w:tr w:rsidR="006F4FD2" w:rsidRPr="009B78DA" w14:paraId="192A5A92" w14:textId="77777777" w:rsidTr="00F51C63">
        <w:tc>
          <w:tcPr>
            <w:tcW w:w="310" w:type="pct"/>
          </w:tcPr>
          <w:p w14:paraId="1BF9C721" w14:textId="77777777" w:rsidR="007E26DC" w:rsidRPr="009B78DA" w:rsidRDefault="007E26DC" w:rsidP="00F51C63">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4. </w:t>
            </w:r>
          </w:p>
        </w:tc>
        <w:tc>
          <w:tcPr>
            <w:tcW w:w="1564" w:type="pct"/>
          </w:tcPr>
          <w:p w14:paraId="5858EC44" w14:textId="77777777" w:rsidR="007E26DC" w:rsidRPr="009B78DA" w:rsidRDefault="007E26DC" w:rsidP="00F51C63">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Uzupełnienie informacji dotyczących przyszłego procesu ewaluacji Programu.</w:t>
            </w:r>
          </w:p>
        </w:tc>
        <w:tc>
          <w:tcPr>
            <w:tcW w:w="3126" w:type="pct"/>
          </w:tcPr>
          <w:p w14:paraId="79930B6D" w14:textId="71096265" w:rsidR="007E26DC" w:rsidRPr="009B78DA" w:rsidRDefault="007E26DC" w:rsidP="00F51C63">
            <w:pPr>
              <w:spacing w:line="276" w:lineRule="auto"/>
              <w:rPr>
                <w:rFonts w:ascii="Arial" w:hAnsi="Arial" w:cs="Arial"/>
                <w:color w:val="000000" w:themeColor="text1"/>
                <w:sz w:val="22"/>
                <w:szCs w:val="22"/>
              </w:rPr>
            </w:pPr>
            <w:r w:rsidRPr="009B78DA">
              <w:rPr>
                <w:rFonts w:ascii="Arial" w:hAnsi="Arial" w:cs="Arial"/>
                <w:color w:val="000000" w:themeColor="text1"/>
                <w:sz w:val="22"/>
                <w:szCs w:val="22"/>
              </w:rPr>
              <w:t xml:space="preserve">Rekomendacja została wdrożona do dokumentu. </w:t>
            </w:r>
            <w:r w:rsidR="002E6FDD">
              <w:rPr>
                <w:rFonts w:ascii="Arial" w:hAnsi="Arial" w:cs="Arial"/>
                <w:color w:val="000000" w:themeColor="text1"/>
                <w:sz w:val="22"/>
                <w:szCs w:val="22"/>
              </w:rPr>
              <w:br/>
            </w:r>
            <w:r w:rsidRPr="009B78DA">
              <w:rPr>
                <w:rFonts w:ascii="Arial" w:hAnsi="Arial" w:cs="Arial"/>
                <w:color w:val="000000" w:themeColor="text1"/>
                <w:sz w:val="22"/>
                <w:szCs w:val="22"/>
              </w:rPr>
              <w:t xml:space="preserve">W rozdziale IV </w:t>
            </w:r>
            <w:r w:rsidRPr="009B78DA">
              <w:rPr>
                <w:rFonts w:ascii="Arial" w:hAnsi="Arial" w:cs="Arial"/>
                <w:i/>
                <w:iCs/>
                <w:color w:val="000000" w:themeColor="text1"/>
                <w:sz w:val="22"/>
                <w:szCs w:val="22"/>
              </w:rPr>
              <w:t>System wdrażania i realizacji</w:t>
            </w:r>
            <w:r w:rsidRPr="009B78DA">
              <w:rPr>
                <w:rFonts w:ascii="Arial" w:hAnsi="Arial" w:cs="Arial"/>
                <w:color w:val="000000" w:themeColor="text1"/>
                <w:sz w:val="22"/>
                <w:szCs w:val="22"/>
              </w:rPr>
              <w:t>, w części poświęconej systemowi monitoringu i ewaluacji oceny realizacji Programu, uzupełniono informację</w:t>
            </w:r>
            <w:r w:rsidR="001E62EC" w:rsidRPr="009B78DA">
              <w:rPr>
                <w:rFonts w:ascii="Arial" w:hAnsi="Arial" w:cs="Arial"/>
                <w:color w:val="000000" w:themeColor="text1"/>
                <w:sz w:val="22"/>
                <w:szCs w:val="22"/>
              </w:rPr>
              <w:t>.</w:t>
            </w:r>
            <w:r w:rsidRPr="009B78DA">
              <w:rPr>
                <w:rFonts w:ascii="Arial" w:hAnsi="Arial" w:cs="Arial"/>
                <w:color w:val="000000" w:themeColor="text1"/>
                <w:sz w:val="22"/>
                <w:szCs w:val="22"/>
              </w:rPr>
              <w:t xml:space="preserve"> </w:t>
            </w:r>
            <w:r w:rsidR="001E62EC" w:rsidRPr="009B78DA">
              <w:rPr>
                <w:rFonts w:ascii="Arial" w:hAnsi="Arial" w:cs="Arial"/>
                <w:color w:val="000000" w:themeColor="text1"/>
                <w:sz w:val="22"/>
                <w:szCs w:val="22"/>
              </w:rPr>
              <w:t>P</w:t>
            </w:r>
            <w:r w:rsidRPr="009B78DA">
              <w:rPr>
                <w:rFonts w:ascii="Arial" w:hAnsi="Arial" w:cs="Arial"/>
                <w:color w:val="000000" w:themeColor="text1"/>
                <w:sz w:val="22"/>
                <w:szCs w:val="22"/>
              </w:rPr>
              <w:t>odkreślono, że</w:t>
            </w:r>
            <w:r w:rsidR="001E62EC" w:rsidRPr="009B78DA">
              <w:rPr>
                <w:rFonts w:ascii="Arial" w:hAnsi="Arial" w:cs="Arial"/>
                <w:color w:val="000000" w:themeColor="text1"/>
                <w:sz w:val="22"/>
                <w:szCs w:val="22"/>
              </w:rPr>
              <w:t xml:space="preserve"> </w:t>
            </w:r>
            <w:r w:rsidRPr="009B78DA">
              <w:rPr>
                <w:rFonts w:ascii="Arial" w:hAnsi="Arial" w:cs="Arial"/>
                <w:color w:val="000000" w:themeColor="text1"/>
                <w:sz w:val="22"/>
                <w:szCs w:val="22"/>
              </w:rPr>
              <w:t xml:space="preserve">w celu skutecznego i efektywnego wdrażania PSRT WP będzie realizowany proces bieżącego monitoringu i ewaluacji, realizowany na podstawie prowadzonych procesów badawczych oraz przygotowywanych analiz przez podmioty zaangażowane w proces wdrażania dokumentu. Jednocześnie, zgodnie z zapisami Ustawy </w:t>
            </w:r>
            <w:r w:rsidR="002E6FDD">
              <w:rPr>
                <w:rFonts w:ascii="Arial" w:hAnsi="Arial" w:cs="Arial"/>
                <w:color w:val="000000" w:themeColor="text1"/>
                <w:sz w:val="22"/>
                <w:szCs w:val="22"/>
              </w:rPr>
              <w:br/>
            </w:r>
            <w:r w:rsidRPr="009B78DA">
              <w:rPr>
                <w:rFonts w:ascii="Arial" w:hAnsi="Arial" w:cs="Arial"/>
                <w:color w:val="000000" w:themeColor="text1"/>
                <w:sz w:val="22"/>
                <w:szCs w:val="22"/>
              </w:rPr>
              <w:t>o prowadzeniu polityki rozwoju</w:t>
            </w:r>
            <w:r w:rsidRPr="009B78DA">
              <w:rPr>
                <w:rFonts w:ascii="Arial" w:hAnsi="Arial" w:cs="Arial"/>
                <w:i/>
                <w:iCs/>
                <w:color w:val="000000" w:themeColor="text1"/>
                <w:sz w:val="22"/>
                <w:szCs w:val="22"/>
              </w:rPr>
              <w:t xml:space="preserve"> </w:t>
            </w:r>
            <w:r w:rsidRPr="009B78DA">
              <w:rPr>
                <w:rFonts w:ascii="Arial" w:hAnsi="Arial" w:cs="Arial"/>
                <w:color w:val="000000" w:themeColor="text1"/>
                <w:sz w:val="22"/>
                <w:szCs w:val="22"/>
              </w:rPr>
              <w:t>(</w:t>
            </w:r>
            <w:r w:rsidR="001F7F77" w:rsidRPr="009B78DA">
              <w:rPr>
                <w:rFonts w:ascii="Arial" w:hAnsi="Arial" w:cs="Arial"/>
                <w:color w:val="000000" w:themeColor="text1"/>
                <w:sz w:val="22"/>
                <w:szCs w:val="22"/>
              </w:rPr>
              <w:t xml:space="preserve">Dz.U. z 2023 r. poz.1259 </w:t>
            </w:r>
            <w:r w:rsidRPr="009B78DA">
              <w:rPr>
                <w:rFonts w:ascii="Arial" w:hAnsi="Arial" w:cs="Arial"/>
                <w:color w:val="000000" w:themeColor="text1"/>
                <w:sz w:val="22"/>
                <w:szCs w:val="22"/>
              </w:rPr>
              <w:t xml:space="preserve">art. 17 ust.1 pkt. 6, lit. b), w niniejszej części dokumentu </w:t>
            </w:r>
            <w:r w:rsidR="001E62EC" w:rsidRPr="009B78DA">
              <w:rPr>
                <w:rFonts w:ascii="Arial" w:hAnsi="Arial" w:cs="Arial"/>
                <w:color w:val="000000" w:themeColor="text1"/>
                <w:sz w:val="22"/>
                <w:szCs w:val="22"/>
              </w:rPr>
              <w:t>dodano</w:t>
            </w:r>
            <w:r w:rsidRPr="009B78DA">
              <w:rPr>
                <w:rFonts w:ascii="Arial" w:hAnsi="Arial" w:cs="Arial"/>
                <w:color w:val="000000" w:themeColor="text1"/>
                <w:sz w:val="22"/>
                <w:szCs w:val="22"/>
              </w:rPr>
              <w:t xml:space="preserve"> informację w zakresie planowanego przeprowadzenia procesu ewaluacji ex-post oceniającej założone w ramach Programu efekty. Tego typu badanie dokonane będzie po zakończeniu realizowanej interwencji obejmując całościową jej ocenę, a na przygotowanie raportu ewaluacyjnego podsumowującego efekty realizacji PSRT WP, planuje się zabezpieczyć środki finansowe adekwatne do cen rynkowych, w ramach budżetu Samorzą</w:t>
            </w:r>
            <w:r w:rsidR="002E6FDD">
              <w:rPr>
                <w:rFonts w:ascii="Arial" w:hAnsi="Arial" w:cs="Arial"/>
                <w:color w:val="000000" w:themeColor="text1"/>
                <w:sz w:val="22"/>
                <w:szCs w:val="22"/>
              </w:rPr>
              <w:t>du Województwa Podkarpackiego.</w:t>
            </w:r>
          </w:p>
        </w:tc>
      </w:tr>
      <w:tr w:rsidR="007E26DC" w:rsidRPr="006F4FD2" w14:paraId="36EB2296" w14:textId="77777777" w:rsidTr="00F51C63">
        <w:tc>
          <w:tcPr>
            <w:tcW w:w="310" w:type="pct"/>
          </w:tcPr>
          <w:p w14:paraId="08E16431" w14:textId="77777777" w:rsidR="007E26DC" w:rsidRPr="006F4FD2" w:rsidRDefault="007E26DC" w:rsidP="00F51C63">
            <w:pPr>
              <w:spacing w:line="276" w:lineRule="auto"/>
              <w:rPr>
                <w:rFonts w:ascii="Arial" w:hAnsi="Arial" w:cs="Arial"/>
                <w:sz w:val="22"/>
                <w:szCs w:val="22"/>
              </w:rPr>
            </w:pPr>
            <w:r w:rsidRPr="006F4FD2">
              <w:rPr>
                <w:rFonts w:ascii="Arial" w:hAnsi="Arial" w:cs="Arial"/>
                <w:sz w:val="22"/>
                <w:szCs w:val="22"/>
              </w:rPr>
              <w:t xml:space="preserve">5. </w:t>
            </w:r>
          </w:p>
        </w:tc>
        <w:tc>
          <w:tcPr>
            <w:tcW w:w="1564" w:type="pct"/>
          </w:tcPr>
          <w:p w14:paraId="652C2B37" w14:textId="6D5F2C9C" w:rsidR="007E26DC" w:rsidRPr="006F4FD2" w:rsidRDefault="007E26DC" w:rsidP="00F51C63">
            <w:pPr>
              <w:spacing w:line="276" w:lineRule="auto"/>
              <w:rPr>
                <w:rFonts w:ascii="Arial" w:hAnsi="Arial" w:cs="Arial"/>
                <w:sz w:val="22"/>
                <w:szCs w:val="22"/>
              </w:rPr>
            </w:pPr>
            <w:r w:rsidRPr="006F4FD2">
              <w:rPr>
                <w:rFonts w:ascii="Arial" w:hAnsi="Arial" w:cs="Arial"/>
                <w:sz w:val="22"/>
                <w:szCs w:val="22"/>
              </w:rPr>
              <w:t>Określenia zakresu planowanej interwencji, która będzie realizowana w ujęciu terytorialnym, możliwym do</w:t>
            </w:r>
            <w:r w:rsidR="002E6FDD">
              <w:rPr>
                <w:rFonts w:ascii="Arial" w:hAnsi="Arial" w:cs="Arial"/>
                <w:sz w:val="22"/>
                <w:szCs w:val="22"/>
              </w:rPr>
              <w:t xml:space="preserve"> objęcia kontraktem sektorowym.</w:t>
            </w:r>
          </w:p>
        </w:tc>
        <w:tc>
          <w:tcPr>
            <w:tcW w:w="3126" w:type="pct"/>
          </w:tcPr>
          <w:p w14:paraId="6A82CC79" w14:textId="306310B0" w:rsidR="007E26DC" w:rsidRPr="002D3958" w:rsidRDefault="007E26DC" w:rsidP="00F51C63">
            <w:pPr>
              <w:spacing w:line="276" w:lineRule="auto"/>
              <w:rPr>
                <w:rFonts w:ascii="Arial" w:hAnsi="Arial" w:cs="Arial"/>
                <w:b/>
                <w:bCs/>
                <w:color w:val="000000" w:themeColor="text1"/>
                <w:sz w:val="22"/>
                <w:szCs w:val="22"/>
              </w:rPr>
            </w:pPr>
            <w:r w:rsidRPr="002D3958">
              <w:rPr>
                <w:rFonts w:ascii="Arial" w:hAnsi="Arial" w:cs="Arial"/>
                <w:color w:val="000000" w:themeColor="text1"/>
                <w:sz w:val="22"/>
                <w:szCs w:val="22"/>
              </w:rPr>
              <w:t xml:space="preserve">Rekomendacja została wdrożona do dokumentu. Rekomendacja wynikała z zapisów </w:t>
            </w:r>
            <w:r w:rsidRPr="002D3958">
              <w:rPr>
                <w:rFonts w:ascii="Arial" w:hAnsi="Arial" w:cs="Arial"/>
                <w:i/>
                <w:iCs/>
                <w:color w:val="000000" w:themeColor="text1"/>
                <w:sz w:val="22"/>
                <w:szCs w:val="22"/>
              </w:rPr>
              <w:t xml:space="preserve">Ustawy </w:t>
            </w:r>
            <w:r w:rsidR="002E6FDD">
              <w:rPr>
                <w:rFonts w:ascii="Arial" w:hAnsi="Arial" w:cs="Arial"/>
                <w:i/>
                <w:iCs/>
                <w:color w:val="000000" w:themeColor="text1"/>
                <w:sz w:val="22"/>
                <w:szCs w:val="22"/>
              </w:rPr>
              <w:br/>
            </w:r>
            <w:r w:rsidRPr="002D3958">
              <w:rPr>
                <w:rFonts w:ascii="Arial" w:hAnsi="Arial" w:cs="Arial"/>
                <w:i/>
                <w:iCs/>
                <w:color w:val="000000" w:themeColor="text1"/>
                <w:sz w:val="22"/>
                <w:szCs w:val="22"/>
              </w:rPr>
              <w:t xml:space="preserve">o prowadzeniu polityki rozwoju </w:t>
            </w:r>
            <w:r w:rsidRPr="002D3958">
              <w:rPr>
                <w:rFonts w:ascii="Arial" w:hAnsi="Arial" w:cs="Arial"/>
                <w:color w:val="000000" w:themeColor="text1"/>
                <w:sz w:val="22"/>
                <w:szCs w:val="22"/>
              </w:rPr>
              <w:t>(</w:t>
            </w:r>
            <w:r w:rsidR="001F7F77" w:rsidRPr="002D3958">
              <w:rPr>
                <w:rFonts w:ascii="Arial" w:hAnsi="Arial" w:cs="Arial"/>
                <w:color w:val="000000" w:themeColor="text1"/>
                <w:sz w:val="22"/>
                <w:szCs w:val="22"/>
              </w:rPr>
              <w:t>Dz.U. z 2023 r. poz.1259</w:t>
            </w:r>
            <w:r w:rsidRPr="002D3958">
              <w:rPr>
                <w:rFonts w:ascii="Arial" w:hAnsi="Arial" w:cs="Arial"/>
                <w:color w:val="000000" w:themeColor="text1"/>
                <w:sz w:val="22"/>
                <w:szCs w:val="22"/>
              </w:rPr>
              <w:t xml:space="preserve">, art. 17 ust.1 pkt. 7). W rozdziale IV </w:t>
            </w:r>
            <w:r w:rsidRPr="002D3958">
              <w:rPr>
                <w:rFonts w:ascii="Arial" w:hAnsi="Arial" w:cs="Arial"/>
                <w:i/>
                <w:iCs/>
                <w:color w:val="000000" w:themeColor="text1"/>
                <w:sz w:val="22"/>
                <w:szCs w:val="22"/>
              </w:rPr>
              <w:t>System wdrażania i realizacji</w:t>
            </w:r>
            <w:r w:rsidRPr="002D3958">
              <w:rPr>
                <w:rFonts w:ascii="Arial" w:hAnsi="Arial" w:cs="Arial"/>
                <w:color w:val="000000" w:themeColor="text1"/>
                <w:sz w:val="22"/>
                <w:szCs w:val="22"/>
              </w:rPr>
              <w:t xml:space="preserve"> w części poświęconej założeniom ogólnym, </w:t>
            </w:r>
            <w:r w:rsidR="005030EC" w:rsidRPr="002D3958">
              <w:rPr>
                <w:rFonts w:ascii="Arial" w:hAnsi="Arial" w:cs="Arial"/>
                <w:color w:val="000000" w:themeColor="text1"/>
                <w:sz w:val="22"/>
                <w:szCs w:val="22"/>
              </w:rPr>
              <w:t>dodano</w:t>
            </w:r>
            <w:r w:rsidRPr="002D3958">
              <w:rPr>
                <w:rFonts w:ascii="Arial" w:hAnsi="Arial" w:cs="Arial"/>
                <w:color w:val="000000" w:themeColor="text1"/>
                <w:sz w:val="22"/>
                <w:szCs w:val="22"/>
              </w:rPr>
              <w:t xml:space="preserve"> informację, że zakres planowanej interwencji, która będzie realizowana w ujęciu terytorialnym, możliwym do objęcia kontraktem sektorowym dotyczy wszystkich celów podstawowych </w:t>
            </w:r>
            <w:r w:rsidR="002E6FDD">
              <w:rPr>
                <w:rFonts w:ascii="Arial" w:hAnsi="Arial" w:cs="Arial"/>
                <w:color w:val="000000" w:themeColor="text1"/>
                <w:sz w:val="22"/>
                <w:szCs w:val="22"/>
              </w:rPr>
              <w:br/>
              <w:t xml:space="preserve">i horyzontalnych </w:t>
            </w:r>
            <w:r w:rsidRPr="002D3958">
              <w:rPr>
                <w:rFonts w:ascii="Arial" w:hAnsi="Arial" w:cs="Arial"/>
                <w:color w:val="000000" w:themeColor="text1"/>
                <w:sz w:val="22"/>
                <w:szCs w:val="22"/>
              </w:rPr>
              <w:t>w dokumencie.</w:t>
            </w:r>
          </w:p>
        </w:tc>
      </w:tr>
    </w:tbl>
    <w:bookmarkEnd w:id="479"/>
    <w:p w14:paraId="49CB684D" w14:textId="7B3BDE2A" w:rsidR="007E26DC" w:rsidRPr="006F4FD2" w:rsidRDefault="00B74691" w:rsidP="000B6351">
      <w:pPr>
        <w:spacing w:before="120" w:after="0" w:line="276" w:lineRule="auto"/>
        <w:ind w:firstLine="709"/>
        <w:rPr>
          <w:rFonts w:ascii="Arial" w:hAnsi="Arial" w:cs="Arial"/>
          <w:sz w:val="22"/>
          <w:szCs w:val="22"/>
        </w:rPr>
      </w:pPr>
      <w:r>
        <w:rPr>
          <w:rFonts w:ascii="Arial" w:hAnsi="Arial" w:cs="Arial"/>
          <w:sz w:val="22"/>
          <w:szCs w:val="22"/>
        </w:rPr>
        <w:t xml:space="preserve">Zdaniem ewaluatora, </w:t>
      </w:r>
      <w:r w:rsidR="007E26DC" w:rsidRPr="006F4FD2">
        <w:rPr>
          <w:rFonts w:ascii="Arial" w:hAnsi="Arial" w:cs="Arial"/>
          <w:sz w:val="22"/>
          <w:szCs w:val="22"/>
        </w:rPr>
        <w:t xml:space="preserve">oceniany Program we właściwy sposób odpowiada na </w:t>
      </w:r>
      <w:r w:rsidR="00F6360D" w:rsidRPr="006F4FD2">
        <w:rPr>
          <w:rFonts w:ascii="Arial" w:hAnsi="Arial" w:cs="Arial"/>
          <w:sz w:val="22"/>
          <w:szCs w:val="22"/>
        </w:rPr>
        <w:t>większość</w:t>
      </w:r>
      <w:r w:rsidR="007E26DC" w:rsidRPr="006F4FD2">
        <w:rPr>
          <w:rFonts w:ascii="Arial" w:hAnsi="Arial" w:cs="Arial"/>
          <w:sz w:val="22"/>
          <w:szCs w:val="22"/>
        </w:rPr>
        <w:t xml:space="preserve"> wyzwań, przed jakimi stoi województwo podkarpackie. Problem, jakim jest dostępność transportowa może być rozwiązywany przez działania określone w Programie, ale poprawa dostępności powinna również pozytywnie wpływać na bezpieczeństwo uczestników ruchu oraz na jakość środowiska</w:t>
      </w:r>
      <w:r w:rsidR="005030EC" w:rsidRPr="006F4FD2">
        <w:rPr>
          <w:rFonts w:ascii="Arial" w:hAnsi="Arial" w:cs="Arial"/>
          <w:sz w:val="22"/>
          <w:szCs w:val="22"/>
        </w:rPr>
        <w:t xml:space="preserve"> naturalnego</w:t>
      </w:r>
      <w:r w:rsidR="007E26DC" w:rsidRPr="006F4FD2">
        <w:rPr>
          <w:rFonts w:ascii="Arial" w:hAnsi="Arial" w:cs="Arial"/>
          <w:sz w:val="22"/>
          <w:szCs w:val="22"/>
        </w:rPr>
        <w:t xml:space="preserve">. Zatem istotne będą możliwości w realizacji inwestycji, </w:t>
      </w:r>
      <w:r w:rsidR="008E77F3">
        <w:rPr>
          <w:rFonts w:ascii="Arial" w:hAnsi="Arial" w:cs="Arial"/>
          <w:sz w:val="22"/>
          <w:szCs w:val="22"/>
        </w:rPr>
        <w:br/>
      </w:r>
      <w:r w:rsidR="007E26DC" w:rsidRPr="006F4FD2">
        <w:rPr>
          <w:rFonts w:ascii="Arial" w:hAnsi="Arial" w:cs="Arial"/>
          <w:sz w:val="22"/>
          <w:szCs w:val="22"/>
        </w:rPr>
        <w:t xml:space="preserve">a także efektywność podejmowanych działań, które gwarantując likwidację wykluczenia komunikacyjnego, będą przyczyniały się do poprawy bezpieczeństwa i zmniejszania presji na środowisko. Dotyczy to np. inwestycji i zakupów taboru, jak i promocji transportu zbiorowego w celu odchodzenia od transportu indywidualnego. </w:t>
      </w:r>
    </w:p>
    <w:p w14:paraId="56150B47" w14:textId="6383FEC3" w:rsidR="00E13232" w:rsidRPr="002E6FDD" w:rsidRDefault="007E26DC" w:rsidP="000B6351">
      <w:pPr>
        <w:spacing w:after="0" w:line="276" w:lineRule="auto"/>
        <w:ind w:firstLine="709"/>
        <w:rPr>
          <w:rFonts w:ascii="Arial" w:hAnsi="Arial" w:cs="Arial"/>
          <w:sz w:val="22"/>
          <w:szCs w:val="22"/>
        </w:rPr>
      </w:pPr>
      <w:bookmarkStart w:id="481" w:name="_Hlk101461805"/>
      <w:r w:rsidRPr="006F4FD2">
        <w:rPr>
          <w:rFonts w:ascii="Arial" w:hAnsi="Arial" w:cs="Arial"/>
          <w:sz w:val="22"/>
          <w:szCs w:val="22"/>
        </w:rPr>
        <w:t>Biorąc pod uwagę przeprowadzone analizy oraz odpowiedzi na poszczególne pytania ewaluacyjne, sformułowany został generalny wniosek</w:t>
      </w:r>
      <w:r w:rsidR="00B74691">
        <w:rPr>
          <w:rFonts w:ascii="Arial" w:hAnsi="Arial" w:cs="Arial"/>
          <w:sz w:val="22"/>
          <w:szCs w:val="22"/>
        </w:rPr>
        <w:t xml:space="preserve"> w ramach badania ex-ante</w:t>
      </w:r>
      <w:r w:rsidRPr="006F4FD2">
        <w:rPr>
          <w:rFonts w:ascii="Arial" w:hAnsi="Arial" w:cs="Arial"/>
          <w:sz w:val="22"/>
          <w:szCs w:val="22"/>
        </w:rPr>
        <w:t xml:space="preserve">, że </w:t>
      </w:r>
      <w:r w:rsidRPr="00B74691">
        <w:rPr>
          <w:rFonts w:ascii="Arial" w:hAnsi="Arial" w:cs="Arial"/>
          <w:sz w:val="22"/>
          <w:szCs w:val="22"/>
        </w:rPr>
        <w:t>oceniany Program stanowi wysokiej jakości dokument, przygotowany rzetelnie i zgodnie ze sztuką oraz dobrymi praktykami tworzenia tego typu dokumentów.</w:t>
      </w:r>
      <w:bookmarkEnd w:id="481"/>
    </w:p>
    <w:sectPr w:rsidR="00E13232" w:rsidRPr="002E6FDD" w:rsidSect="004D5104">
      <w:pgSz w:w="11906" w:h="16838"/>
      <w:pgMar w:top="1417" w:right="1416" w:bottom="1417" w:left="1417"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8F0A57" w16cex:dateUtc="2023-08-22T08:19:00Z"/>
  <w16cex:commentExtensible w16cex:durableId="289741CC" w16cex:dateUtc="2023-08-28T13:54:00Z"/>
  <w16cex:commentExtensible w16cex:durableId="289741E0" w16cex:dateUtc="2023-08-28T13:55:00Z"/>
  <w16cex:commentExtensible w16cex:durableId="289741ED" w16cex:dateUtc="2023-08-28T13:55:00Z"/>
  <w16cex:commentExtensible w16cex:durableId="2897420C" w16cex:dateUtc="2023-08-28T13:55:00Z"/>
  <w16cex:commentExtensible w16cex:durableId="28974220" w16cex:dateUtc="2023-08-28T13:56:00Z"/>
  <w16cex:commentExtensible w16cex:durableId="2897424D" w16cex:dateUtc="2023-08-28T13:57:00Z"/>
  <w16cex:commentExtensible w16cex:durableId="28974731" w16cex:dateUtc="2023-08-28T14:17:00Z"/>
  <w16cex:commentExtensible w16cex:durableId="2897474F" w16cex:dateUtc="2023-08-28T14:18:00Z"/>
  <w16cex:commentExtensible w16cex:durableId="289746EE" w16cex:dateUtc="2023-08-28T14:16:00Z"/>
  <w16cex:commentExtensible w16cex:durableId="28979A3C" w16cex:dateUtc="2023-08-28T20:12:00Z"/>
  <w16cex:commentExtensible w16cex:durableId="28979C21" w16cex:dateUtc="2023-08-28T20:20:00Z"/>
  <w16cex:commentExtensible w16cex:durableId="28985041" w16cex:dateUtc="2023-08-29T09:08:00Z"/>
  <w16cex:commentExtensible w16cex:durableId="55DF1D81" w16cex:dateUtc="2023-08-31T19:04:00Z"/>
  <w16cex:commentExtensible w16cex:durableId="6C44958E" w16cex:dateUtc="2023-08-31T20:24:00Z"/>
</w16cex:commentsExtensible>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A6A7AFB" w14:textId="77777777" w:rsidR="00B830BA" w:rsidRDefault="00B830BA" w:rsidP="006004E2">
      <w:r>
        <w:separator/>
      </w:r>
    </w:p>
  </w:endnote>
  <w:endnote w:type="continuationSeparator" w:id="0">
    <w:p w14:paraId="2B034DFB" w14:textId="77777777" w:rsidR="00B830BA" w:rsidRDefault="00B830BA" w:rsidP="006004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TimesNewRoman">
    <w:altName w:val="Times New Roman"/>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3518294"/>
      <w:docPartObj>
        <w:docPartGallery w:val="Page Numbers (Bottom of Page)"/>
        <w:docPartUnique/>
      </w:docPartObj>
    </w:sdtPr>
    <w:sdtEndPr/>
    <w:sdtContent>
      <w:p w14:paraId="3E93E49A" w14:textId="4C3007F1" w:rsidR="00B830BA" w:rsidRPr="004E245D" w:rsidRDefault="00B830BA" w:rsidP="004E245D">
        <w:pPr>
          <w:pStyle w:val="Stopka"/>
          <w:jc w:val="center"/>
        </w:pPr>
        <w:r w:rsidRPr="004E245D">
          <w:rPr>
            <w:rFonts w:ascii="Arial" w:hAnsi="Arial" w:cs="Arial"/>
          </w:rPr>
          <w:fldChar w:fldCharType="begin"/>
        </w:r>
        <w:r w:rsidRPr="004E245D">
          <w:rPr>
            <w:rFonts w:ascii="Arial" w:hAnsi="Arial" w:cs="Arial"/>
          </w:rPr>
          <w:instrText>PAGE   \* MERGEFORMAT</w:instrText>
        </w:r>
        <w:r w:rsidRPr="004E245D">
          <w:rPr>
            <w:rFonts w:ascii="Arial" w:hAnsi="Arial" w:cs="Arial"/>
          </w:rPr>
          <w:fldChar w:fldCharType="separate"/>
        </w:r>
        <w:r w:rsidR="000C6002">
          <w:rPr>
            <w:rFonts w:ascii="Arial" w:hAnsi="Arial" w:cs="Arial"/>
            <w:noProof/>
          </w:rPr>
          <w:t>21</w:t>
        </w:r>
        <w:r w:rsidRPr="004E245D">
          <w:rPr>
            <w:rFonts w:ascii="Arial" w:hAnsi="Arial" w:cs="Arial"/>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5B1335B" w14:textId="77777777" w:rsidR="00B830BA" w:rsidRDefault="00B830BA" w:rsidP="006004E2">
      <w:r>
        <w:separator/>
      </w:r>
    </w:p>
  </w:footnote>
  <w:footnote w:type="continuationSeparator" w:id="0">
    <w:p w14:paraId="571BA176" w14:textId="77777777" w:rsidR="00B830BA" w:rsidRDefault="00B830BA" w:rsidP="006004E2">
      <w:r>
        <w:continuationSeparator/>
      </w:r>
    </w:p>
  </w:footnote>
  <w:footnote w:id="1">
    <w:p w14:paraId="365E73F9" w14:textId="77777777" w:rsidR="00B830BA" w:rsidRPr="006F4FD2" w:rsidRDefault="00B830BA" w:rsidP="00535478">
      <w:pPr>
        <w:pStyle w:val="Tekstprzypisudolnego"/>
        <w:spacing w:after="0" w:line="240" w:lineRule="auto"/>
        <w:ind w:left="142" w:hanging="142"/>
        <w:rPr>
          <w:rFonts w:ascii="Arial" w:hAnsi="Arial" w:cs="Arial"/>
        </w:rPr>
      </w:pPr>
      <w:r w:rsidRPr="006F4FD2">
        <w:rPr>
          <w:rStyle w:val="Odwoanieprzypisudolnego"/>
          <w:rFonts w:ascii="Arial" w:hAnsi="Arial" w:cs="Arial"/>
        </w:rPr>
        <w:footnoteRef/>
      </w:r>
      <w:r w:rsidRPr="006F4FD2">
        <w:rPr>
          <w:rFonts w:ascii="Arial" w:hAnsi="Arial" w:cs="Arial"/>
        </w:rPr>
        <w:t xml:space="preserve"> 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footnote>
  <w:footnote w:id="2">
    <w:p w14:paraId="37D75B83" w14:textId="6F490D32" w:rsidR="00B830BA" w:rsidRPr="006F4FD2" w:rsidRDefault="00B830BA" w:rsidP="005E37DD">
      <w:pPr>
        <w:pStyle w:val="Tekstprzypisudolnego"/>
        <w:ind w:left="142" w:hanging="142"/>
        <w:contextualSpacing/>
        <w:rPr>
          <w:rFonts w:ascii="Arial" w:hAnsi="Arial" w:cs="Arial"/>
        </w:rPr>
      </w:pPr>
      <w:r w:rsidRPr="006F4FD2">
        <w:rPr>
          <w:rStyle w:val="Odwoanieprzypisudolnego"/>
          <w:rFonts w:ascii="Arial" w:hAnsi="Arial" w:cs="Arial"/>
        </w:rPr>
        <w:footnoteRef/>
      </w:r>
      <w:r w:rsidRPr="006F4FD2">
        <w:rPr>
          <w:rFonts w:ascii="Arial" w:hAnsi="Arial" w:cs="Arial"/>
        </w:rPr>
        <w:t xml:space="preserve"> </w:t>
      </w:r>
      <w:r w:rsidRPr="006F4FD2">
        <w:rPr>
          <w:rFonts w:ascii="Arial" w:hAnsi="Arial" w:cs="Arial"/>
          <w:i/>
        </w:rPr>
        <w:t>Krajowy plan na rzecz energii i klimatu na lata 2021-2030</w:t>
      </w:r>
      <w:r w:rsidRPr="006F4FD2">
        <w:rPr>
          <w:rFonts w:ascii="Arial" w:hAnsi="Arial" w:cs="Arial"/>
        </w:rPr>
        <w:t xml:space="preserve"> (KPEiK) w wersji przyjętej przez Komitet do Spraw Europejskich na posiedzeniu w dniu 18 grudnia 2019 r.</w:t>
      </w:r>
    </w:p>
  </w:footnote>
  <w:footnote w:id="3">
    <w:p w14:paraId="6093DC51" w14:textId="77777777" w:rsidR="00B830BA" w:rsidRPr="006F4FD2" w:rsidRDefault="00B830BA" w:rsidP="005E37DD">
      <w:pPr>
        <w:pStyle w:val="Tekstprzypisudolnego"/>
        <w:spacing w:after="0" w:line="240" w:lineRule="auto"/>
        <w:ind w:left="142" w:hanging="142"/>
        <w:contextualSpacing/>
        <w:rPr>
          <w:rFonts w:ascii="Arial" w:hAnsi="Arial" w:cs="Arial"/>
        </w:rPr>
      </w:pPr>
      <w:r w:rsidRPr="006F4FD2">
        <w:rPr>
          <w:rStyle w:val="Odwoanieprzypisudolnego"/>
          <w:rFonts w:ascii="Arial" w:hAnsi="Arial" w:cs="Arial"/>
        </w:rPr>
        <w:footnoteRef/>
      </w:r>
      <w:r w:rsidRPr="006F4FD2">
        <w:rPr>
          <w:rFonts w:ascii="Arial" w:hAnsi="Arial" w:cs="Arial"/>
        </w:rPr>
        <w:t xml:space="preserve"> Ministerstwo Infrastruktury i Rozwoju, </w:t>
      </w:r>
      <w:r w:rsidRPr="006F4FD2">
        <w:rPr>
          <w:rFonts w:ascii="Arial" w:hAnsi="Arial" w:cs="Arial"/>
          <w:i/>
          <w:iCs/>
        </w:rPr>
        <w:t>Dokument Implementacyjny do Strategii Rozwoju Transportu do 2020 r.</w:t>
      </w:r>
      <w:r w:rsidRPr="006F4FD2">
        <w:rPr>
          <w:rFonts w:ascii="Arial" w:hAnsi="Arial" w:cs="Arial"/>
        </w:rPr>
        <w:t xml:space="preserve"> (z perspektywą do 2030 r.), Warszawa 2014.</w:t>
      </w:r>
    </w:p>
  </w:footnote>
  <w:footnote w:id="4">
    <w:p w14:paraId="14009C5D" w14:textId="1043ED3D" w:rsidR="00B830BA" w:rsidRPr="00544943" w:rsidRDefault="00B830BA" w:rsidP="00067BFA">
      <w:pPr>
        <w:pStyle w:val="Tekstprzypisudolnego"/>
        <w:contextualSpacing/>
        <w:rPr>
          <w:rFonts w:ascii="Arial" w:hAnsi="Arial" w:cs="Arial"/>
          <w:color w:val="000000" w:themeColor="text1"/>
        </w:rPr>
      </w:pPr>
      <w:r w:rsidRPr="00197FCE">
        <w:rPr>
          <w:rStyle w:val="Odwoanieprzypisudolnego"/>
          <w:rFonts w:ascii="Arial" w:hAnsi="Arial" w:cs="Arial"/>
        </w:rPr>
        <w:footnoteRef/>
      </w:r>
      <w:r w:rsidRPr="00197FCE">
        <w:rPr>
          <w:rFonts w:ascii="Arial" w:hAnsi="Arial" w:cs="Arial"/>
        </w:rPr>
        <w:t xml:space="preserve"> </w:t>
      </w:r>
      <w:r w:rsidRPr="00544943">
        <w:rPr>
          <w:rFonts w:ascii="Arial" w:hAnsi="Arial" w:cs="Arial"/>
          <w:color w:val="000000" w:themeColor="text1"/>
        </w:rPr>
        <w:t xml:space="preserve">W </w:t>
      </w:r>
      <w:r w:rsidRPr="00544943">
        <w:rPr>
          <w:rFonts w:ascii="Arial" w:hAnsi="Arial" w:cs="Arial"/>
          <w:i/>
          <w:color w:val="000000" w:themeColor="text1"/>
        </w:rPr>
        <w:t>Diagnozie Stanu Systemu Transportowego w Województwie Podkarpackim</w:t>
      </w:r>
      <w:r w:rsidRPr="00544943">
        <w:rPr>
          <w:rFonts w:ascii="Arial" w:hAnsi="Arial" w:cs="Arial"/>
          <w:color w:val="000000" w:themeColor="text1"/>
        </w:rPr>
        <w:t xml:space="preserve"> wykorzystano dane dostępne i aktualne w trakcie jej opracowywania (ostateczną treść </w:t>
      </w:r>
      <w:r w:rsidRPr="00544943">
        <w:rPr>
          <w:rFonts w:ascii="Arial" w:hAnsi="Arial" w:cs="Arial"/>
          <w:i/>
          <w:color w:val="000000" w:themeColor="text1"/>
        </w:rPr>
        <w:t>Diagnozy</w:t>
      </w:r>
      <w:r w:rsidRPr="00544943">
        <w:rPr>
          <w:rFonts w:ascii="Arial" w:hAnsi="Arial" w:cs="Arial"/>
          <w:color w:val="000000" w:themeColor="text1"/>
        </w:rPr>
        <w:t xml:space="preserve"> zamknięto na przełomie 2020 i 2021 r.). Z kolei w Programie poddano aktualizacji m.in. graficzne przedstawienie granic ROF (rezultat powiększenia jego obszaru o gminy Błażowa i Hyżne) w zakresie map przygotowywanych przez PBPP. Całość ww.</w:t>
      </w:r>
      <w:r w:rsidRPr="00544943">
        <w:rPr>
          <w:rFonts w:ascii="Arial" w:hAnsi="Arial" w:cs="Arial"/>
          <w:i/>
          <w:color w:val="000000" w:themeColor="text1"/>
        </w:rPr>
        <w:t xml:space="preserve"> Diagnozy</w:t>
      </w:r>
      <w:r w:rsidRPr="00544943">
        <w:rPr>
          <w:rFonts w:ascii="Arial" w:hAnsi="Arial" w:cs="Arial"/>
          <w:color w:val="000000" w:themeColor="text1"/>
        </w:rPr>
        <w:t>, do której w ujęciu syntetycznym nawiązuje część diagnostyczna PSRT WP, jest dostępna w UMWP.</w:t>
      </w:r>
    </w:p>
  </w:footnote>
  <w:footnote w:id="5">
    <w:p w14:paraId="1CF3B430" w14:textId="465CBCF9" w:rsidR="00B830BA" w:rsidRPr="00544943" w:rsidRDefault="00B830BA" w:rsidP="00067BFA">
      <w:pPr>
        <w:pStyle w:val="Tekstprzypisudolnego"/>
        <w:contextualSpacing/>
        <w:rPr>
          <w:rFonts w:ascii="Arial" w:hAnsi="Arial" w:cs="Arial"/>
          <w:color w:val="000000" w:themeColor="text1"/>
        </w:rPr>
      </w:pPr>
      <w:r w:rsidRPr="00544943">
        <w:rPr>
          <w:rStyle w:val="Odwoanieprzypisudolnego"/>
          <w:rFonts w:ascii="Arial" w:hAnsi="Arial" w:cs="Arial"/>
          <w:color w:val="000000" w:themeColor="text1"/>
        </w:rPr>
        <w:footnoteRef/>
      </w:r>
      <w:r w:rsidRPr="00544943">
        <w:rPr>
          <w:rFonts w:ascii="Arial" w:hAnsi="Arial" w:cs="Arial"/>
          <w:color w:val="000000" w:themeColor="text1"/>
        </w:rPr>
        <w:t xml:space="preserve"> Na mocy Uchwały Nr XLIII/729/21 Sejmiku Województwa Podkarpackiego z dnia 28 grudnia 2021 r., </w:t>
      </w:r>
      <w:r w:rsidRPr="00544943">
        <w:rPr>
          <w:rFonts w:ascii="Arial" w:hAnsi="Arial" w:cs="Arial"/>
          <w:i/>
          <w:color w:val="000000" w:themeColor="text1"/>
        </w:rPr>
        <w:t xml:space="preserve">w sprawie likwidacji Podkarpackiego Biura Planowania Przestrzennego w Rzeszowie, </w:t>
      </w:r>
      <w:r w:rsidRPr="00544943">
        <w:rPr>
          <w:rFonts w:ascii="Arial" w:hAnsi="Arial" w:cs="Arial"/>
          <w:color w:val="000000" w:themeColor="text1"/>
        </w:rPr>
        <w:t>z dniem 30 czerwca 2022 r. Podkarpackie Biuro Planowania Przestrzennego w Rzeszowie uległo likwidacji. Zadania zlikwidowanej jednostki przejął Urząd Marszałkowski Województwa Podkarpackiego</w:t>
      </w:r>
      <w:r>
        <w:rPr>
          <w:rFonts w:ascii="Arial" w:hAnsi="Arial" w:cs="Arial"/>
          <w:color w:val="000000" w:themeColor="text1"/>
        </w:rPr>
        <w:t xml:space="preserve"> </w:t>
      </w:r>
      <w:r>
        <w:rPr>
          <w:rFonts w:ascii="Arial" w:hAnsi="Arial" w:cs="Arial"/>
          <w:color w:val="000000" w:themeColor="text1"/>
        </w:rPr>
        <w:br/>
      </w:r>
      <w:r w:rsidRPr="00544943">
        <w:rPr>
          <w:rFonts w:ascii="Arial" w:hAnsi="Arial" w:cs="Arial"/>
          <w:color w:val="000000" w:themeColor="text1"/>
        </w:rPr>
        <w:t>w Rzeszowie.</w:t>
      </w:r>
    </w:p>
  </w:footnote>
  <w:footnote w:id="6">
    <w:p w14:paraId="2AD1B3A3" w14:textId="44DFBF53" w:rsidR="00B830BA" w:rsidRDefault="00B830BA" w:rsidP="00067BFA">
      <w:pPr>
        <w:pStyle w:val="Tekstprzypisudolnego"/>
      </w:pPr>
      <w:r w:rsidRPr="00544943">
        <w:rPr>
          <w:rStyle w:val="Odwoanieprzypisudolnego"/>
          <w:rFonts w:ascii="Arial" w:hAnsi="Arial" w:cs="Arial"/>
          <w:color w:val="000000" w:themeColor="text1"/>
        </w:rPr>
        <w:footnoteRef/>
      </w:r>
      <w:r w:rsidRPr="00544943">
        <w:rPr>
          <w:rFonts w:ascii="Arial" w:hAnsi="Arial" w:cs="Arial"/>
          <w:color w:val="000000" w:themeColor="text1"/>
        </w:rPr>
        <w:t xml:space="preserve"> Uwagi KE do projektu PSRT w wersji 2.0 zakładały, że już w końcu ubiegłego roku model CUPT posiadał pełną funkcjonalność, co jednak nie znajdowało odzwierciedlenia w praktyce. </w:t>
      </w:r>
      <w:r>
        <w:rPr>
          <w:rFonts w:ascii="Arial" w:hAnsi="Arial" w:cs="Arial"/>
          <w:color w:val="000000" w:themeColor="text1"/>
        </w:rPr>
        <w:br/>
      </w:r>
      <w:r w:rsidRPr="00544943">
        <w:rPr>
          <w:rFonts w:ascii="Arial" w:hAnsi="Arial" w:cs="Arial"/>
          <w:color w:val="000000" w:themeColor="text1"/>
        </w:rPr>
        <w:t>W rzeczywistości dopiero wersja 3.0 ZMR pozwala na jego wykorzystanie do spełnienia przytoczonego przez Komisję kryterium.</w:t>
      </w:r>
    </w:p>
  </w:footnote>
  <w:footnote w:id="7">
    <w:p w14:paraId="5965326F" w14:textId="302E7DF0" w:rsidR="00B830BA" w:rsidRPr="006F4FD2" w:rsidRDefault="00B830BA" w:rsidP="00692599">
      <w:pPr>
        <w:pStyle w:val="Tekstprzypisudolnego"/>
        <w:spacing w:after="0" w:line="240" w:lineRule="auto"/>
        <w:ind w:left="142" w:hanging="142"/>
        <w:rPr>
          <w:rFonts w:ascii="Arial" w:hAnsi="Arial" w:cs="Arial"/>
        </w:rPr>
      </w:pPr>
      <w:r w:rsidRPr="006F4FD2">
        <w:rPr>
          <w:rStyle w:val="Odwoanieprzypisudolnego"/>
          <w:rFonts w:ascii="Arial" w:hAnsi="Arial" w:cs="Arial"/>
        </w:rPr>
        <w:footnoteRef/>
      </w:r>
      <w:r w:rsidRPr="006F4FD2">
        <w:rPr>
          <w:rFonts w:ascii="Arial" w:hAnsi="Arial" w:cs="Arial"/>
        </w:rPr>
        <w:t xml:space="preserve"> W ramach realizacji dwóch projektów finansowanych z POIŚ 2014-2020 pn. „Budowa Podmiejskiej Kolei Aglomeracyjnej: Zakup taboru wraz budową zaplecza technicznego” oraz „Budowa Podmiejskiej Kolei Aglomeracyjnej – PKA: Budowa i modernizacja linii kolejowych oraz infrastruktury przystankowej” z dniem 1 stycznia 2021 roku uruchomiono połączenia pasażerskie, tym samym rozpoczęto działalność Podkarpackiej Kolei Aglomeracyjnej. Podkarpacka Kolej Aglomeracyjna jest nazwą handlową świadczonej usługi w zakresie przewozów pasażerskich, zatwierdzoną przez Zarząd Województwa Podkarpackiego i realizowana jest w ramach ww. projektów infrastrukturalnych i usług przewozowych.</w:t>
      </w:r>
    </w:p>
  </w:footnote>
  <w:footnote w:id="8">
    <w:p w14:paraId="74F3D0F2" w14:textId="77777777" w:rsidR="00B830BA" w:rsidRPr="006F4FD2" w:rsidRDefault="00B830BA" w:rsidP="00D26960">
      <w:pPr>
        <w:pStyle w:val="Tekstprzypisudolnego"/>
        <w:spacing w:after="0"/>
        <w:rPr>
          <w:rFonts w:ascii="Arial" w:hAnsi="Arial" w:cs="Arial"/>
        </w:rPr>
      </w:pPr>
      <w:r w:rsidRPr="006F4FD2">
        <w:rPr>
          <w:rStyle w:val="Odwoanieprzypisudolnego"/>
          <w:rFonts w:ascii="Arial" w:hAnsi="Arial" w:cs="Arial"/>
        </w:rPr>
        <w:footnoteRef/>
      </w:r>
      <w:r w:rsidRPr="006F4FD2">
        <w:rPr>
          <w:rFonts w:ascii="Arial" w:hAnsi="Arial" w:cs="Arial"/>
        </w:rPr>
        <w:t xml:space="preserve"> Odcinek linii nr 25 Dębica-Mielec oddany do użytkowania w 2021 r. ma prędkość 100 km/h.</w:t>
      </w:r>
    </w:p>
  </w:footnote>
  <w:footnote w:id="9">
    <w:p w14:paraId="5B3815D8" w14:textId="54FFA318" w:rsidR="00B830BA" w:rsidRPr="009B78DA" w:rsidRDefault="00B830BA" w:rsidP="00D26960">
      <w:pPr>
        <w:pStyle w:val="Tekstprzypisudolnego"/>
        <w:contextualSpacing/>
        <w:rPr>
          <w:rFonts w:ascii="Arial" w:hAnsi="Arial" w:cs="Arial"/>
          <w:color w:val="000000" w:themeColor="text1"/>
        </w:rPr>
      </w:pPr>
      <w:r w:rsidRPr="009B78DA">
        <w:rPr>
          <w:rStyle w:val="Odwoanieprzypisudolnego"/>
          <w:rFonts w:ascii="Arial" w:hAnsi="Arial" w:cs="Arial"/>
          <w:color w:val="000000" w:themeColor="text1"/>
        </w:rPr>
        <w:footnoteRef/>
      </w:r>
      <w:r w:rsidRPr="009B78DA">
        <w:rPr>
          <w:rFonts w:ascii="Arial" w:hAnsi="Arial" w:cs="Arial"/>
          <w:color w:val="000000" w:themeColor="text1"/>
        </w:rPr>
        <w:t xml:space="preserve"> Wspomniane powstające przejście graniczne dokonuje obsługi wybranych przepraw. Odbywa się to</w:t>
      </w:r>
      <w:r>
        <w:rPr>
          <w:rFonts w:ascii="Arial" w:hAnsi="Arial" w:cs="Arial"/>
          <w:color w:val="000000" w:themeColor="text1"/>
        </w:rPr>
        <w:t xml:space="preserve"> </w:t>
      </w:r>
      <w:r w:rsidRPr="009B78DA">
        <w:rPr>
          <w:rFonts w:ascii="Arial" w:hAnsi="Arial" w:cs="Arial"/>
          <w:color w:val="000000" w:themeColor="text1"/>
        </w:rPr>
        <w:t>w sposób ograniczony i po uwzględnieniu specjalnych warunków. Nadzwyczajny sposób wykorzystania dopiero przygotowywanego przejścia granicznego ma charakter wyjątkowy i jest ściśle związany</w:t>
      </w:r>
      <w:r>
        <w:rPr>
          <w:rFonts w:ascii="Arial" w:hAnsi="Arial" w:cs="Arial"/>
          <w:color w:val="000000" w:themeColor="text1"/>
        </w:rPr>
        <w:t xml:space="preserve"> </w:t>
      </w:r>
      <w:r w:rsidRPr="009B78DA">
        <w:rPr>
          <w:rFonts w:ascii="Arial" w:hAnsi="Arial" w:cs="Arial"/>
          <w:color w:val="000000" w:themeColor="text1"/>
        </w:rPr>
        <w:t>z wojną obronną na Ukrainie.</w:t>
      </w:r>
    </w:p>
  </w:footnote>
  <w:footnote w:id="10">
    <w:p w14:paraId="0746B5DD" w14:textId="281CC7B0" w:rsidR="00B830BA" w:rsidRDefault="00B830BA" w:rsidP="00D26960">
      <w:pPr>
        <w:pStyle w:val="Tekstprzypisudolnego"/>
        <w:contextualSpacing/>
      </w:pPr>
      <w:r w:rsidRPr="009B78DA">
        <w:rPr>
          <w:rStyle w:val="Odwoanieprzypisudolnego"/>
          <w:rFonts w:ascii="Arial" w:hAnsi="Arial" w:cs="Arial"/>
          <w:color w:val="000000" w:themeColor="text1"/>
        </w:rPr>
        <w:footnoteRef/>
      </w:r>
      <w:r w:rsidRPr="009B78DA">
        <w:rPr>
          <w:rFonts w:ascii="Arial" w:hAnsi="Arial" w:cs="Arial"/>
          <w:color w:val="000000" w:themeColor="text1"/>
        </w:rPr>
        <w:t>Wśród terminali intermodalnych wskazano również punkt przeładunkowy w Werchracie ze względu na jego specyficzne walory wynikające m.in. z przygranicznej lokalizacji.</w:t>
      </w:r>
    </w:p>
  </w:footnote>
  <w:footnote w:id="11">
    <w:p w14:paraId="002096A5" w14:textId="298FD098" w:rsidR="00B830BA" w:rsidRPr="008C014C" w:rsidRDefault="00B830BA" w:rsidP="001F3098">
      <w:pPr>
        <w:pStyle w:val="Tekstprzypisudolnego"/>
        <w:contextualSpacing/>
        <w:rPr>
          <w:rFonts w:ascii="Arial" w:hAnsi="Arial" w:cs="Arial"/>
        </w:rPr>
      </w:pPr>
      <w:r w:rsidRPr="008C014C">
        <w:rPr>
          <w:rStyle w:val="Odwoanieprzypisudolnego"/>
          <w:rFonts w:ascii="Arial" w:hAnsi="Arial" w:cs="Arial"/>
        </w:rPr>
        <w:footnoteRef/>
      </w:r>
      <w:r w:rsidRPr="008C014C">
        <w:rPr>
          <w:rFonts w:ascii="Arial" w:hAnsi="Arial" w:cs="Arial"/>
        </w:rPr>
        <w:t xml:space="preserve"> Dane od Polskiego Związku Przemysłu Motoryzacyjnego (PZPM) na podstawie informacji z CEPiK.</w:t>
      </w:r>
    </w:p>
  </w:footnote>
  <w:footnote w:id="12">
    <w:p w14:paraId="4AC95B1B" w14:textId="0721DC4D" w:rsidR="00B830BA" w:rsidRPr="008C014C" w:rsidRDefault="00B830BA" w:rsidP="001F3098">
      <w:pPr>
        <w:pStyle w:val="Tekstprzypisudolnego"/>
        <w:contextualSpacing/>
        <w:rPr>
          <w:rFonts w:ascii="Arial" w:hAnsi="Arial" w:cs="Arial"/>
        </w:rPr>
      </w:pPr>
      <w:r w:rsidRPr="008C014C">
        <w:rPr>
          <w:rStyle w:val="Odwoanieprzypisudolnego"/>
          <w:rFonts w:ascii="Arial" w:hAnsi="Arial" w:cs="Arial"/>
        </w:rPr>
        <w:footnoteRef/>
      </w:r>
      <w:r w:rsidRPr="008C014C">
        <w:rPr>
          <w:rFonts w:ascii="Arial" w:hAnsi="Arial" w:cs="Arial"/>
        </w:rPr>
        <w:t xml:space="preserve"> Wyliczenia dokonano na podstawie danych uzyskanych z Urzędu Statystycznego w Rzeszowie.</w:t>
      </w:r>
    </w:p>
  </w:footnote>
  <w:footnote w:id="13">
    <w:p w14:paraId="5EE02F88" w14:textId="5B8362F0" w:rsidR="00B830BA" w:rsidRDefault="00B830BA" w:rsidP="001F3098">
      <w:pPr>
        <w:pStyle w:val="Tekstprzypisudolnego"/>
        <w:contextualSpacing/>
      </w:pPr>
      <w:r w:rsidRPr="008C014C">
        <w:rPr>
          <w:rStyle w:val="Odwoanieprzypisudolnego"/>
          <w:rFonts w:ascii="Arial" w:hAnsi="Arial" w:cs="Arial"/>
        </w:rPr>
        <w:footnoteRef/>
      </w:r>
      <w:r>
        <w:rPr>
          <w:rFonts w:ascii="Arial" w:hAnsi="Arial" w:cs="Arial"/>
        </w:rPr>
        <w:t xml:space="preserve"> </w:t>
      </w:r>
      <w:r w:rsidRPr="008C014C">
        <w:rPr>
          <w:rFonts w:ascii="Arial" w:hAnsi="Arial" w:cs="Arial"/>
        </w:rPr>
        <w:t>Wyliczenia dokonano na podstawie danych uzyskanych z Urzędu Statystycznego w Rzeszowie</w:t>
      </w:r>
      <w:r>
        <w:rPr>
          <w:rFonts w:ascii="Arial" w:hAnsi="Arial" w:cs="Arial"/>
        </w:rPr>
        <w:t>.</w:t>
      </w:r>
    </w:p>
  </w:footnote>
  <w:footnote w:id="14">
    <w:p w14:paraId="6214761E" w14:textId="33676888" w:rsidR="00B830BA" w:rsidRPr="000F70AF" w:rsidRDefault="00B830BA" w:rsidP="000F70AF">
      <w:pPr>
        <w:pStyle w:val="Tekstprzypisudolnego"/>
        <w:contextualSpacing/>
        <w:rPr>
          <w:rFonts w:ascii="Arial" w:hAnsi="Arial" w:cs="Arial"/>
        </w:rPr>
      </w:pPr>
      <w:r w:rsidRPr="000F70AF">
        <w:rPr>
          <w:rStyle w:val="Odwoanieprzypisudolnego"/>
          <w:rFonts w:ascii="Arial" w:hAnsi="Arial" w:cs="Arial"/>
        </w:rPr>
        <w:footnoteRef/>
      </w:r>
      <w:r w:rsidRPr="000F70AF">
        <w:rPr>
          <w:rFonts w:ascii="Arial" w:hAnsi="Arial" w:cs="Arial"/>
        </w:rPr>
        <w:t xml:space="preserve"> Dane ze strony EIPA (Urząd Dozoru Technicznego) z serwisu: </w:t>
      </w:r>
      <w:hyperlink r:id="rId1" w:tooltip="Otwiera stronę" w:history="1">
        <w:r w:rsidRPr="00913590">
          <w:rPr>
            <w:rStyle w:val="Hipercze"/>
            <w:rFonts w:ascii="Arial" w:hAnsi="Arial" w:cs="Arial"/>
          </w:rPr>
          <w:t>eipa.udt.gov.pl</w:t>
        </w:r>
      </w:hyperlink>
    </w:p>
  </w:footnote>
  <w:footnote w:id="15">
    <w:p w14:paraId="648F95EF" w14:textId="78B1BD84" w:rsidR="00B830BA" w:rsidRPr="006F4FD2" w:rsidRDefault="00B830BA" w:rsidP="001C4172">
      <w:pPr>
        <w:pStyle w:val="Tekstprzypisudolnego"/>
        <w:spacing w:after="0"/>
        <w:ind w:left="142" w:hanging="142"/>
        <w:jc w:val="both"/>
        <w:rPr>
          <w:rFonts w:ascii="Arial" w:hAnsi="Arial" w:cs="Arial"/>
        </w:rPr>
      </w:pPr>
      <w:r w:rsidRPr="006F4FD2">
        <w:rPr>
          <w:rStyle w:val="Odwoanieprzypisudolnego"/>
          <w:rFonts w:ascii="Arial" w:hAnsi="Arial" w:cs="Arial"/>
        </w:rPr>
        <w:footnoteRef/>
      </w:r>
      <w:r w:rsidRPr="006F4FD2">
        <w:rPr>
          <w:rFonts w:ascii="Arial" w:hAnsi="Arial" w:cs="Arial"/>
        </w:rPr>
        <w:t xml:space="preserve"> Inwestycja jest nadal realizowana, a z dniem 01.09.2021 uruchomiono połączenia na tej linii </w:t>
      </w:r>
      <w:r w:rsidRPr="006F4FD2">
        <w:rPr>
          <w:rFonts w:ascii="Arial" w:hAnsi="Arial" w:cs="Arial"/>
        </w:rPr>
        <w:br/>
        <w:t>w ograniczonym zakresie.</w:t>
      </w:r>
    </w:p>
  </w:footnote>
  <w:footnote w:id="16">
    <w:p w14:paraId="5276912A" w14:textId="29FC1A4C" w:rsidR="00B830BA" w:rsidRPr="006F4FD2" w:rsidRDefault="00B830BA" w:rsidP="009B10A1">
      <w:pPr>
        <w:pStyle w:val="Tekstprzypisudolnego"/>
        <w:spacing w:line="276" w:lineRule="auto"/>
        <w:ind w:left="142" w:hanging="142"/>
        <w:rPr>
          <w:rFonts w:ascii="Arial" w:hAnsi="Arial" w:cs="Arial"/>
        </w:rPr>
      </w:pPr>
      <w:r w:rsidRPr="006F4FD2">
        <w:rPr>
          <w:rStyle w:val="Odwoanieprzypisudolnego"/>
          <w:rFonts w:ascii="Arial" w:hAnsi="Arial" w:cs="Arial"/>
        </w:rPr>
        <w:footnoteRef/>
      </w:r>
      <w:r w:rsidRPr="006F4FD2">
        <w:rPr>
          <w:rFonts w:ascii="Arial" w:hAnsi="Arial" w:cs="Arial"/>
        </w:rPr>
        <w:t xml:space="preserve"> Dane w zakresie dojazdów do szkół pochodzą z Raportu pn. </w:t>
      </w:r>
      <w:r w:rsidRPr="006F4FD2">
        <w:rPr>
          <w:rFonts w:ascii="Arial" w:hAnsi="Arial" w:cs="Arial"/>
          <w:i/>
          <w:iCs/>
        </w:rPr>
        <w:t>Dojazdy uczniów do szkół zlokalizowanych w miastach wojewódzkich</w:t>
      </w:r>
      <w:r w:rsidRPr="006F4FD2">
        <w:rPr>
          <w:rFonts w:ascii="Arial" w:hAnsi="Arial" w:cs="Arial"/>
        </w:rPr>
        <w:t>, opublikowanego w 2018 r. przez Główny Urząd Statystyczny; dane odnoszą się do struktury szkolnictwa sprzed</w:t>
      </w:r>
      <w:r>
        <w:rPr>
          <w:rFonts w:ascii="Arial" w:hAnsi="Arial" w:cs="Arial"/>
        </w:rPr>
        <w:t xml:space="preserve"> aktualnej reformy edukacyjnej.</w:t>
      </w:r>
    </w:p>
  </w:footnote>
  <w:footnote w:id="17">
    <w:p w14:paraId="5FBBC76C" w14:textId="48468CDF" w:rsidR="00B830BA" w:rsidRDefault="00B830BA" w:rsidP="009B10A1">
      <w:pPr>
        <w:pStyle w:val="Tekstprzypisudolnego"/>
      </w:pPr>
      <w:r w:rsidRPr="009B78DA">
        <w:rPr>
          <w:rStyle w:val="Odwoanieprzypisudolnego"/>
          <w:rFonts w:ascii="Arial" w:hAnsi="Arial" w:cs="Arial"/>
          <w:color w:val="000000" w:themeColor="text1"/>
        </w:rPr>
        <w:footnoteRef/>
      </w:r>
      <w:r w:rsidRPr="009B78DA">
        <w:rPr>
          <w:rFonts w:ascii="Arial" w:hAnsi="Arial" w:cs="Arial"/>
          <w:color w:val="000000" w:themeColor="text1"/>
        </w:rPr>
        <w:t xml:space="preserve"> Generalny Pomiar Ruchu wykonywany jest na drogach krajowych i wojewódzkich co pięć lat. Termin kolejnego badania po przeprowadzonym w roku 2015 przypadał na rok 2020. Jednocześnie pandemia Covid-19 spowodowała drastyczne zmniejszenie mobilności, zwłaszcza w transporcie </w:t>
      </w:r>
      <w:r>
        <w:rPr>
          <w:rFonts w:ascii="Arial" w:hAnsi="Arial" w:cs="Arial"/>
          <w:color w:val="000000" w:themeColor="text1"/>
        </w:rPr>
        <w:t xml:space="preserve">pasażerskim </w:t>
      </w:r>
      <w:r w:rsidRPr="009B78DA">
        <w:rPr>
          <w:rFonts w:ascii="Arial" w:hAnsi="Arial" w:cs="Arial"/>
          <w:color w:val="000000" w:themeColor="text1"/>
        </w:rPr>
        <w:t>(a zatem w ruchu samochodów</w:t>
      </w:r>
      <w:r w:rsidRPr="009B78DA">
        <w:rPr>
          <w:color w:val="000000" w:themeColor="text1"/>
        </w:rPr>
        <w:t xml:space="preserve"> </w:t>
      </w:r>
      <w:r w:rsidRPr="009B78DA">
        <w:rPr>
          <w:rFonts w:ascii="Arial" w:hAnsi="Arial" w:cs="Arial"/>
          <w:color w:val="000000" w:themeColor="text1"/>
        </w:rPr>
        <w:t xml:space="preserve">osobowych oraz autobusów). Zdecydowano, że niektóre dni pomiarowe powinny zostać w związku z tym przesunięte na </w:t>
      </w:r>
      <w:r>
        <w:rPr>
          <w:rFonts w:ascii="Arial" w:hAnsi="Arial" w:cs="Arial"/>
          <w:color w:val="000000" w:themeColor="text1"/>
        </w:rPr>
        <w:t xml:space="preserve">rok 2021. Było to niezbędne dla </w:t>
      </w:r>
      <w:r w:rsidRPr="009B78DA">
        <w:rPr>
          <w:rFonts w:ascii="Arial" w:hAnsi="Arial" w:cs="Arial"/>
          <w:color w:val="000000" w:themeColor="text1"/>
        </w:rPr>
        <w:t>zapewnienia porównywalności danych z poprzednimi badaniami, a tym samym dla oceny dynamiki zmian ruchu drogowego, która jest istotną przesłanką dla planowania infrastr</w:t>
      </w:r>
      <w:r>
        <w:rPr>
          <w:rFonts w:ascii="Arial" w:hAnsi="Arial" w:cs="Arial"/>
          <w:color w:val="000000" w:themeColor="text1"/>
        </w:rPr>
        <w:t xml:space="preserve">uktury i organizacji przewozów </w:t>
      </w:r>
      <w:r w:rsidRPr="009B78DA">
        <w:rPr>
          <w:rFonts w:ascii="Arial" w:hAnsi="Arial" w:cs="Arial"/>
          <w:color w:val="000000" w:themeColor="text1"/>
        </w:rPr>
        <w:t>w województwie podkarpackim. Pełne wyniki nowego GPR zostały udostępnione w roku 2022.</w:t>
      </w:r>
    </w:p>
  </w:footnote>
  <w:footnote w:id="18">
    <w:p w14:paraId="0D1FC820" w14:textId="225EDF01" w:rsidR="00B830BA" w:rsidRPr="006F4FD2" w:rsidRDefault="00B830BA" w:rsidP="0054793A">
      <w:pPr>
        <w:pStyle w:val="Tekstprzypisudolnego"/>
        <w:spacing w:after="0"/>
        <w:rPr>
          <w:rFonts w:ascii="Arial" w:hAnsi="Arial" w:cs="Arial"/>
        </w:rPr>
      </w:pPr>
      <w:r w:rsidRPr="006F4FD2">
        <w:rPr>
          <w:rStyle w:val="Odwoanieprzypisudolnego"/>
          <w:rFonts w:ascii="Arial" w:hAnsi="Arial" w:cs="Arial"/>
        </w:rPr>
        <w:footnoteRef/>
      </w:r>
      <w:r w:rsidRPr="006F4FD2">
        <w:rPr>
          <w:rFonts w:ascii="Arial" w:hAnsi="Arial" w:cs="Arial"/>
        </w:rPr>
        <w:t xml:space="preserve"> Linia nr 25 na odcinku Dębica – Mielec oddana z</w:t>
      </w:r>
      <w:r>
        <w:rPr>
          <w:rFonts w:ascii="Arial" w:hAnsi="Arial" w:cs="Arial"/>
        </w:rPr>
        <w:t>ostała do użytkowania w 2021 r.</w:t>
      </w:r>
    </w:p>
  </w:footnote>
  <w:footnote w:id="19">
    <w:p w14:paraId="008BD709" w14:textId="77777777" w:rsidR="00B830BA" w:rsidRPr="006F4FD2" w:rsidRDefault="00B830BA" w:rsidP="001C4172">
      <w:pPr>
        <w:pStyle w:val="Tekstprzypisudolnego"/>
        <w:spacing w:after="0"/>
        <w:jc w:val="both"/>
        <w:rPr>
          <w:rFonts w:ascii="Arial" w:hAnsi="Arial" w:cs="Arial"/>
        </w:rPr>
      </w:pPr>
      <w:r w:rsidRPr="006F4FD2">
        <w:rPr>
          <w:rStyle w:val="Odwoanieprzypisudolnego"/>
          <w:rFonts w:ascii="Arial" w:hAnsi="Arial" w:cs="Arial"/>
        </w:rPr>
        <w:footnoteRef/>
      </w:r>
      <w:r w:rsidRPr="006F4FD2">
        <w:rPr>
          <w:rFonts w:ascii="Arial" w:hAnsi="Arial" w:cs="Arial"/>
        </w:rPr>
        <w:t xml:space="preserve"> KOBIZE - Krajowy Ośrodek Bilansowania i Zarządzania Emisjami</w:t>
      </w:r>
    </w:p>
  </w:footnote>
  <w:footnote w:id="20">
    <w:p w14:paraId="1B9DF2CC" w14:textId="77777777" w:rsidR="00B830BA" w:rsidRPr="006F4FD2" w:rsidRDefault="00B830BA" w:rsidP="003127DF">
      <w:pPr>
        <w:pStyle w:val="Tekstprzypisudolnego"/>
        <w:spacing w:after="0" w:line="276" w:lineRule="auto"/>
        <w:jc w:val="both"/>
        <w:rPr>
          <w:rFonts w:ascii="Arial" w:hAnsi="Arial" w:cs="Arial"/>
        </w:rPr>
      </w:pPr>
      <w:r w:rsidRPr="006F4FD2">
        <w:rPr>
          <w:rStyle w:val="Odwoanieprzypisudolnego"/>
          <w:rFonts w:ascii="Arial" w:hAnsi="Arial" w:cs="Arial"/>
        </w:rPr>
        <w:footnoteRef/>
      </w:r>
      <w:r w:rsidRPr="006F4FD2">
        <w:rPr>
          <w:rFonts w:ascii="Arial" w:hAnsi="Arial" w:cs="Arial"/>
        </w:rPr>
        <w:t xml:space="preserve"> Należy nadmienić, że zawarte w tabeli informacje nt. emisji gazów cieplarnianych mają charakter poglądowy. Ilość wskazanych zanieczyszczeń jest obliczana w oparciu o metodologię opracowaną przez GUS i dotyczy także emisji gazów cieplarnianych z części systemu transportowego, na które Samorząd Województwa nie ma wpływu lub nie może na nie w sposób pełny oddziaływać.</w:t>
      </w:r>
    </w:p>
  </w:footnote>
  <w:footnote w:id="21">
    <w:p w14:paraId="08B7D4A2" w14:textId="3CBD89EF" w:rsidR="00B830BA" w:rsidRPr="006F4FD2" w:rsidRDefault="00B830BA" w:rsidP="00967E6A">
      <w:pPr>
        <w:pStyle w:val="Tekstprzypisudolnego"/>
        <w:spacing w:after="0" w:line="276" w:lineRule="auto"/>
        <w:ind w:left="142" w:hanging="142"/>
        <w:rPr>
          <w:rFonts w:ascii="Arial" w:hAnsi="Arial" w:cs="Arial"/>
        </w:rPr>
      </w:pPr>
      <w:r w:rsidRPr="006F4FD2">
        <w:rPr>
          <w:rStyle w:val="Odwoanieprzypisudolnego"/>
          <w:rFonts w:ascii="Arial" w:hAnsi="Arial" w:cs="Arial"/>
        </w:rPr>
        <w:footnoteRef/>
      </w:r>
      <w:r w:rsidRPr="006F4FD2">
        <w:rPr>
          <w:rFonts w:ascii="Arial" w:hAnsi="Arial" w:cs="Arial"/>
        </w:rPr>
        <w:t xml:space="preserve"> Raport końcowy z badania przeprowadzonego w 2013 r. (raport z datą 2015 r.), a także tabele wynikowe są ogólnodostępne na stronie:</w:t>
      </w:r>
      <w:r>
        <w:rPr>
          <w:rFonts w:ascii="Arial" w:hAnsi="Arial" w:cs="Arial"/>
        </w:rPr>
        <w:t xml:space="preserve"> </w:t>
      </w:r>
      <w:hyperlink r:id="rId2" w:tooltip="Otwiera stronę" w:history="1">
        <w:r w:rsidRPr="00967E6A">
          <w:rPr>
            <w:rStyle w:val="Hipercze"/>
            <w:rFonts w:ascii="Arial" w:hAnsi="Arial" w:cs="Arial"/>
          </w:rPr>
          <w:t>www.stat.gov.pl/statystyki-eksperymentalne/uslugi-publiczne/badanie-pilotazowe-zachowan-komunikacyjnych-ludnosci-w-polsce-popt-2007-2013,14,1.html</w:t>
        </w:r>
      </w:hyperlink>
      <w:r w:rsidRPr="006F4FD2">
        <w:rPr>
          <w:rFonts w:ascii="Arial" w:hAnsi="Arial" w:cs="Arial"/>
        </w:rPr>
        <w:t>; Badanie pilotażowe…, s. 6).</w:t>
      </w:r>
    </w:p>
  </w:footnote>
  <w:footnote w:id="22">
    <w:p w14:paraId="104EB541" w14:textId="2F1E6BE1" w:rsidR="00B830BA" w:rsidRPr="006F4FD2" w:rsidRDefault="00B830BA" w:rsidP="00F0624C">
      <w:pPr>
        <w:pStyle w:val="Tekstprzypisudolnego"/>
        <w:spacing w:after="0" w:line="276" w:lineRule="auto"/>
        <w:ind w:left="142" w:hanging="142"/>
        <w:rPr>
          <w:rFonts w:ascii="Arial" w:hAnsi="Arial" w:cs="Arial"/>
        </w:rPr>
      </w:pPr>
      <w:r w:rsidRPr="002532A2">
        <w:rPr>
          <w:rStyle w:val="Odwoanieprzypisudolnego"/>
          <w:rFonts w:ascii="Arial" w:hAnsi="Arial" w:cs="Arial"/>
          <w:color w:val="000000" w:themeColor="text1"/>
        </w:rPr>
        <w:footnoteRef/>
      </w:r>
      <w:r w:rsidRPr="002532A2">
        <w:rPr>
          <w:rFonts w:ascii="Arial" w:hAnsi="Arial" w:cs="Arial"/>
          <w:color w:val="000000" w:themeColor="text1"/>
        </w:rPr>
        <w:t xml:space="preserve"> Pogłębienie i rozwinięcie problematyki zawartej w tabeli analitycznej SWOT jest dostępne w częściach wnioskowych podrozdziałów </w:t>
      </w:r>
      <w:r w:rsidRPr="002532A2">
        <w:rPr>
          <w:rFonts w:ascii="Arial" w:hAnsi="Arial" w:cs="Arial"/>
          <w:i/>
          <w:color w:val="000000" w:themeColor="text1"/>
        </w:rPr>
        <w:t>Diagnozy stanu systemu transportowego w województwie podkarpackim</w:t>
      </w:r>
      <w:r w:rsidRPr="002532A2">
        <w:rPr>
          <w:rFonts w:ascii="Arial" w:hAnsi="Arial" w:cs="Arial"/>
          <w:color w:val="000000" w:themeColor="text1"/>
        </w:rPr>
        <w:t xml:space="preserve"> sporządzonej na potrzeby powstającego Programu przez Podkarpackie Biuro Planowania Przestr</w:t>
      </w:r>
      <w:r>
        <w:rPr>
          <w:rFonts w:ascii="Arial" w:hAnsi="Arial" w:cs="Arial"/>
          <w:color w:val="000000" w:themeColor="text1"/>
        </w:rPr>
        <w:t>zennego w Rzeszowie (2020-21).</w:t>
      </w:r>
    </w:p>
  </w:footnote>
  <w:footnote w:id="23">
    <w:p w14:paraId="273FE523" w14:textId="3175DA69" w:rsidR="00B830BA" w:rsidRPr="001F0445" w:rsidRDefault="00B830BA" w:rsidP="00716611">
      <w:pPr>
        <w:pStyle w:val="Tekstprzypisudolnego"/>
        <w:spacing w:after="0" w:line="276" w:lineRule="auto"/>
        <w:rPr>
          <w:rFonts w:ascii="Arial" w:hAnsi="Arial" w:cs="Arial"/>
        </w:rPr>
      </w:pPr>
      <w:r w:rsidRPr="002532A2">
        <w:rPr>
          <w:rStyle w:val="Odwoanieprzypisudolnego"/>
          <w:rFonts w:ascii="Arial" w:hAnsi="Arial" w:cs="Arial"/>
          <w:color w:val="000000" w:themeColor="text1"/>
        </w:rPr>
        <w:footnoteRef/>
      </w:r>
      <w:r w:rsidRPr="002532A2">
        <w:rPr>
          <w:rFonts w:ascii="Arial" w:hAnsi="Arial" w:cs="Arial"/>
          <w:color w:val="000000" w:themeColor="text1"/>
        </w:rPr>
        <w:t xml:space="preserve"> Zabiegi służące utrzymaniu transportu zbiorowego będą mogły dotyczyć także tych powiatów, które dotychczas nie były uważane za zagrożone wykluczeniem.</w:t>
      </w:r>
    </w:p>
  </w:footnote>
  <w:footnote w:id="24">
    <w:p w14:paraId="38A051C8" w14:textId="6A5DFB45" w:rsidR="00B830BA" w:rsidRPr="00C50353" w:rsidRDefault="00B830BA" w:rsidP="00627053">
      <w:pPr>
        <w:pStyle w:val="Tekstprzypisudolnego"/>
        <w:spacing w:line="276" w:lineRule="auto"/>
        <w:rPr>
          <w:rFonts w:ascii="Arial" w:hAnsi="Arial" w:cs="Arial"/>
        </w:rPr>
      </w:pPr>
      <w:r w:rsidRPr="002532A2">
        <w:rPr>
          <w:rStyle w:val="Odwoanieprzypisudolnego"/>
          <w:rFonts w:ascii="Arial" w:hAnsi="Arial" w:cs="Arial"/>
          <w:color w:val="000000" w:themeColor="text1"/>
        </w:rPr>
        <w:footnoteRef/>
      </w:r>
      <w:r w:rsidRPr="002532A2">
        <w:rPr>
          <w:rFonts w:ascii="Arial" w:hAnsi="Arial" w:cs="Arial"/>
          <w:color w:val="000000" w:themeColor="text1"/>
        </w:rPr>
        <w:t xml:space="preserve"> Dokument pn. </w:t>
      </w:r>
      <w:r w:rsidRPr="002532A2">
        <w:rPr>
          <w:rFonts w:ascii="Arial" w:hAnsi="Arial" w:cs="Arial"/>
          <w:i/>
          <w:color w:val="000000" w:themeColor="text1"/>
        </w:rPr>
        <w:t>Regionalna Polityka Rowerowa Województwa Podkarpackiego</w:t>
      </w:r>
      <w:r w:rsidRPr="002532A2">
        <w:rPr>
          <w:rFonts w:ascii="Arial" w:hAnsi="Arial" w:cs="Arial"/>
          <w:color w:val="000000" w:themeColor="text1"/>
        </w:rPr>
        <w:t xml:space="preserve"> wraz załącznikami jest dostępny na stronie internetowej Samorządu Wojewódz</w:t>
      </w:r>
      <w:r>
        <w:rPr>
          <w:rFonts w:ascii="Arial" w:hAnsi="Arial" w:cs="Arial"/>
          <w:color w:val="000000" w:themeColor="text1"/>
        </w:rPr>
        <w:t xml:space="preserve">twa Podkarpackiego pod adresem: </w:t>
      </w:r>
      <w:hyperlink r:id="rId3" w:tooltip="Otwiera stronę" w:history="1">
        <w:r w:rsidRPr="00627053">
          <w:rPr>
            <w:rStyle w:val="Hipercze"/>
            <w:rFonts w:ascii="Arial" w:hAnsi="Arial" w:cs="Arial"/>
          </w:rPr>
          <w:t>www.podkarpackie.pl/index.php/transport/polityka-rowerowa</w:t>
        </w:r>
      </w:hyperlink>
    </w:p>
  </w:footnote>
  <w:footnote w:id="25">
    <w:p w14:paraId="1C30B15D" w14:textId="3F8DF55B" w:rsidR="00B830BA" w:rsidRPr="002532A2" w:rsidRDefault="00B830BA" w:rsidP="00627053">
      <w:pPr>
        <w:pStyle w:val="Tekstprzypisudolnego"/>
        <w:contextualSpacing/>
        <w:rPr>
          <w:rFonts w:ascii="Arial" w:hAnsi="Arial" w:cs="Arial"/>
          <w:color w:val="000000" w:themeColor="text1"/>
        </w:rPr>
      </w:pPr>
      <w:r w:rsidRPr="002532A2">
        <w:rPr>
          <w:rStyle w:val="Odwoanieprzypisudolnego"/>
          <w:rFonts w:ascii="Arial" w:hAnsi="Arial" w:cs="Arial"/>
          <w:color w:val="000000" w:themeColor="text1"/>
        </w:rPr>
        <w:footnoteRef/>
      </w:r>
      <w:r w:rsidRPr="002532A2">
        <w:rPr>
          <w:rFonts w:ascii="Arial" w:hAnsi="Arial" w:cs="Arial"/>
          <w:color w:val="000000" w:themeColor="text1"/>
        </w:rPr>
        <w:t xml:space="preserve"> Lista Parkingów Park &amp; Ride realizowanych w ramach projektu Podmiejskiej Kolei Aglomeracyjnej zlokalizowanych w sąsiedztwie przystanków kolejowych znajduje się w Aneksie.</w:t>
      </w:r>
    </w:p>
  </w:footnote>
  <w:footnote w:id="26">
    <w:p w14:paraId="12248DDA" w14:textId="5B104DF4" w:rsidR="00B830BA" w:rsidRPr="00B419EE" w:rsidRDefault="00B830BA" w:rsidP="00F31AB1">
      <w:pPr>
        <w:pStyle w:val="Tekstprzypisudolnego"/>
        <w:contextualSpacing/>
        <w:rPr>
          <w:rFonts w:ascii="Arial" w:hAnsi="Arial" w:cs="Arial"/>
        </w:rPr>
      </w:pPr>
      <w:r w:rsidRPr="002532A2">
        <w:rPr>
          <w:rStyle w:val="Odwoanieprzypisudolnego"/>
          <w:rFonts w:ascii="Arial" w:hAnsi="Arial" w:cs="Arial"/>
          <w:color w:val="000000" w:themeColor="text1"/>
        </w:rPr>
        <w:footnoteRef/>
      </w:r>
      <w:r w:rsidRPr="002532A2">
        <w:rPr>
          <w:rFonts w:ascii="Arial" w:hAnsi="Arial" w:cs="Arial"/>
          <w:color w:val="000000" w:themeColor="text1"/>
        </w:rPr>
        <w:t xml:space="preserve"> Uchwała nr LIV/914/22 Sejmiku Województwa Podkarpackiego z dnia 2 listopada 2022 r. w sprawie zmiany uchwały Nr XXVIII/510/12 Sejmiku  Województwa Podkarpackiego z dnia 21 grudnia 2012 r.</w:t>
      </w:r>
      <w:r>
        <w:rPr>
          <w:rFonts w:ascii="Arial" w:hAnsi="Arial" w:cs="Arial"/>
          <w:color w:val="000000" w:themeColor="text1"/>
        </w:rPr>
        <w:t xml:space="preserve"> </w:t>
      </w:r>
      <w:r>
        <w:rPr>
          <w:rFonts w:ascii="Arial" w:hAnsi="Arial" w:cs="Arial"/>
          <w:color w:val="000000" w:themeColor="text1"/>
        </w:rPr>
        <w:br/>
      </w:r>
      <w:r w:rsidRPr="002532A2">
        <w:rPr>
          <w:rFonts w:ascii="Arial" w:hAnsi="Arial" w:cs="Arial"/>
          <w:i/>
          <w:color w:val="000000" w:themeColor="text1"/>
        </w:rPr>
        <w:t>w sprawie określenia przystanków komunikacyjnych, których właścicielem lub zarządzającym jest Województwo Podkarpackie oraz warunków i zasad korzystania z tych przystanków</w:t>
      </w:r>
      <w:r w:rsidRPr="002532A2">
        <w:rPr>
          <w:rFonts w:ascii="Arial" w:hAnsi="Arial" w:cs="Arial"/>
          <w:color w:val="000000" w:themeColor="text1"/>
        </w:rPr>
        <w:t xml:space="preserve"> jest dostępna wraz załącznikiem pod adresem: </w:t>
      </w:r>
      <w:hyperlink r:id="rId4" w:tooltip="Otwiera stronę" w:history="1">
        <w:r w:rsidRPr="00F31AB1">
          <w:rPr>
            <w:rStyle w:val="Hipercze"/>
            <w:rFonts w:ascii="Arial" w:hAnsi="Arial" w:cs="Arial"/>
          </w:rPr>
          <w:t>bip.podkarpackie.pl/index.php/uchwaly-sejmiku/6185-liv-sesja-sejmiku-wojewodztwa-podkarpackiego-vi-kadencja-z-dnia-2-listopada-2022-r</w:t>
        </w:r>
      </w:hyperlink>
    </w:p>
  </w:footnote>
  <w:footnote w:id="27">
    <w:p w14:paraId="6920469F" w14:textId="1C8B82E3" w:rsidR="00B830BA" w:rsidRPr="009C7C82" w:rsidRDefault="00B830BA" w:rsidP="009C7C82">
      <w:pPr>
        <w:pStyle w:val="Tekstprzypisudolnego"/>
        <w:spacing w:line="276" w:lineRule="auto"/>
        <w:contextualSpacing/>
        <w:rPr>
          <w:rFonts w:ascii="Arial" w:hAnsi="Arial" w:cs="Arial"/>
          <w:color w:val="000000" w:themeColor="text1"/>
        </w:rPr>
      </w:pPr>
      <w:r w:rsidRPr="009C7C82">
        <w:rPr>
          <w:rStyle w:val="Odwoanieprzypisudolnego"/>
          <w:rFonts w:ascii="Arial" w:hAnsi="Arial" w:cs="Arial"/>
          <w:color w:val="000000" w:themeColor="text1"/>
        </w:rPr>
        <w:footnoteRef/>
      </w:r>
      <w:r w:rsidRPr="009C7C82">
        <w:rPr>
          <w:rFonts w:ascii="Arial" w:hAnsi="Arial" w:cs="Arial"/>
          <w:color w:val="000000" w:themeColor="text1"/>
        </w:rPr>
        <w:t xml:space="preserve"> Rada Miasta Rzeszowa 26 maja 2020 r. podjęła uchwałę Nr XXXII/654/2020 w sprawie przyjęcia planu budowy ogólnodostępnych stacji ładowania w Rzeszowie. Załącznik do uchwały określa liczbę </w:t>
      </w:r>
      <w:r w:rsidRPr="009C7C82">
        <w:rPr>
          <w:rFonts w:ascii="Arial" w:hAnsi="Arial" w:cs="Arial"/>
          <w:color w:val="000000" w:themeColor="text1"/>
        </w:rPr>
        <w:br/>
        <w:t xml:space="preserve">i rozmieszczenie ogólnodostępnych stacji ładowania samochodów elektrycznych w Rzeszowie. </w:t>
      </w:r>
      <w:hyperlink r:id="rId5" w:tooltip="Otwiera stronę. Dokument nie dostępny cyfrowo" w:history="1">
        <w:r w:rsidRPr="009C7C82">
          <w:rPr>
            <w:rStyle w:val="Hipercze"/>
            <w:rFonts w:ascii="Arial" w:hAnsi="Arial" w:cs="Arial"/>
          </w:rPr>
          <w:t>bip.erzeszow.pl/static/img/k02/BRM/XXXII%20sesja-%2026%20maja/Uchwa%C5%82a%20Nr%20XXXII-654-2020.pdf</w:t>
        </w:r>
      </w:hyperlink>
    </w:p>
  </w:footnote>
  <w:footnote w:id="28">
    <w:p w14:paraId="29859FCA" w14:textId="2D6D5FDB" w:rsidR="00B830BA" w:rsidRPr="009C7C82" w:rsidRDefault="00B830BA" w:rsidP="009C7C82">
      <w:pPr>
        <w:pStyle w:val="Tekstprzypisudolnego"/>
        <w:spacing w:line="276" w:lineRule="auto"/>
        <w:contextualSpacing/>
        <w:rPr>
          <w:rFonts w:ascii="Arial" w:hAnsi="Arial" w:cs="Arial"/>
          <w:color w:val="000000" w:themeColor="text1"/>
        </w:rPr>
      </w:pPr>
      <w:r w:rsidRPr="009C7C82">
        <w:rPr>
          <w:rStyle w:val="Odwoanieprzypisudolnego"/>
          <w:rFonts w:ascii="Arial" w:hAnsi="Arial" w:cs="Arial"/>
          <w:color w:val="000000" w:themeColor="text1"/>
        </w:rPr>
        <w:footnoteRef/>
      </w:r>
      <w:r w:rsidRPr="009C7C82">
        <w:rPr>
          <w:rFonts w:ascii="Arial" w:hAnsi="Arial" w:cs="Arial"/>
          <w:color w:val="000000" w:themeColor="text1"/>
        </w:rPr>
        <w:t xml:space="preserve"> Jak informuje Podkarpacki Urząd Wojewódzki: Narodowy Fundusz Ochrony Środowiska </w:t>
      </w:r>
      <w:r w:rsidRPr="009C7C82">
        <w:rPr>
          <w:rFonts w:ascii="Arial" w:hAnsi="Arial" w:cs="Arial"/>
          <w:color w:val="000000" w:themeColor="text1"/>
        </w:rPr>
        <w:br/>
        <w:t xml:space="preserve">i Gospodarki Wodnej 27 czerwca 2023 roku podpisał z Polenergia Elektrociepłownia Nowa Sarzyna Sp. z o.o. umowę na udzielenie dotacji, celem realizacji inwestycji, w ramach której w Rzeszowie </w:t>
      </w:r>
      <w:r w:rsidRPr="009C7C82">
        <w:rPr>
          <w:rFonts w:ascii="Arial" w:hAnsi="Arial" w:cs="Arial"/>
          <w:color w:val="000000" w:themeColor="text1"/>
        </w:rPr>
        <w:br/>
        <w:t xml:space="preserve">i Nowej Sarzynie do 2025 r. powstaną dwie stacje tankowania wodoru. </w:t>
      </w:r>
      <w:hyperlink r:id="rId6" w:tooltip="Otwiera stronę" w:history="1">
        <w:r w:rsidRPr="009C7C82">
          <w:rPr>
            <w:rStyle w:val="Hipercze"/>
            <w:rFonts w:ascii="Arial" w:hAnsi="Arial" w:cs="Arial"/>
          </w:rPr>
          <w:t>rzeszow.uw.gov.pl/aktualnosci/20-mln-na-stacje-tankowania-wodoru-na-podkarpaciu</w:t>
        </w:r>
      </w:hyperlink>
    </w:p>
  </w:footnote>
  <w:footnote w:id="29">
    <w:p w14:paraId="4E34538D" w14:textId="0770FDD2" w:rsidR="00B830BA" w:rsidRPr="00390DDE" w:rsidRDefault="00B830BA" w:rsidP="009C7C82">
      <w:pPr>
        <w:pStyle w:val="Tekstprzypisudolnego"/>
        <w:spacing w:line="276" w:lineRule="auto"/>
        <w:rPr>
          <w:rFonts w:ascii="Arial" w:hAnsi="Arial" w:cs="Arial"/>
        </w:rPr>
      </w:pPr>
      <w:r w:rsidRPr="009C7C82">
        <w:rPr>
          <w:rStyle w:val="Odwoanieprzypisudolnego"/>
          <w:rFonts w:ascii="Arial" w:hAnsi="Arial" w:cs="Arial"/>
          <w:color w:val="000000" w:themeColor="text1"/>
        </w:rPr>
        <w:footnoteRef/>
      </w:r>
      <w:r w:rsidRPr="009C7C82">
        <w:rPr>
          <w:rFonts w:ascii="Arial" w:hAnsi="Arial" w:cs="Arial"/>
          <w:color w:val="000000" w:themeColor="text1"/>
        </w:rPr>
        <w:t xml:space="preserve"> </w:t>
      </w:r>
      <w:r w:rsidRPr="009C7C82">
        <w:rPr>
          <w:rFonts w:ascii="Arial" w:hAnsi="Arial" w:cs="Arial"/>
          <w:i/>
          <w:color w:val="000000" w:themeColor="text1"/>
        </w:rPr>
        <w:t>Wojewódzki program przeciwdziałania zmianom klimatu i skutkom tych zmian z uwzględnieniem odnawialnych źródeł energii i gospodarki w obiegu zamkniętym</w:t>
      </w:r>
      <w:r w:rsidRPr="009C7C82">
        <w:rPr>
          <w:rFonts w:ascii="Arial" w:hAnsi="Arial" w:cs="Arial"/>
          <w:color w:val="000000" w:themeColor="text1"/>
        </w:rPr>
        <w:t xml:space="preserve"> wraz z dokumentami towarzyszącymi jest dostępny na stronie Samorządu Wojewódz</w:t>
      </w:r>
      <w:r>
        <w:rPr>
          <w:rFonts w:ascii="Arial" w:hAnsi="Arial" w:cs="Arial"/>
          <w:color w:val="000000" w:themeColor="text1"/>
        </w:rPr>
        <w:t xml:space="preserve">twa Podkarpackiego pod adresem: </w:t>
      </w:r>
      <w:hyperlink r:id="rId7" w:tooltip="Otwiera stronę" w:history="1">
        <w:r w:rsidRPr="009C7C82">
          <w:rPr>
            <w:rStyle w:val="Hipercze"/>
            <w:rFonts w:ascii="Arial" w:hAnsi="Arial" w:cs="Arial"/>
          </w:rPr>
          <w:t>podkarpackie.pl/index.php/srodowisko/aktualnosci/wojewodzka-strategia-klimatyczna-przyjeta</w:t>
        </w:r>
      </w:hyperlink>
    </w:p>
  </w:footnote>
  <w:footnote w:id="30">
    <w:p w14:paraId="59F95F09" w14:textId="222194A9" w:rsidR="00B830BA" w:rsidRPr="00E70E0A" w:rsidRDefault="00B830BA" w:rsidP="00E70E0A">
      <w:pPr>
        <w:pStyle w:val="Tekstprzypisudolnego"/>
        <w:jc w:val="both"/>
        <w:rPr>
          <w:rFonts w:ascii="Arial" w:hAnsi="Arial" w:cs="Arial"/>
        </w:rPr>
      </w:pPr>
      <w:r w:rsidRPr="00E70E0A">
        <w:rPr>
          <w:rStyle w:val="Odwoanieprzypisudolnego"/>
          <w:rFonts w:ascii="Arial" w:hAnsi="Arial" w:cs="Arial"/>
        </w:rPr>
        <w:footnoteRef/>
      </w:r>
      <w:r w:rsidRPr="00E70E0A">
        <w:rPr>
          <w:rFonts w:ascii="Arial" w:hAnsi="Arial" w:cs="Arial"/>
        </w:rPr>
        <w:t xml:space="preserve"> </w:t>
      </w:r>
      <w:r w:rsidRPr="002532A2">
        <w:rPr>
          <w:rFonts w:ascii="Arial" w:hAnsi="Arial" w:cs="Arial"/>
          <w:color w:val="000000" w:themeColor="text1"/>
        </w:rPr>
        <w:t xml:space="preserve">Program poprawy bezpieczeństwa infrastruktury drogowej na sieci dróg wojewódzkich zarządzanych przez Podkarpacki Zarząd Dróg Wojewódzkich w Rzeszowie został przyjęty Uchwałą Nr LII/880/22 Sejmiku Województwa Podkarpackiego z dn. 29 sierpnia 2022 r. Dokument jest dostępny pod linkiem: </w:t>
      </w:r>
      <w:hyperlink r:id="rId8" w:tooltip="Otwiera stronę" w:history="1">
        <w:r w:rsidRPr="009C7C82">
          <w:rPr>
            <w:rStyle w:val="Hipercze"/>
            <w:rFonts w:ascii="Arial" w:hAnsi="Arial" w:cs="Arial"/>
          </w:rPr>
          <w:t>bip.podkarpackie.pl/index.php/uchwaly-sejmiku/6103-lii-sesja-sejmiku-wojewodztwa-podkarpackiego-vi-kadencja-z-dnia-29-sierpnia-2022-r</w:t>
        </w:r>
      </w:hyperlink>
    </w:p>
  </w:footnote>
  <w:footnote w:id="31">
    <w:p w14:paraId="61C3AB91" w14:textId="143D4914" w:rsidR="00B830BA" w:rsidRPr="006F4FD2" w:rsidRDefault="00B830BA" w:rsidP="009848C6">
      <w:pPr>
        <w:pStyle w:val="Tekstprzypisudolnego"/>
        <w:spacing w:after="0" w:line="276" w:lineRule="auto"/>
        <w:ind w:left="142" w:hanging="142"/>
        <w:rPr>
          <w:rFonts w:ascii="Arial" w:hAnsi="Arial" w:cs="Arial"/>
        </w:rPr>
      </w:pPr>
      <w:r w:rsidRPr="006F4FD2">
        <w:rPr>
          <w:rStyle w:val="Odwoanieprzypisudolnego"/>
          <w:rFonts w:ascii="Arial" w:hAnsi="Arial" w:cs="Arial"/>
        </w:rPr>
        <w:footnoteRef/>
      </w:r>
      <w:r w:rsidRPr="006F4FD2">
        <w:rPr>
          <w:rFonts w:ascii="Arial" w:hAnsi="Arial" w:cs="Arial"/>
        </w:rPr>
        <w:t xml:space="preserve"> Dla osiągnięcia jak najlepszego efektu prowadzonej interwencji preferencje w dostępie do finansowania otrzymają ośrodki miejskie, w których stosowane będzie zintegrowane podejście do działań związanych z kształtowaniem systemu transportowego poprzez tworzenie i realizację dokumentów spełniających ideę planów zrównoważonej mobilności miejskiej SUMP. Dla dużych miast wojewódzkich posiadanie SUMP będzie warunkiem w dostępie do środków UE, natomiast dla pozostałych miast niezbędne będzie wykazanie się dokumentem z zakresu planowania transportu. </w:t>
      </w:r>
    </w:p>
  </w:footnote>
  <w:footnote w:id="32">
    <w:p w14:paraId="2B4BB389" w14:textId="290A8607" w:rsidR="00B830BA" w:rsidRPr="006F4FD2" w:rsidRDefault="00B830BA" w:rsidP="0066223D">
      <w:pPr>
        <w:pStyle w:val="Tekstprzypisudolnego"/>
        <w:spacing w:after="0"/>
        <w:ind w:left="142" w:hanging="142"/>
        <w:rPr>
          <w:rFonts w:ascii="Arial" w:hAnsi="Arial" w:cs="Arial"/>
        </w:rPr>
      </w:pPr>
      <w:r w:rsidRPr="006F4FD2">
        <w:rPr>
          <w:rStyle w:val="Odwoanieprzypisudolnego"/>
          <w:rFonts w:ascii="Arial" w:hAnsi="Arial" w:cs="Arial"/>
        </w:rPr>
        <w:footnoteRef/>
      </w:r>
      <w:r>
        <w:rPr>
          <w:rFonts w:ascii="Arial" w:hAnsi="Arial" w:cs="Arial"/>
        </w:rPr>
        <w:t xml:space="preserve"> </w:t>
      </w:r>
      <w:r w:rsidRPr="006F4FD2">
        <w:rPr>
          <w:rFonts w:ascii="Arial" w:hAnsi="Arial" w:cs="Arial"/>
        </w:rPr>
        <w:t xml:space="preserve">Podsumowanie przeprowadzonych konsultacji wraz z najważniejszymi wnioskami znajduje się </w:t>
      </w:r>
      <w:r w:rsidRPr="006F4FD2">
        <w:rPr>
          <w:rFonts w:ascii="Arial" w:hAnsi="Arial" w:cs="Arial"/>
        </w:rPr>
        <w:br/>
        <w:t>w rozdziale VI.</w:t>
      </w:r>
    </w:p>
  </w:footnote>
  <w:footnote w:id="33">
    <w:p w14:paraId="544C5436" w14:textId="45C20C17" w:rsidR="00B830BA" w:rsidRPr="006F4FD2" w:rsidRDefault="00B830BA" w:rsidP="0066223D">
      <w:pPr>
        <w:pStyle w:val="Tekstprzypisudolnego"/>
        <w:ind w:left="142" w:hanging="142"/>
        <w:rPr>
          <w:rFonts w:ascii="Arial" w:hAnsi="Arial" w:cs="Arial"/>
        </w:rPr>
      </w:pPr>
      <w:r w:rsidRPr="006F4FD2">
        <w:rPr>
          <w:rStyle w:val="Odwoanieprzypisudolnego"/>
          <w:rFonts w:ascii="Arial" w:hAnsi="Arial" w:cs="Arial"/>
        </w:rPr>
        <w:footnoteRef/>
      </w:r>
      <w:r>
        <w:rPr>
          <w:rFonts w:ascii="Arial" w:hAnsi="Arial" w:cs="Arial"/>
        </w:rPr>
        <w:t xml:space="preserve"> </w:t>
      </w:r>
      <w:r w:rsidRPr="006F4FD2">
        <w:rPr>
          <w:rFonts w:ascii="Arial" w:hAnsi="Arial" w:cs="Arial"/>
        </w:rPr>
        <w:t>W kontekście projektowania oraz utrzymania infrastruktury drogowej zaleca się monitorowa</w:t>
      </w:r>
      <w:r>
        <w:rPr>
          <w:rFonts w:ascii="Arial" w:hAnsi="Arial" w:cs="Arial"/>
        </w:rPr>
        <w:t xml:space="preserve">nie strony internetowej: </w:t>
      </w:r>
      <w:hyperlink r:id="rId9" w:tooltip="Otwiera stronę" w:history="1">
        <w:r w:rsidRPr="0066223D">
          <w:rPr>
            <w:rStyle w:val="Hipercze"/>
            <w:rFonts w:ascii="Arial" w:hAnsi="Arial" w:cs="Arial"/>
          </w:rPr>
          <w:t>www.gov.pl/web/infrastruktura/wr-d</w:t>
        </w:r>
      </w:hyperlink>
      <w:r>
        <w:rPr>
          <w:rFonts w:ascii="Arial" w:hAnsi="Arial" w:cs="Arial"/>
        </w:rPr>
        <w:t xml:space="preserve"> </w:t>
      </w:r>
      <w:r w:rsidRPr="006F4FD2">
        <w:rPr>
          <w:rFonts w:ascii="Arial" w:hAnsi="Arial" w:cs="Arial"/>
        </w:rPr>
        <w:t>z zamieszczonymi wytycznymi Ministerstwa Infrastruktury traktując zawartość aktualnych dokumentów jako punkt odniesienia.</w:t>
      </w:r>
    </w:p>
  </w:footnote>
  <w:footnote w:id="34">
    <w:p w14:paraId="270688C0" w14:textId="77777777" w:rsidR="00B830BA" w:rsidRPr="0066223D" w:rsidRDefault="00B830BA" w:rsidP="0066223D">
      <w:pPr>
        <w:pStyle w:val="Tekstprzypisudolnego"/>
        <w:spacing w:after="0" w:line="240" w:lineRule="auto"/>
        <w:ind w:left="284" w:hanging="284"/>
        <w:rPr>
          <w:rFonts w:ascii="Arial" w:hAnsi="Arial" w:cs="Arial"/>
          <w:color w:val="000000" w:themeColor="text1"/>
        </w:rPr>
      </w:pPr>
      <w:r w:rsidRPr="006F4FD2">
        <w:rPr>
          <w:rStyle w:val="Odwoanieprzypisudolnego"/>
          <w:rFonts w:ascii="Arial" w:hAnsi="Arial" w:cs="Arial"/>
        </w:rPr>
        <w:footnoteRef/>
      </w:r>
      <w:r w:rsidRPr="006F4FD2">
        <w:rPr>
          <w:rFonts w:ascii="Arial" w:hAnsi="Arial" w:cs="Arial"/>
        </w:rPr>
        <w:t xml:space="preserve"> </w:t>
      </w:r>
      <w:r w:rsidRPr="0066223D">
        <w:rPr>
          <w:rFonts w:ascii="Arial" w:hAnsi="Arial" w:cs="Arial"/>
          <w:i/>
          <w:iCs/>
          <w:color w:val="000000" w:themeColor="text1"/>
        </w:rPr>
        <w:t>Sprawozdanie Krajowe - Polska 2019</w:t>
      </w:r>
      <w:r w:rsidRPr="0066223D">
        <w:rPr>
          <w:rFonts w:ascii="Arial" w:hAnsi="Arial" w:cs="Arial"/>
          <w:color w:val="000000" w:themeColor="text1"/>
        </w:rPr>
        <w:t xml:space="preserve">, Załącznik D: </w:t>
      </w:r>
      <w:r w:rsidRPr="0066223D">
        <w:rPr>
          <w:rFonts w:ascii="Arial" w:hAnsi="Arial" w:cs="Arial"/>
          <w:i/>
          <w:iCs/>
          <w:color w:val="000000" w:themeColor="text1"/>
        </w:rPr>
        <w:t xml:space="preserve">Wytyczne Inwestycyjne dla Polski w zakresie finansowania polityki spójności na lata 2021-2027.  </w:t>
      </w:r>
    </w:p>
  </w:footnote>
  <w:footnote w:id="35">
    <w:p w14:paraId="72604DA0" w14:textId="64F33C1F" w:rsidR="00B830BA" w:rsidRPr="006F4FD2" w:rsidRDefault="00B830BA" w:rsidP="0066223D">
      <w:pPr>
        <w:spacing w:after="0"/>
        <w:ind w:left="284" w:hanging="284"/>
        <w:rPr>
          <w:rFonts w:ascii="Arial" w:hAnsi="Arial" w:cs="Arial"/>
          <w:sz w:val="20"/>
          <w:szCs w:val="20"/>
        </w:rPr>
      </w:pPr>
      <w:r w:rsidRPr="0066223D">
        <w:rPr>
          <w:rStyle w:val="Odwoanieprzypisudolnego"/>
          <w:rFonts w:ascii="Arial" w:hAnsi="Arial" w:cs="Arial"/>
          <w:color w:val="000000" w:themeColor="text1"/>
          <w:sz w:val="20"/>
          <w:szCs w:val="20"/>
        </w:rPr>
        <w:footnoteRef/>
      </w:r>
      <w:r w:rsidRPr="0066223D">
        <w:rPr>
          <w:rFonts w:ascii="Arial" w:hAnsi="Arial" w:cs="Arial"/>
          <w:color w:val="000000" w:themeColor="text1"/>
          <w:sz w:val="20"/>
          <w:szCs w:val="20"/>
        </w:rPr>
        <w:t xml:space="preserve"> </w:t>
      </w:r>
      <w:r w:rsidRPr="0066223D">
        <w:rPr>
          <w:rStyle w:val="markedcontent"/>
          <w:rFonts w:ascii="Arial" w:eastAsiaTheme="majorEastAsia" w:hAnsi="Arial" w:cs="Arial"/>
          <w:color w:val="000000" w:themeColor="text1"/>
          <w:sz w:val="20"/>
          <w:szCs w:val="20"/>
        </w:rPr>
        <w:t>Interwencja w zakresie dróg wojewódzkich</w:t>
      </w:r>
      <w:r w:rsidRPr="0066223D">
        <w:rPr>
          <w:rStyle w:val="markedcontent"/>
          <w:rFonts w:ascii="Arial" w:hAnsi="Arial" w:cs="Arial"/>
          <w:color w:val="000000" w:themeColor="text1"/>
          <w:sz w:val="20"/>
          <w:szCs w:val="20"/>
        </w:rPr>
        <w:t xml:space="preserve"> w ramach programu</w:t>
      </w:r>
      <w:r w:rsidRPr="0066223D">
        <w:rPr>
          <w:rStyle w:val="markedcontent"/>
          <w:rFonts w:ascii="Arial" w:eastAsiaTheme="majorEastAsia" w:hAnsi="Arial" w:cs="Arial"/>
          <w:color w:val="000000" w:themeColor="text1"/>
          <w:sz w:val="20"/>
          <w:szCs w:val="20"/>
        </w:rPr>
        <w:t xml:space="preserve"> </w:t>
      </w:r>
      <w:r w:rsidRPr="0066223D">
        <w:rPr>
          <w:rStyle w:val="markedcontent"/>
          <w:rFonts w:ascii="Arial" w:hAnsi="Arial" w:cs="Arial"/>
          <w:color w:val="000000" w:themeColor="text1"/>
          <w:sz w:val="20"/>
          <w:szCs w:val="20"/>
        </w:rPr>
        <w:t xml:space="preserve">FEP </w:t>
      </w:r>
      <w:r w:rsidRPr="0066223D">
        <w:rPr>
          <w:rFonts w:ascii="Arial" w:hAnsi="Arial" w:cs="Arial"/>
          <w:color w:val="000000" w:themeColor="text1"/>
          <w:sz w:val="20"/>
          <w:szCs w:val="20"/>
        </w:rPr>
        <w:t xml:space="preserve">2021-2027 </w:t>
      </w:r>
      <w:r w:rsidRPr="0066223D">
        <w:rPr>
          <w:rStyle w:val="markedcontent"/>
          <w:rFonts w:ascii="Arial" w:eastAsiaTheme="majorEastAsia" w:hAnsi="Arial" w:cs="Arial"/>
          <w:color w:val="000000" w:themeColor="text1"/>
          <w:sz w:val="20"/>
          <w:szCs w:val="20"/>
        </w:rPr>
        <w:t>będ</w:t>
      </w:r>
      <w:r w:rsidRPr="0066223D">
        <w:rPr>
          <w:rStyle w:val="markedcontent"/>
          <w:rFonts w:ascii="Arial" w:hAnsi="Arial" w:cs="Arial"/>
          <w:color w:val="000000" w:themeColor="text1"/>
          <w:sz w:val="20"/>
          <w:szCs w:val="20"/>
        </w:rPr>
        <w:t>zie</w:t>
      </w:r>
      <w:r w:rsidRPr="0066223D">
        <w:rPr>
          <w:rStyle w:val="markedcontent"/>
          <w:rFonts w:ascii="Arial" w:eastAsiaTheme="majorEastAsia" w:hAnsi="Arial" w:cs="Arial"/>
          <w:color w:val="000000" w:themeColor="text1"/>
          <w:sz w:val="20"/>
          <w:szCs w:val="20"/>
        </w:rPr>
        <w:t xml:space="preserve"> komplementarna do inwestycji</w:t>
      </w:r>
      <w:r w:rsidRPr="0066223D">
        <w:rPr>
          <w:rFonts w:ascii="Arial" w:hAnsi="Arial" w:cs="Arial"/>
          <w:color w:val="000000" w:themeColor="text1"/>
          <w:sz w:val="20"/>
          <w:szCs w:val="20"/>
        </w:rPr>
        <w:t xml:space="preserve"> </w:t>
      </w:r>
      <w:r w:rsidRPr="0066223D">
        <w:rPr>
          <w:rStyle w:val="markedcontent"/>
          <w:rFonts w:ascii="Arial" w:eastAsiaTheme="majorEastAsia" w:hAnsi="Arial" w:cs="Arial"/>
          <w:color w:val="000000" w:themeColor="text1"/>
          <w:sz w:val="20"/>
          <w:szCs w:val="20"/>
        </w:rPr>
        <w:t>finansowanych w ramach</w:t>
      </w:r>
      <w:r w:rsidRPr="0066223D">
        <w:rPr>
          <w:rStyle w:val="markedcontent"/>
          <w:rFonts w:ascii="Arial" w:hAnsi="Arial" w:cs="Arial"/>
          <w:color w:val="000000" w:themeColor="text1"/>
          <w:sz w:val="20"/>
          <w:szCs w:val="20"/>
        </w:rPr>
        <w:t xml:space="preserve"> FEPW </w:t>
      </w:r>
      <w:r w:rsidRPr="0066223D">
        <w:rPr>
          <w:rFonts w:ascii="Arial" w:hAnsi="Arial" w:cs="Arial"/>
          <w:color w:val="000000" w:themeColor="text1"/>
          <w:sz w:val="20"/>
          <w:szCs w:val="20"/>
        </w:rPr>
        <w:t>2021-2027</w:t>
      </w:r>
      <w:r w:rsidRPr="0066223D">
        <w:rPr>
          <w:rStyle w:val="markedcontent"/>
          <w:rFonts w:ascii="Arial" w:eastAsiaTheme="majorEastAsia" w:hAnsi="Arial" w:cs="Arial"/>
          <w:color w:val="000000" w:themeColor="text1"/>
          <w:sz w:val="20"/>
          <w:szCs w:val="20"/>
        </w:rPr>
        <w:t>, a podstawę demarkacji będzie stanowił regionalny plan</w:t>
      </w:r>
      <w:r w:rsidRPr="0066223D">
        <w:rPr>
          <w:rFonts w:ascii="Arial" w:hAnsi="Arial" w:cs="Arial"/>
          <w:color w:val="000000" w:themeColor="text1"/>
          <w:sz w:val="20"/>
          <w:szCs w:val="20"/>
        </w:rPr>
        <w:t xml:space="preserve"> </w:t>
      </w:r>
      <w:r w:rsidRPr="0066223D">
        <w:rPr>
          <w:rStyle w:val="markedcontent"/>
          <w:rFonts w:ascii="Arial" w:eastAsiaTheme="majorEastAsia" w:hAnsi="Arial" w:cs="Arial"/>
          <w:color w:val="000000" w:themeColor="text1"/>
          <w:sz w:val="20"/>
          <w:szCs w:val="20"/>
        </w:rPr>
        <w:t>transportowy</w:t>
      </w:r>
      <w:r w:rsidRPr="0066223D">
        <w:rPr>
          <w:rStyle w:val="markedcontent"/>
          <w:rFonts w:ascii="Arial" w:hAnsi="Arial" w:cs="Arial"/>
          <w:color w:val="000000" w:themeColor="text1"/>
          <w:sz w:val="20"/>
          <w:szCs w:val="20"/>
        </w:rPr>
        <w:t xml:space="preserve">. </w:t>
      </w:r>
      <w:r w:rsidRPr="0066223D">
        <w:rPr>
          <w:rFonts w:ascii="Arial" w:hAnsi="Arial" w:cs="Arial"/>
          <w:color w:val="000000" w:themeColor="text1"/>
          <w:sz w:val="20"/>
          <w:szCs w:val="20"/>
        </w:rPr>
        <w:t xml:space="preserve">Komitety Monitorujące FEP 2021-2027 oraz </w:t>
      </w:r>
      <w:r w:rsidRPr="0066223D">
        <w:rPr>
          <w:rStyle w:val="markedcontent"/>
          <w:rFonts w:ascii="Arial" w:hAnsi="Arial" w:cs="Arial"/>
          <w:color w:val="000000" w:themeColor="text1"/>
          <w:sz w:val="20"/>
          <w:szCs w:val="20"/>
        </w:rPr>
        <w:t xml:space="preserve">FEPW </w:t>
      </w:r>
      <w:r w:rsidRPr="0066223D">
        <w:rPr>
          <w:rFonts w:ascii="Arial" w:hAnsi="Arial" w:cs="Arial"/>
          <w:color w:val="000000" w:themeColor="text1"/>
          <w:sz w:val="20"/>
          <w:szCs w:val="20"/>
        </w:rPr>
        <w:t xml:space="preserve">2021-2027 </w:t>
      </w:r>
      <w:bookmarkStart w:id="385" w:name="_Hlk92546422"/>
      <w:r w:rsidRPr="0066223D">
        <w:rPr>
          <w:rFonts w:ascii="Arial" w:hAnsi="Arial" w:cs="Arial"/>
          <w:color w:val="000000" w:themeColor="text1"/>
          <w:sz w:val="20"/>
          <w:szCs w:val="20"/>
        </w:rPr>
        <w:t>odpowiadają za przyjęcie kryteriów wyboru projektów (inwestycji) kluczowych do finansowania ze środków europejskich.</w:t>
      </w:r>
      <w:bookmarkEnd w:id="385"/>
    </w:p>
  </w:footnote>
  <w:footnote w:id="36">
    <w:p w14:paraId="6688FA4F" w14:textId="53583EBD" w:rsidR="00B830BA" w:rsidRPr="006F4FD2" w:rsidRDefault="00B830BA" w:rsidP="001D0B46">
      <w:pPr>
        <w:pStyle w:val="Tekstprzypisudolnego"/>
        <w:spacing w:after="0" w:line="276" w:lineRule="auto"/>
        <w:ind w:left="142" w:hanging="142"/>
        <w:jc w:val="both"/>
        <w:rPr>
          <w:rFonts w:ascii="Arial" w:hAnsi="Arial" w:cs="Arial"/>
        </w:rPr>
      </w:pPr>
      <w:r w:rsidRPr="006F4FD2">
        <w:rPr>
          <w:rStyle w:val="Odwoanieprzypisudolnego"/>
          <w:rFonts w:ascii="Arial" w:hAnsi="Arial" w:cs="Arial"/>
        </w:rPr>
        <w:footnoteRef/>
      </w:r>
      <w:r w:rsidRPr="006F4FD2">
        <w:rPr>
          <w:rFonts w:ascii="Arial" w:hAnsi="Arial" w:cs="Arial"/>
        </w:rPr>
        <w:t xml:space="preserve"> Obszary te wskazano w części 1.2.</w:t>
      </w:r>
      <w:r w:rsidRPr="006F4FD2">
        <w:rPr>
          <w:rFonts w:ascii="Arial" w:hAnsi="Arial" w:cs="Arial"/>
        </w:rPr>
        <w:tab/>
        <w:t>Generatory ruchu jako punkt</w:t>
      </w:r>
      <w:r>
        <w:rPr>
          <w:rFonts w:ascii="Arial" w:hAnsi="Arial" w:cs="Arial"/>
        </w:rPr>
        <w:t xml:space="preserve">owe miejsca wymagające obsługi </w:t>
      </w:r>
      <w:r>
        <w:rPr>
          <w:rFonts w:ascii="Arial" w:hAnsi="Arial" w:cs="Arial"/>
        </w:rPr>
        <w:br/>
      </w:r>
      <w:r w:rsidRPr="006F4FD2">
        <w:rPr>
          <w:rFonts w:ascii="Arial" w:hAnsi="Arial" w:cs="Arial"/>
        </w:rPr>
        <w:t>w transporcie pasażerskim i towarowym dokumentu</w:t>
      </w:r>
    </w:p>
  </w:footnote>
  <w:footnote w:id="37">
    <w:p w14:paraId="00F06F5F" w14:textId="1A935226" w:rsidR="00B830BA" w:rsidRPr="006F4FD2" w:rsidRDefault="00B830BA" w:rsidP="001D0B46">
      <w:pPr>
        <w:pStyle w:val="Tekstprzypisudolnego"/>
        <w:spacing w:after="0" w:line="276" w:lineRule="auto"/>
        <w:ind w:left="142" w:hanging="142"/>
        <w:rPr>
          <w:rFonts w:ascii="Arial" w:hAnsi="Arial" w:cs="Arial"/>
        </w:rPr>
      </w:pPr>
      <w:r w:rsidRPr="006F4FD2">
        <w:rPr>
          <w:rStyle w:val="Odwoanieprzypisudolnego"/>
          <w:rFonts w:ascii="Arial" w:hAnsi="Arial" w:cs="Arial"/>
        </w:rPr>
        <w:footnoteRef/>
      </w:r>
      <w:r w:rsidRPr="006F4FD2">
        <w:rPr>
          <w:rFonts w:ascii="Arial" w:hAnsi="Arial" w:cs="Arial"/>
        </w:rPr>
        <w:t xml:space="preserve"> Cel horyzontalny 1. </w:t>
      </w:r>
      <w:r w:rsidRPr="006F4FD2">
        <w:rPr>
          <w:rFonts w:ascii="Arial" w:hAnsi="Arial" w:cs="Arial"/>
          <w:i/>
          <w:iCs/>
        </w:rPr>
        <w:t>Ograniczenie negatywnego oddziaływania sektora transportu na klimat oraz na regionalne środowisko naturalne</w:t>
      </w:r>
      <w:r w:rsidR="00A26349">
        <w:rPr>
          <w:rFonts w:ascii="Arial" w:hAnsi="Arial" w:cs="Arial"/>
        </w:rPr>
        <w:t xml:space="preserve"> wskazano w części III. </w:t>
      </w:r>
      <w:r w:rsidRPr="006F4FD2">
        <w:rPr>
          <w:rFonts w:ascii="Arial" w:hAnsi="Arial" w:cs="Arial"/>
        </w:rPr>
        <w:t>Cele i kierunki rozwoju regionalnego systemu transportowego</w:t>
      </w:r>
    </w:p>
  </w:footnote>
  <w:footnote w:id="38">
    <w:p w14:paraId="670975AD" w14:textId="7F99F98B" w:rsidR="00B830BA" w:rsidRPr="006F4FD2" w:rsidRDefault="00B830BA" w:rsidP="00A26349">
      <w:pPr>
        <w:pStyle w:val="Tekstprzypisudolnego"/>
        <w:spacing w:after="0" w:line="276" w:lineRule="auto"/>
        <w:ind w:left="142" w:hanging="142"/>
        <w:rPr>
          <w:rFonts w:ascii="Arial" w:hAnsi="Arial" w:cs="Arial"/>
        </w:rPr>
      </w:pPr>
      <w:r w:rsidRPr="006F4FD2">
        <w:rPr>
          <w:rStyle w:val="Odwoanieprzypisudolnego"/>
          <w:rFonts w:ascii="Arial" w:hAnsi="Arial" w:cs="Arial"/>
        </w:rPr>
        <w:footnoteRef/>
      </w:r>
      <w:r w:rsidRPr="006F4FD2">
        <w:rPr>
          <w:rFonts w:ascii="Arial" w:hAnsi="Arial" w:cs="Arial"/>
        </w:rPr>
        <w:t xml:space="preserve"> Cel horyzontalny 1. </w:t>
      </w:r>
      <w:r w:rsidRPr="006F4FD2">
        <w:rPr>
          <w:rFonts w:ascii="Arial" w:hAnsi="Arial" w:cs="Arial"/>
          <w:i/>
          <w:iCs/>
        </w:rPr>
        <w:t xml:space="preserve">Wzmocnienie rozwiązań multimodalnych </w:t>
      </w:r>
      <w:r w:rsidR="00A26349">
        <w:rPr>
          <w:rFonts w:ascii="Arial" w:hAnsi="Arial" w:cs="Arial"/>
        </w:rPr>
        <w:t xml:space="preserve">wskazano w części III. </w:t>
      </w:r>
      <w:r w:rsidRPr="006F4FD2">
        <w:rPr>
          <w:rFonts w:ascii="Arial" w:hAnsi="Arial" w:cs="Arial"/>
        </w:rPr>
        <w:t>Cele i kierunki rozwoju regionalnego systemu transportowego</w:t>
      </w:r>
    </w:p>
  </w:footnote>
  <w:footnote w:id="39">
    <w:p w14:paraId="56E17154" w14:textId="1E167BA0" w:rsidR="00B830BA" w:rsidRPr="006F4FD2" w:rsidRDefault="00B830BA" w:rsidP="00A26349">
      <w:pPr>
        <w:pStyle w:val="Tekstprzypisudolnego"/>
        <w:spacing w:after="0"/>
        <w:ind w:left="142" w:hanging="142"/>
        <w:rPr>
          <w:rFonts w:ascii="Arial" w:hAnsi="Arial" w:cs="Arial"/>
        </w:rPr>
      </w:pPr>
      <w:r w:rsidRPr="006F4FD2">
        <w:rPr>
          <w:rStyle w:val="Odwoanieprzypisudolnego"/>
          <w:rFonts w:ascii="Arial" w:hAnsi="Arial" w:cs="Arial"/>
        </w:rPr>
        <w:footnoteRef/>
      </w:r>
      <w:r w:rsidRPr="006F4FD2">
        <w:rPr>
          <w:rFonts w:ascii="Arial" w:hAnsi="Arial" w:cs="Arial"/>
        </w:rPr>
        <w:t xml:space="preserve"> Cel horyzontalny 3. </w:t>
      </w:r>
      <w:r w:rsidRPr="006F4FD2">
        <w:rPr>
          <w:rFonts w:ascii="Arial" w:hAnsi="Arial" w:cs="Arial"/>
          <w:i/>
          <w:iCs/>
        </w:rPr>
        <w:t xml:space="preserve">Rozwój transportu publicznego </w:t>
      </w:r>
      <w:r w:rsidR="00A26349">
        <w:rPr>
          <w:rFonts w:ascii="Arial" w:hAnsi="Arial" w:cs="Arial"/>
        </w:rPr>
        <w:t xml:space="preserve">wskazano w części III. </w:t>
      </w:r>
      <w:r w:rsidRPr="006F4FD2">
        <w:rPr>
          <w:rFonts w:ascii="Arial" w:hAnsi="Arial" w:cs="Arial"/>
        </w:rPr>
        <w:t>Cele i kierunki rozwoju regionalnego systemu transportowego</w:t>
      </w:r>
    </w:p>
  </w:footnote>
  <w:footnote w:id="40">
    <w:p w14:paraId="25CA736F" w14:textId="6691B201" w:rsidR="00B830BA" w:rsidRPr="006F4FD2" w:rsidRDefault="00B830BA" w:rsidP="00A26349">
      <w:pPr>
        <w:pStyle w:val="Tekstprzypisudolnego"/>
        <w:spacing w:after="0" w:line="276" w:lineRule="auto"/>
        <w:ind w:left="142" w:hanging="142"/>
        <w:rPr>
          <w:rFonts w:ascii="Arial" w:hAnsi="Arial" w:cs="Arial"/>
        </w:rPr>
      </w:pPr>
      <w:r w:rsidRPr="006F4FD2">
        <w:rPr>
          <w:rStyle w:val="Odwoanieprzypisudolnego"/>
          <w:rFonts w:ascii="Arial" w:hAnsi="Arial" w:cs="Arial"/>
        </w:rPr>
        <w:footnoteRef/>
      </w:r>
      <w:r w:rsidRPr="006F4FD2">
        <w:rPr>
          <w:rFonts w:ascii="Arial" w:hAnsi="Arial" w:cs="Arial"/>
        </w:rPr>
        <w:t xml:space="preserve"> Cel horyzontalny 4. </w:t>
      </w:r>
      <w:r w:rsidRPr="006F4FD2">
        <w:rPr>
          <w:rFonts w:ascii="Arial" w:hAnsi="Arial" w:cs="Arial"/>
          <w:i/>
          <w:iCs/>
        </w:rPr>
        <w:t xml:space="preserve">Poprawa bezpieczeństwa w transporcie </w:t>
      </w:r>
      <w:r w:rsidR="00A26349">
        <w:rPr>
          <w:rFonts w:ascii="Arial" w:hAnsi="Arial" w:cs="Arial"/>
        </w:rPr>
        <w:t xml:space="preserve">wskazano w części III. </w:t>
      </w:r>
      <w:r w:rsidRPr="006F4FD2">
        <w:rPr>
          <w:rFonts w:ascii="Arial" w:hAnsi="Arial" w:cs="Arial"/>
        </w:rPr>
        <w:t>Cele i kierunki rozwoju regionalnego systemu transportowego</w:t>
      </w:r>
    </w:p>
  </w:footnote>
  <w:footnote w:id="41">
    <w:p w14:paraId="7C723CB7" w14:textId="1727D65A" w:rsidR="00B830BA" w:rsidRPr="006F4FD2" w:rsidRDefault="00B830BA" w:rsidP="0099520C">
      <w:pPr>
        <w:pStyle w:val="Tekstprzypisudolnego"/>
        <w:spacing w:after="0" w:line="276" w:lineRule="auto"/>
        <w:ind w:left="142" w:hanging="142"/>
        <w:rPr>
          <w:rFonts w:ascii="Arial" w:hAnsi="Arial" w:cs="Arial"/>
        </w:rPr>
      </w:pPr>
      <w:r w:rsidRPr="006F4FD2">
        <w:rPr>
          <w:rStyle w:val="Odwoanieprzypisudolnego"/>
          <w:rFonts w:ascii="Arial" w:hAnsi="Arial" w:cs="Arial"/>
        </w:rPr>
        <w:footnoteRef/>
      </w:r>
      <w:r>
        <w:rPr>
          <w:rFonts w:ascii="Arial" w:hAnsi="Arial" w:cs="Arial"/>
        </w:rPr>
        <w:t>Uwaga! P</w:t>
      </w:r>
      <w:r w:rsidRPr="006F4FD2">
        <w:rPr>
          <w:rFonts w:ascii="Arial" w:hAnsi="Arial" w:cs="Arial"/>
        </w:rPr>
        <w:t xml:space="preserve">rzeliczeń dokonano na podstawie bieżącego kursu średniego walut obcych w złotych określonych w § 2 pkt 1 i 2 uchwały Nr 51/2002 Zarządu Narodowego Banku Polskiego z dnia 23 września 2002 r. w sprawie sposobu wyliczania i ogłaszania bieżących kursów walut obcych </w:t>
      </w:r>
      <w:r>
        <w:rPr>
          <w:rFonts w:ascii="Arial" w:hAnsi="Arial" w:cs="Arial"/>
        </w:rPr>
        <w:br/>
      </w:r>
      <w:r w:rsidRPr="0013724D">
        <w:rPr>
          <w:rFonts w:ascii="Arial" w:hAnsi="Arial" w:cs="Arial"/>
        </w:rPr>
        <w:t>(Dz. Urz. NBP z 2023 r. poz. 1), Tabela nr 147/A/NBP/2023 z dnia 2023-08-01</w:t>
      </w:r>
      <w:r>
        <w:rPr>
          <w:rFonts w:ascii="Arial" w:hAnsi="Arial" w:cs="Arial"/>
        </w:rPr>
        <w:t xml:space="preserve"> (1 EUR = 4,4190).</w:t>
      </w:r>
    </w:p>
  </w:footnote>
  <w:footnote w:id="42">
    <w:p w14:paraId="426F330A" w14:textId="75FA1C97" w:rsidR="00B830BA" w:rsidRPr="006F4FD2" w:rsidRDefault="00B830BA" w:rsidP="0099520C">
      <w:pPr>
        <w:pStyle w:val="Tekstprzypisudolnego"/>
        <w:spacing w:after="0" w:line="276" w:lineRule="auto"/>
        <w:ind w:left="142" w:hanging="142"/>
        <w:rPr>
          <w:rFonts w:ascii="Arial" w:hAnsi="Arial" w:cs="Arial"/>
        </w:rPr>
      </w:pPr>
      <w:r w:rsidRPr="006F4FD2">
        <w:rPr>
          <w:rStyle w:val="Odwoanieprzypisudolnego"/>
          <w:rFonts w:ascii="Arial" w:hAnsi="Arial" w:cs="Arial"/>
        </w:rPr>
        <w:footnoteRef/>
      </w:r>
      <w:r w:rsidRPr="006F4FD2">
        <w:rPr>
          <w:rFonts w:ascii="Arial" w:hAnsi="Arial" w:cs="Arial"/>
        </w:rPr>
        <w:t xml:space="preserve">Uwagi metodologiczne do sposobu opracowania danych zamieszczonych w tabeli znajdują się </w:t>
      </w:r>
      <w:r w:rsidRPr="006F4FD2">
        <w:rPr>
          <w:rFonts w:ascii="Arial" w:hAnsi="Arial" w:cs="Arial"/>
        </w:rPr>
        <w:br/>
        <w:t>w Aneksie.</w:t>
      </w:r>
    </w:p>
  </w:footnote>
  <w:footnote w:id="43">
    <w:p w14:paraId="1C133379" w14:textId="0A6F7DF5" w:rsidR="00B830BA" w:rsidRPr="006F4FD2" w:rsidRDefault="00B830BA" w:rsidP="00A50C3D">
      <w:pPr>
        <w:pStyle w:val="Tekstprzypisudolnego"/>
        <w:ind w:left="142" w:hanging="142"/>
        <w:contextualSpacing/>
        <w:jc w:val="both"/>
        <w:rPr>
          <w:rFonts w:ascii="Arial" w:hAnsi="Arial" w:cs="Arial"/>
        </w:rPr>
      </w:pPr>
      <w:r w:rsidRPr="006F4FD2">
        <w:rPr>
          <w:rStyle w:val="Odwoanieprzypisudolnego"/>
          <w:rFonts w:ascii="Arial" w:hAnsi="Arial" w:cs="Arial"/>
        </w:rPr>
        <w:footnoteRef/>
      </w:r>
      <w:r w:rsidRPr="006F4FD2">
        <w:rPr>
          <w:rFonts w:ascii="Arial" w:hAnsi="Arial" w:cs="Arial"/>
        </w:rPr>
        <w:t xml:space="preserve"> </w:t>
      </w:r>
      <w:bookmarkStart w:id="400" w:name="_Hlk92717464"/>
      <w:r w:rsidRPr="006F4FD2">
        <w:rPr>
          <w:rFonts w:ascii="Arial" w:hAnsi="Arial" w:cs="Arial"/>
        </w:rPr>
        <w:t>Uwaga! Wskazana kwota jest szacunkowa i stanowi jedynie sumę prognozowanych krajowych nakładów w drogowej części systemu transportowego województwa podkarpackiego do roku 2030 oraz ogólnej kwoty środków potencjalnie dostępnych na zadania transportowe w programach</w:t>
      </w:r>
      <w:r w:rsidRPr="006F4FD2">
        <w:rPr>
          <w:rFonts w:ascii="Arial" w:hAnsi="Arial" w:cs="Arial"/>
        </w:rPr>
        <w:br/>
        <w:t xml:space="preserve">z </w:t>
      </w:r>
      <w:r>
        <w:rPr>
          <w:rFonts w:ascii="Arial" w:hAnsi="Arial" w:cs="Arial"/>
        </w:rPr>
        <w:t>F</w:t>
      </w:r>
      <w:r w:rsidRPr="006F4FD2">
        <w:rPr>
          <w:rFonts w:ascii="Arial" w:hAnsi="Arial" w:cs="Arial"/>
        </w:rPr>
        <w:t xml:space="preserve">unduszy </w:t>
      </w:r>
      <w:r>
        <w:rPr>
          <w:rFonts w:ascii="Arial" w:hAnsi="Arial" w:cs="Arial"/>
        </w:rPr>
        <w:t>E</w:t>
      </w:r>
      <w:r w:rsidRPr="006F4FD2">
        <w:rPr>
          <w:rFonts w:ascii="Arial" w:hAnsi="Arial" w:cs="Arial"/>
        </w:rPr>
        <w:t>uropejskich w ramach unijnej polityki spójności na lata 2021-2027 oraz KPO.</w:t>
      </w:r>
      <w:bookmarkEnd w:id="400"/>
    </w:p>
  </w:footnote>
  <w:footnote w:id="44">
    <w:p w14:paraId="7E074DC8" w14:textId="77777777" w:rsidR="00B830BA" w:rsidRPr="006F4FD2" w:rsidRDefault="00B830BA" w:rsidP="00FB2CB0">
      <w:pPr>
        <w:pStyle w:val="Tekstprzypisudolnego"/>
        <w:spacing w:after="0" w:line="240" w:lineRule="auto"/>
        <w:ind w:left="142" w:hanging="142"/>
        <w:contextualSpacing/>
        <w:jc w:val="both"/>
        <w:rPr>
          <w:rFonts w:ascii="Arial" w:hAnsi="Arial" w:cs="Arial"/>
        </w:rPr>
      </w:pPr>
      <w:r w:rsidRPr="006F4FD2">
        <w:rPr>
          <w:rStyle w:val="Odwoanieprzypisudolnego"/>
          <w:rFonts w:ascii="Arial" w:hAnsi="Arial" w:cs="Arial"/>
        </w:rPr>
        <w:footnoteRef/>
      </w:r>
      <w:r w:rsidRPr="006F4FD2">
        <w:rPr>
          <w:rFonts w:ascii="Arial" w:hAnsi="Arial" w:cs="Arial"/>
        </w:rPr>
        <w:t xml:space="preserve"> Uwagi metodologiczne do sposobu opracowania danych zamieszczonych w tabeli znajdują się </w:t>
      </w:r>
      <w:r w:rsidRPr="006F4FD2">
        <w:rPr>
          <w:rFonts w:ascii="Arial" w:hAnsi="Arial" w:cs="Arial"/>
        </w:rPr>
        <w:br/>
        <w:t xml:space="preserve">w Aneksie. </w:t>
      </w:r>
    </w:p>
  </w:footnote>
  <w:footnote w:id="45">
    <w:p w14:paraId="6F721173" w14:textId="7BEEB1B1" w:rsidR="00B830BA" w:rsidRPr="006F4FD2" w:rsidRDefault="00B830BA" w:rsidP="0099520C">
      <w:pPr>
        <w:pStyle w:val="Tekstprzypisudolnego"/>
        <w:spacing w:after="0" w:line="276" w:lineRule="auto"/>
        <w:ind w:left="142" w:hanging="142"/>
        <w:rPr>
          <w:rFonts w:ascii="Arial" w:hAnsi="Arial" w:cs="Arial"/>
        </w:rPr>
      </w:pPr>
      <w:r w:rsidRPr="006F4FD2">
        <w:rPr>
          <w:rStyle w:val="Odwoanieprzypisudolnego"/>
          <w:rFonts w:ascii="Arial" w:hAnsi="Arial" w:cs="Arial"/>
        </w:rPr>
        <w:footnoteRef/>
      </w:r>
      <w:r w:rsidRPr="006F4FD2">
        <w:rPr>
          <w:rFonts w:ascii="Arial" w:hAnsi="Arial" w:cs="Arial"/>
        </w:rPr>
        <w:t>Tabela ma charakter orientacyjny i nie obejmuje przyporządkowania do Celów horyzontalnych ze względu zamieszczenie w obrębie niniejszego układu większości zadań ujętych we wspomnianych Celach. Zadania nie ujęte w niniejszej tabeli, a znajdujące się w Celach horyzontalnych dotyczą faktycznie równocześnie wszystkich Celów podstawowych i mają możliwość dofinansowania Funduszami Europejskimi zgodnie z założeniami Umowy Partnerstwa oraz zapisami w części kierunkowej PSRT WP. Przyporządkowanie środków UE na zadania ujęte w Celach horyzontalnych zgodnie z tabelą dotyczącą Linii demarkacyjnej zamieszczoną w niniejszym dokumencie. Dofinasowanie zadań zamieszczonych w Celach horyzontalnych, lecz nie wykazanych w tabeli w ramach Celów podstawowych, przy spełnieniu odpowiednich warunków jest możliwe także w ramach KPO.</w:t>
      </w:r>
    </w:p>
  </w:footnote>
  <w:footnote w:id="46">
    <w:p w14:paraId="15741332" w14:textId="77777777" w:rsidR="00B830BA" w:rsidRPr="006F4FD2" w:rsidRDefault="00B830BA" w:rsidP="00FB2CB0">
      <w:pPr>
        <w:spacing w:after="0"/>
        <w:ind w:left="142" w:hanging="142"/>
        <w:jc w:val="both"/>
        <w:rPr>
          <w:rFonts w:ascii="Arial" w:hAnsi="Arial" w:cs="Arial"/>
          <w:sz w:val="20"/>
          <w:szCs w:val="20"/>
        </w:rPr>
      </w:pPr>
      <w:r w:rsidRPr="006F4FD2">
        <w:rPr>
          <w:rStyle w:val="Odwoanieprzypisudolnego"/>
          <w:rFonts w:ascii="Arial" w:hAnsi="Arial" w:cs="Arial"/>
          <w:sz w:val="20"/>
          <w:szCs w:val="20"/>
        </w:rPr>
        <w:footnoteRef/>
      </w:r>
      <w:r w:rsidRPr="006F4FD2">
        <w:rPr>
          <w:rFonts w:ascii="Arial" w:hAnsi="Arial" w:cs="Arial"/>
          <w:sz w:val="20"/>
          <w:szCs w:val="20"/>
        </w:rPr>
        <w:t xml:space="preserve"> W Dzienniku Urzędowym Unii Europejskiej z dn. 30.06.2021 r. opublikowano Rozporządzenie Parlamentu Europejskiego i Rady (UE) 2021/1058 z dnia 24 czerwca 2021 r.</w:t>
      </w:r>
      <w:r w:rsidRPr="006F4FD2">
        <w:rPr>
          <w:rFonts w:ascii="Arial" w:hAnsi="Arial" w:cs="Arial"/>
          <w:i/>
          <w:iCs/>
          <w:sz w:val="20"/>
          <w:szCs w:val="20"/>
        </w:rPr>
        <w:t xml:space="preserve"> w sprawie Europejskiego Funduszu Rozwoju Regionalnego i Funduszu Spójności.</w:t>
      </w:r>
      <w:r w:rsidRPr="006F4FD2">
        <w:rPr>
          <w:rFonts w:ascii="Arial" w:hAnsi="Arial" w:cs="Arial"/>
          <w:sz w:val="20"/>
          <w:szCs w:val="20"/>
        </w:rPr>
        <w:t xml:space="preserve"> We wspomnianym dokumencie m.in. Cele szczegółowe są opatrzone inną numeracją oraz nieco innym nazewnictwem, niż te zawarte w </w:t>
      </w:r>
      <w:r w:rsidRPr="006F4FD2">
        <w:rPr>
          <w:rFonts w:ascii="Arial" w:hAnsi="Arial" w:cs="Arial"/>
          <w:i/>
          <w:iCs/>
          <w:sz w:val="20"/>
          <w:szCs w:val="20"/>
        </w:rPr>
        <w:t>Linii demarkacyjnej</w:t>
      </w:r>
      <w:r w:rsidRPr="006F4FD2">
        <w:rPr>
          <w:rFonts w:ascii="Arial" w:hAnsi="Arial" w:cs="Arial"/>
          <w:sz w:val="20"/>
          <w:szCs w:val="20"/>
        </w:rPr>
        <w:t xml:space="preserve"> (m.in. ze względu na przeniesienie z CP 3 dotychczasowego CS i pn. </w:t>
      </w:r>
      <w:r w:rsidRPr="006F4FD2">
        <w:rPr>
          <w:rFonts w:ascii="Arial" w:hAnsi="Arial" w:cs="Arial"/>
          <w:i/>
          <w:sz w:val="20"/>
          <w:szCs w:val="20"/>
        </w:rPr>
        <w:t>Udoskonalanie sieci połączeń cyfrowych</w:t>
      </w:r>
      <w:r w:rsidRPr="006F4FD2">
        <w:rPr>
          <w:rFonts w:ascii="Arial" w:hAnsi="Arial" w:cs="Arial"/>
          <w:sz w:val="20"/>
          <w:szCs w:val="20"/>
        </w:rPr>
        <w:t xml:space="preserve">). W związku z powyższym, numerację celów w niniejszej tabeli (kolumna I, tj. </w:t>
      </w:r>
      <w:r w:rsidRPr="006F4FD2">
        <w:rPr>
          <w:rFonts w:ascii="Arial" w:hAnsi="Arial" w:cs="Arial"/>
          <w:i/>
          <w:sz w:val="20"/>
          <w:szCs w:val="20"/>
        </w:rPr>
        <w:t>CP i CS)</w:t>
      </w:r>
      <w:r w:rsidRPr="006F4FD2">
        <w:rPr>
          <w:rFonts w:ascii="Arial" w:hAnsi="Arial" w:cs="Arial"/>
          <w:sz w:val="20"/>
          <w:szCs w:val="20"/>
        </w:rPr>
        <w:t xml:space="preserve"> dostosowano do zamieszczonej w ww. akcie prawnym UE. Natomiast rewizja i ewentualna modyfikacja niniejszej tabeli nastąpi po aktualizacji dokumentu pn. </w:t>
      </w:r>
      <w:bookmarkStart w:id="407" w:name="_Hlk92710839"/>
      <w:r w:rsidRPr="006F4FD2">
        <w:rPr>
          <w:rFonts w:ascii="Arial" w:hAnsi="Arial" w:cs="Arial"/>
          <w:i/>
          <w:iCs/>
          <w:sz w:val="20"/>
          <w:szCs w:val="20"/>
        </w:rPr>
        <w:t>Linia demarkacyjna</w:t>
      </w:r>
      <w:r w:rsidRPr="006F4FD2">
        <w:rPr>
          <w:rFonts w:ascii="Arial" w:hAnsi="Arial" w:cs="Arial"/>
          <w:sz w:val="20"/>
          <w:szCs w:val="20"/>
        </w:rPr>
        <w:t>.</w:t>
      </w:r>
      <w:r w:rsidRPr="006F4FD2">
        <w:rPr>
          <w:rFonts w:ascii="Arial" w:hAnsi="Arial" w:cs="Arial"/>
          <w:i/>
          <w:sz w:val="20"/>
          <w:szCs w:val="20"/>
        </w:rPr>
        <w:t xml:space="preserve"> Podział interwencji i zasad wdrażania programów krajowych</w:t>
      </w:r>
      <w:r w:rsidRPr="006F4FD2">
        <w:rPr>
          <w:rFonts w:ascii="Arial" w:hAnsi="Arial" w:cs="Arial"/>
          <w:i/>
          <w:sz w:val="20"/>
          <w:szCs w:val="20"/>
        </w:rPr>
        <w:br/>
        <w:t xml:space="preserve"> i regionalnych w perspektywie finansowej na lata 2021-2027.</w:t>
      </w:r>
      <w:bookmarkEnd w:id="407"/>
    </w:p>
  </w:footnote>
  <w:footnote w:id="47">
    <w:p w14:paraId="5BEC0BA7" w14:textId="77777777" w:rsidR="00B830BA" w:rsidRPr="00B16258" w:rsidRDefault="00B830BA" w:rsidP="00E875C3">
      <w:pPr>
        <w:pStyle w:val="Tekstprzypisudolnego"/>
        <w:spacing w:after="0" w:line="276" w:lineRule="auto"/>
        <w:ind w:left="142" w:hanging="142"/>
        <w:rPr>
          <w:rFonts w:ascii="Arial" w:hAnsi="Arial" w:cs="Arial"/>
        </w:rPr>
      </w:pPr>
      <w:r w:rsidRPr="006F4FD2">
        <w:rPr>
          <w:rStyle w:val="Odwoanieprzypisudolnego"/>
          <w:rFonts w:ascii="Arial" w:hAnsi="Arial" w:cs="Arial"/>
        </w:rPr>
        <w:footnoteRef/>
      </w:r>
      <w:r w:rsidRPr="006F4FD2">
        <w:rPr>
          <w:rFonts w:ascii="Arial" w:hAnsi="Arial" w:cs="Arial"/>
        </w:rPr>
        <w:t xml:space="preserve"> </w:t>
      </w:r>
      <w:r w:rsidRPr="00B16258">
        <w:rPr>
          <w:rFonts w:ascii="Arial" w:hAnsi="Arial" w:cs="Arial"/>
        </w:rPr>
        <w:t>Uwagi metodologiczne do sposobu opracowania danych zamieszczonych w tabeli znajdują się w Aneksie.</w:t>
      </w:r>
    </w:p>
  </w:footnote>
  <w:footnote w:id="48">
    <w:p w14:paraId="4CC1A223" w14:textId="77777777" w:rsidR="00B830BA" w:rsidRPr="00B16258" w:rsidRDefault="00B830BA" w:rsidP="00E875C3">
      <w:pPr>
        <w:pStyle w:val="Tekstprzypisudolnego"/>
        <w:spacing w:after="0" w:line="276" w:lineRule="auto"/>
        <w:rPr>
          <w:rFonts w:ascii="Arial" w:hAnsi="Arial" w:cs="Arial"/>
          <w:sz w:val="18"/>
          <w:szCs w:val="18"/>
        </w:rPr>
      </w:pPr>
      <w:r w:rsidRPr="00B16258">
        <w:rPr>
          <w:rStyle w:val="Odwoanieprzypisudolnego"/>
          <w:rFonts w:ascii="Arial" w:hAnsi="Arial" w:cs="Arial"/>
        </w:rPr>
        <w:footnoteRef/>
      </w:r>
      <w:r w:rsidRPr="00B16258">
        <w:rPr>
          <w:rFonts w:ascii="Arial" w:hAnsi="Arial" w:cs="Arial"/>
        </w:rPr>
        <w:t xml:space="preserve"> </w:t>
      </w:r>
      <w:r w:rsidRPr="00B16258">
        <w:rPr>
          <w:rFonts w:ascii="Arial" w:hAnsi="Arial" w:cs="Arial"/>
          <w:color w:val="000000" w:themeColor="text1"/>
        </w:rPr>
        <w:t xml:space="preserve">Dane w odniesieniu do przyszłości stanowią koszty wyłącznie orientacyjne, które mogą ulec zmianie oraz </w:t>
      </w:r>
      <w:r>
        <w:rPr>
          <w:rFonts w:ascii="Arial" w:hAnsi="Arial" w:cs="Arial"/>
          <w:color w:val="000000" w:themeColor="text1"/>
        </w:rPr>
        <w:t xml:space="preserve">mogą </w:t>
      </w:r>
      <w:r w:rsidRPr="00B16258">
        <w:rPr>
          <w:rFonts w:ascii="Arial" w:hAnsi="Arial" w:cs="Arial"/>
          <w:color w:val="000000" w:themeColor="text1"/>
        </w:rPr>
        <w:t>nie obejmować wszystkich dostępnych środków, przy czym przyjęto założenie, że w ramach wydatków drogowych majątkowych mieszczą się zarówno koszty budowy, jak i przebudowy</w:t>
      </w:r>
      <w:r w:rsidRPr="00B16258">
        <w:rPr>
          <w:rFonts w:ascii="Arial" w:hAnsi="Arial" w:cs="Arial"/>
          <w:color w:val="00B050"/>
        </w:rPr>
        <w:t>.</w:t>
      </w:r>
    </w:p>
  </w:footnote>
  <w:footnote w:id="49">
    <w:p w14:paraId="51771E0A" w14:textId="77777777" w:rsidR="00B830BA" w:rsidRPr="006F4FD2" w:rsidRDefault="00B830BA" w:rsidP="00B2585D">
      <w:pPr>
        <w:pStyle w:val="Tekstprzypisudolnego"/>
        <w:spacing w:after="0" w:line="276" w:lineRule="auto"/>
        <w:ind w:left="142" w:hanging="142"/>
        <w:jc w:val="both"/>
        <w:rPr>
          <w:rFonts w:ascii="Arial" w:hAnsi="Arial" w:cs="Arial"/>
        </w:rPr>
      </w:pPr>
      <w:r w:rsidRPr="006F4FD2">
        <w:rPr>
          <w:rStyle w:val="Odwoanieprzypisudolnego"/>
          <w:rFonts w:ascii="Arial" w:hAnsi="Arial" w:cs="Arial"/>
        </w:rPr>
        <w:footnoteRef/>
      </w:r>
      <w:r w:rsidRPr="006F4FD2">
        <w:rPr>
          <w:rFonts w:ascii="Arial" w:hAnsi="Arial" w:cs="Arial"/>
        </w:rPr>
        <w:t xml:space="preserve"> Uwagi metodologiczne do sposobu opracowania danych zamieszczonych w tabeli znajdują się w Aneksie.</w:t>
      </w:r>
    </w:p>
  </w:footnote>
  <w:footnote w:id="50">
    <w:p w14:paraId="13D145D9" w14:textId="051434DD" w:rsidR="00B830BA" w:rsidRPr="0028709F" w:rsidRDefault="00B830BA" w:rsidP="00466CF0">
      <w:pPr>
        <w:pStyle w:val="Tekstprzypisudolnego"/>
        <w:spacing w:after="0" w:line="276" w:lineRule="auto"/>
        <w:rPr>
          <w:rFonts w:ascii="Arial" w:hAnsi="Arial" w:cs="Arial"/>
        </w:rPr>
      </w:pPr>
      <w:r w:rsidRPr="003043EE">
        <w:rPr>
          <w:rStyle w:val="Odwoanieprzypisudolnego"/>
          <w:rFonts w:ascii="Arial" w:hAnsi="Arial" w:cs="Arial"/>
          <w:color w:val="000000" w:themeColor="text1"/>
        </w:rPr>
        <w:footnoteRef/>
      </w:r>
      <w:r w:rsidRPr="003043EE">
        <w:rPr>
          <w:rFonts w:ascii="Arial" w:hAnsi="Arial" w:cs="Arial"/>
          <w:color w:val="000000" w:themeColor="text1"/>
        </w:rPr>
        <w:t xml:space="preserve"> W zakresie kosztów utrzymania, z GDDKiA otrzymano wartości wyłącznie za lata 2021-2023. Wyliczeń dla kosztów utrzymania w przedziale czasowym od roku 2024 do 2030 dokonano na podstawie analizy wzrostu kosztów utrzymania wspomnianych dróg rok do roku poprzedzającego </w:t>
      </w:r>
      <w:r>
        <w:rPr>
          <w:rFonts w:ascii="Arial" w:hAnsi="Arial" w:cs="Arial"/>
          <w:color w:val="000000" w:themeColor="text1"/>
        </w:rPr>
        <w:br/>
      </w:r>
      <w:r w:rsidRPr="003043EE">
        <w:rPr>
          <w:rFonts w:ascii="Arial" w:hAnsi="Arial" w:cs="Arial"/>
          <w:color w:val="000000" w:themeColor="text1"/>
        </w:rPr>
        <w:t>w skali dekady (przedział 2013-2023).</w:t>
      </w:r>
    </w:p>
  </w:footnote>
  <w:footnote w:id="51">
    <w:p w14:paraId="7AEED947" w14:textId="2B9B7782" w:rsidR="00B830BA" w:rsidRPr="00763F5C" w:rsidRDefault="00B830BA" w:rsidP="00CD2D3E">
      <w:pPr>
        <w:spacing w:after="0" w:line="276" w:lineRule="auto"/>
        <w:ind w:left="142" w:hanging="142"/>
        <w:rPr>
          <w:rFonts w:ascii="Arial" w:hAnsi="Arial" w:cs="Arial"/>
          <w:sz w:val="20"/>
          <w:szCs w:val="20"/>
        </w:rPr>
      </w:pPr>
      <w:r w:rsidRPr="00763F5C">
        <w:rPr>
          <w:rStyle w:val="Odwoanieprzypisudolnego"/>
          <w:rFonts w:ascii="Arial" w:hAnsi="Arial" w:cs="Arial"/>
          <w:sz w:val="20"/>
          <w:szCs w:val="20"/>
        </w:rPr>
        <w:footnoteRef/>
      </w:r>
      <w:r w:rsidRPr="00763F5C">
        <w:rPr>
          <w:sz w:val="20"/>
          <w:szCs w:val="20"/>
        </w:rPr>
        <w:t xml:space="preserve"> </w:t>
      </w:r>
      <w:r w:rsidRPr="00763F5C">
        <w:rPr>
          <w:rFonts w:ascii="Arial" w:hAnsi="Arial" w:cs="Arial"/>
          <w:sz w:val="20"/>
          <w:szCs w:val="20"/>
        </w:rPr>
        <w:t xml:space="preserve">Raport pn. </w:t>
      </w:r>
      <w:r w:rsidRPr="00763F5C">
        <w:rPr>
          <w:rFonts w:ascii="Arial" w:hAnsi="Arial" w:cs="Arial"/>
          <w:i/>
          <w:iCs/>
          <w:sz w:val="20"/>
          <w:szCs w:val="20"/>
        </w:rPr>
        <w:t>Ewaluacja ex-ante projektu Programu Strategicznego Rozwoju Transportu Województwa Podkarpackiego do roku 2030</w:t>
      </w:r>
      <w:r w:rsidRPr="00763F5C">
        <w:rPr>
          <w:rFonts w:ascii="Arial" w:hAnsi="Arial" w:cs="Arial"/>
          <w:sz w:val="20"/>
          <w:szCs w:val="20"/>
        </w:rPr>
        <w:t xml:space="preserve"> sporządziła firma GEOPROFIT Wojciech Dziemianowicz z Warszawy (Raport umieszczono na stronie internetowej www.rot.podkarpackie.pl)</w:t>
      </w:r>
    </w:p>
  </w:footnote>
  <w:footnote w:id="52">
    <w:p w14:paraId="3812819D" w14:textId="77777777" w:rsidR="00B830BA" w:rsidRPr="006F4FD2" w:rsidRDefault="00B830BA" w:rsidP="00CD2D3E">
      <w:pPr>
        <w:pStyle w:val="Tekstprzypisudolnego"/>
        <w:spacing w:after="0" w:line="276" w:lineRule="auto"/>
        <w:ind w:left="142" w:hanging="142"/>
      </w:pPr>
      <w:r w:rsidRPr="00763F5C">
        <w:rPr>
          <w:rStyle w:val="Odwoanieprzypisudolnego"/>
          <w:rFonts w:ascii="Arial" w:hAnsi="Arial" w:cs="Arial"/>
        </w:rPr>
        <w:footnoteRef/>
      </w:r>
      <w:r w:rsidRPr="00763F5C">
        <w:t xml:space="preserve"> </w:t>
      </w:r>
      <w:r w:rsidRPr="00763F5C">
        <w:rPr>
          <w:rFonts w:ascii="Arial" w:hAnsi="Arial" w:cs="Arial"/>
        </w:rPr>
        <w:t>Ze względu na fakt, iż ewaluacja ma charakter bazującej na teorii, kryterium skuteczności oraz efektywności stosowane będzie w sensie „przewidywanej skuteczności” i „przewidywanej efektywności”.</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740A5"/>
    <w:multiLevelType w:val="hybridMultilevel"/>
    <w:tmpl w:val="EF38F8A0"/>
    <w:lvl w:ilvl="0" w:tplc="BC4EB0A6">
      <w:start w:val="3"/>
      <w:numFmt w:val="decimal"/>
      <w:lvlText w:val="%1."/>
      <w:lvlJc w:val="left"/>
      <w:pPr>
        <w:ind w:left="720" w:hanging="360"/>
      </w:pPr>
      <w:rPr>
        <w:rFonts w:hint="default"/>
        <w:b/>
        <w:bCs/>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0142BA8"/>
    <w:multiLevelType w:val="hybridMultilevel"/>
    <w:tmpl w:val="2264AB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01553C0"/>
    <w:multiLevelType w:val="hybridMultilevel"/>
    <w:tmpl w:val="7C649CE4"/>
    <w:lvl w:ilvl="0" w:tplc="04150001">
      <w:start w:val="1"/>
      <w:numFmt w:val="bullet"/>
      <w:lvlText w:val=""/>
      <w:lvlJc w:val="left"/>
      <w:pPr>
        <w:ind w:left="587" w:hanging="360"/>
      </w:pPr>
      <w:rPr>
        <w:rFonts w:ascii="Symbol" w:hAnsi="Symbol" w:hint="default"/>
      </w:rPr>
    </w:lvl>
    <w:lvl w:ilvl="1" w:tplc="04150001">
      <w:start w:val="1"/>
      <w:numFmt w:val="bullet"/>
      <w:lvlText w:val=""/>
      <w:lvlJc w:val="left"/>
      <w:pPr>
        <w:ind w:left="1307" w:hanging="360"/>
      </w:pPr>
      <w:rPr>
        <w:rFonts w:ascii="Symbol" w:hAnsi="Symbol"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3" w15:restartNumberingAfterBreak="0">
    <w:nsid w:val="01BF2ECA"/>
    <w:multiLevelType w:val="hybridMultilevel"/>
    <w:tmpl w:val="7D34CE2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15:restartNumberingAfterBreak="0">
    <w:nsid w:val="01FA70A4"/>
    <w:multiLevelType w:val="hybridMultilevel"/>
    <w:tmpl w:val="4D70573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 w15:restartNumberingAfterBreak="0">
    <w:nsid w:val="02227FD5"/>
    <w:multiLevelType w:val="hybridMultilevel"/>
    <w:tmpl w:val="E814FACE"/>
    <w:lvl w:ilvl="0" w:tplc="04150017">
      <w:start w:val="1"/>
      <w:numFmt w:val="lowerLetter"/>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6" w15:restartNumberingAfterBreak="0">
    <w:nsid w:val="02867015"/>
    <w:multiLevelType w:val="hybridMultilevel"/>
    <w:tmpl w:val="4392991C"/>
    <w:lvl w:ilvl="0" w:tplc="F39A135C">
      <w:start w:val="1"/>
      <w:numFmt w:val="bullet"/>
      <w:lvlText w:val="-"/>
      <w:lvlJc w:val="center"/>
      <w:pPr>
        <w:ind w:left="814" w:hanging="360"/>
      </w:pPr>
      <w:rPr>
        <w:rFonts w:ascii="Courier New" w:hAnsi="Courier New" w:hint="default"/>
      </w:rPr>
    </w:lvl>
    <w:lvl w:ilvl="1" w:tplc="04150003" w:tentative="1">
      <w:start w:val="1"/>
      <w:numFmt w:val="bullet"/>
      <w:lvlText w:val="o"/>
      <w:lvlJc w:val="left"/>
      <w:pPr>
        <w:ind w:left="1534" w:hanging="360"/>
      </w:pPr>
      <w:rPr>
        <w:rFonts w:ascii="Courier New" w:hAnsi="Courier New" w:cs="Courier New" w:hint="default"/>
      </w:rPr>
    </w:lvl>
    <w:lvl w:ilvl="2" w:tplc="04150005" w:tentative="1">
      <w:start w:val="1"/>
      <w:numFmt w:val="bullet"/>
      <w:lvlText w:val=""/>
      <w:lvlJc w:val="left"/>
      <w:pPr>
        <w:ind w:left="2254" w:hanging="360"/>
      </w:pPr>
      <w:rPr>
        <w:rFonts w:ascii="Wingdings" w:hAnsi="Wingdings" w:hint="default"/>
      </w:rPr>
    </w:lvl>
    <w:lvl w:ilvl="3" w:tplc="04150001" w:tentative="1">
      <w:start w:val="1"/>
      <w:numFmt w:val="bullet"/>
      <w:lvlText w:val=""/>
      <w:lvlJc w:val="left"/>
      <w:pPr>
        <w:ind w:left="2974" w:hanging="360"/>
      </w:pPr>
      <w:rPr>
        <w:rFonts w:ascii="Symbol" w:hAnsi="Symbol" w:hint="default"/>
      </w:rPr>
    </w:lvl>
    <w:lvl w:ilvl="4" w:tplc="04150003" w:tentative="1">
      <w:start w:val="1"/>
      <w:numFmt w:val="bullet"/>
      <w:lvlText w:val="o"/>
      <w:lvlJc w:val="left"/>
      <w:pPr>
        <w:ind w:left="3694" w:hanging="360"/>
      </w:pPr>
      <w:rPr>
        <w:rFonts w:ascii="Courier New" w:hAnsi="Courier New" w:cs="Courier New" w:hint="default"/>
      </w:rPr>
    </w:lvl>
    <w:lvl w:ilvl="5" w:tplc="04150005" w:tentative="1">
      <w:start w:val="1"/>
      <w:numFmt w:val="bullet"/>
      <w:lvlText w:val=""/>
      <w:lvlJc w:val="left"/>
      <w:pPr>
        <w:ind w:left="4414" w:hanging="360"/>
      </w:pPr>
      <w:rPr>
        <w:rFonts w:ascii="Wingdings" w:hAnsi="Wingdings" w:hint="default"/>
      </w:rPr>
    </w:lvl>
    <w:lvl w:ilvl="6" w:tplc="04150001" w:tentative="1">
      <w:start w:val="1"/>
      <w:numFmt w:val="bullet"/>
      <w:lvlText w:val=""/>
      <w:lvlJc w:val="left"/>
      <w:pPr>
        <w:ind w:left="5134" w:hanging="360"/>
      </w:pPr>
      <w:rPr>
        <w:rFonts w:ascii="Symbol" w:hAnsi="Symbol" w:hint="default"/>
      </w:rPr>
    </w:lvl>
    <w:lvl w:ilvl="7" w:tplc="04150003" w:tentative="1">
      <w:start w:val="1"/>
      <w:numFmt w:val="bullet"/>
      <w:lvlText w:val="o"/>
      <w:lvlJc w:val="left"/>
      <w:pPr>
        <w:ind w:left="5854" w:hanging="360"/>
      </w:pPr>
      <w:rPr>
        <w:rFonts w:ascii="Courier New" w:hAnsi="Courier New" w:cs="Courier New" w:hint="default"/>
      </w:rPr>
    </w:lvl>
    <w:lvl w:ilvl="8" w:tplc="04150005" w:tentative="1">
      <w:start w:val="1"/>
      <w:numFmt w:val="bullet"/>
      <w:lvlText w:val=""/>
      <w:lvlJc w:val="left"/>
      <w:pPr>
        <w:ind w:left="6574" w:hanging="360"/>
      </w:pPr>
      <w:rPr>
        <w:rFonts w:ascii="Wingdings" w:hAnsi="Wingdings" w:hint="default"/>
      </w:rPr>
    </w:lvl>
  </w:abstractNum>
  <w:abstractNum w:abstractNumId="7" w15:restartNumberingAfterBreak="0">
    <w:nsid w:val="02AD5A59"/>
    <w:multiLevelType w:val="hybridMultilevel"/>
    <w:tmpl w:val="C72A46B2"/>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 w15:restartNumberingAfterBreak="0">
    <w:nsid w:val="03364C28"/>
    <w:multiLevelType w:val="hybridMultilevel"/>
    <w:tmpl w:val="D864063C"/>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33836D9"/>
    <w:multiLevelType w:val="hybridMultilevel"/>
    <w:tmpl w:val="DD16163C"/>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3446F23"/>
    <w:multiLevelType w:val="hybridMultilevel"/>
    <w:tmpl w:val="D6D2D6F6"/>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1" w15:restartNumberingAfterBreak="0">
    <w:nsid w:val="039D5408"/>
    <w:multiLevelType w:val="hybridMultilevel"/>
    <w:tmpl w:val="1EAC0AF4"/>
    <w:lvl w:ilvl="0" w:tplc="470E555C">
      <w:start w:val="1"/>
      <w:numFmt w:val="lowerLetter"/>
      <w:lvlText w:val="%1)"/>
      <w:lvlJc w:val="left"/>
      <w:pPr>
        <w:ind w:left="927" w:hanging="360"/>
      </w:pPr>
      <w:rPr>
        <w:rFonts w:hint="default"/>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2" w15:restartNumberingAfterBreak="0">
    <w:nsid w:val="03E349FB"/>
    <w:multiLevelType w:val="hybridMultilevel"/>
    <w:tmpl w:val="B9F09F5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15:restartNumberingAfterBreak="0">
    <w:nsid w:val="053A38F1"/>
    <w:multiLevelType w:val="hybridMultilevel"/>
    <w:tmpl w:val="89FAD8E2"/>
    <w:lvl w:ilvl="0" w:tplc="04150001">
      <w:start w:val="1"/>
      <w:numFmt w:val="bullet"/>
      <w:lvlText w:val=""/>
      <w:lvlJc w:val="left"/>
      <w:pPr>
        <w:ind w:left="814" w:hanging="360"/>
      </w:pPr>
      <w:rPr>
        <w:rFonts w:ascii="Symbol" w:hAnsi="Symbol" w:hint="default"/>
      </w:rPr>
    </w:lvl>
    <w:lvl w:ilvl="1" w:tplc="04150001">
      <w:start w:val="1"/>
      <w:numFmt w:val="bullet"/>
      <w:lvlText w:val=""/>
      <w:lvlJc w:val="left"/>
      <w:pPr>
        <w:ind w:left="1534" w:hanging="360"/>
      </w:pPr>
      <w:rPr>
        <w:rFonts w:ascii="Symbol" w:hAnsi="Symbol" w:hint="default"/>
      </w:rPr>
    </w:lvl>
    <w:lvl w:ilvl="2" w:tplc="04150005" w:tentative="1">
      <w:start w:val="1"/>
      <w:numFmt w:val="bullet"/>
      <w:lvlText w:val=""/>
      <w:lvlJc w:val="left"/>
      <w:pPr>
        <w:ind w:left="2254" w:hanging="360"/>
      </w:pPr>
      <w:rPr>
        <w:rFonts w:ascii="Wingdings" w:hAnsi="Wingdings" w:hint="default"/>
      </w:rPr>
    </w:lvl>
    <w:lvl w:ilvl="3" w:tplc="04150001" w:tentative="1">
      <w:start w:val="1"/>
      <w:numFmt w:val="bullet"/>
      <w:lvlText w:val=""/>
      <w:lvlJc w:val="left"/>
      <w:pPr>
        <w:ind w:left="2974" w:hanging="360"/>
      </w:pPr>
      <w:rPr>
        <w:rFonts w:ascii="Symbol" w:hAnsi="Symbol" w:hint="default"/>
      </w:rPr>
    </w:lvl>
    <w:lvl w:ilvl="4" w:tplc="04150003" w:tentative="1">
      <w:start w:val="1"/>
      <w:numFmt w:val="bullet"/>
      <w:lvlText w:val="o"/>
      <w:lvlJc w:val="left"/>
      <w:pPr>
        <w:ind w:left="3694" w:hanging="360"/>
      </w:pPr>
      <w:rPr>
        <w:rFonts w:ascii="Courier New" w:hAnsi="Courier New" w:cs="Courier New" w:hint="default"/>
      </w:rPr>
    </w:lvl>
    <w:lvl w:ilvl="5" w:tplc="04150005" w:tentative="1">
      <w:start w:val="1"/>
      <w:numFmt w:val="bullet"/>
      <w:lvlText w:val=""/>
      <w:lvlJc w:val="left"/>
      <w:pPr>
        <w:ind w:left="4414" w:hanging="360"/>
      </w:pPr>
      <w:rPr>
        <w:rFonts w:ascii="Wingdings" w:hAnsi="Wingdings" w:hint="default"/>
      </w:rPr>
    </w:lvl>
    <w:lvl w:ilvl="6" w:tplc="04150001" w:tentative="1">
      <w:start w:val="1"/>
      <w:numFmt w:val="bullet"/>
      <w:lvlText w:val=""/>
      <w:lvlJc w:val="left"/>
      <w:pPr>
        <w:ind w:left="5134" w:hanging="360"/>
      </w:pPr>
      <w:rPr>
        <w:rFonts w:ascii="Symbol" w:hAnsi="Symbol" w:hint="default"/>
      </w:rPr>
    </w:lvl>
    <w:lvl w:ilvl="7" w:tplc="04150003" w:tentative="1">
      <w:start w:val="1"/>
      <w:numFmt w:val="bullet"/>
      <w:lvlText w:val="o"/>
      <w:lvlJc w:val="left"/>
      <w:pPr>
        <w:ind w:left="5854" w:hanging="360"/>
      </w:pPr>
      <w:rPr>
        <w:rFonts w:ascii="Courier New" w:hAnsi="Courier New" w:cs="Courier New" w:hint="default"/>
      </w:rPr>
    </w:lvl>
    <w:lvl w:ilvl="8" w:tplc="04150005" w:tentative="1">
      <w:start w:val="1"/>
      <w:numFmt w:val="bullet"/>
      <w:lvlText w:val=""/>
      <w:lvlJc w:val="left"/>
      <w:pPr>
        <w:ind w:left="6574" w:hanging="360"/>
      </w:pPr>
      <w:rPr>
        <w:rFonts w:ascii="Wingdings" w:hAnsi="Wingdings" w:hint="default"/>
      </w:rPr>
    </w:lvl>
  </w:abstractNum>
  <w:abstractNum w:abstractNumId="14" w15:restartNumberingAfterBreak="0">
    <w:nsid w:val="0594301F"/>
    <w:multiLevelType w:val="hybridMultilevel"/>
    <w:tmpl w:val="8B1AC880"/>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609294E"/>
    <w:multiLevelType w:val="hybridMultilevel"/>
    <w:tmpl w:val="8E10A616"/>
    <w:lvl w:ilvl="0" w:tplc="04150001">
      <w:start w:val="1"/>
      <w:numFmt w:val="bullet"/>
      <w:lvlText w:val=""/>
      <w:lvlJc w:val="left"/>
      <w:pPr>
        <w:ind w:left="587" w:hanging="360"/>
      </w:pPr>
      <w:rPr>
        <w:rFonts w:ascii="Symbol" w:hAnsi="Symbol" w:hint="default"/>
      </w:rPr>
    </w:lvl>
    <w:lvl w:ilvl="1" w:tplc="04150003">
      <w:start w:val="1"/>
      <w:numFmt w:val="bullet"/>
      <w:lvlText w:val="o"/>
      <w:lvlJc w:val="left"/>
      <w:pPr>
        <w:ind w:left="1307" w:hanging="360"/>
      </w:pPr>
      <w:rPr>
        <w:rFonts w:ascii="Courier New" w:hAnsi="Courier New" w:cs="Courier New"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16" w15:restartNumberingAfterBreak="0">
    <w:nsid w:val="060F160F"/>
    <w:multiLevelType w:val="hybridMultilevel"/>
    <w:tmpl w:val="DFE634B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068E2028"/>
    <w:multiLevelType w:val="hybridMultilevel"/>
    <w:tmpl w:val="931AC6D0"/>
    <w:lvl w:ilvl="0" w:tplc="F39A135C">
      <w:start w:val="1"/>
      <w:numFmt w:val="bullet"/>
      <w:lvlText w:val="-"/>
      <w:lvlJc w:val="center"/>
      <w:pPr>
        <w:ind w:left="587" w:hanging="360"/>
      </w:pPr>
      <w:rPr>
        <w:rFonts w:ascii="Courier New" w:hAnsi="Courier New" w:hint="default"/>
      </w:rPr>
    </w:lvl>
    <w:lvl w:ilvl="1" w:tplc="04150003" w:tentative="1">
      <w:start w:val="1"/>
      <w:numFmt w:val="bullet"/>
      <w:lvlText w:val="o"/>
      <w:lvlJc w:val="left"/>
      <w:pPr>
        <w:ind w:left="1307" w:hanging="360"/>
      </w:pPr>
      <w:rPr>
        <w:rFonts w:ascii="Courier New" w:hAnsi="Courier New" w:cs="Courier New"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18" w15:restartNumberingAfterBreak="0">
    <w:nsid w:val="07A20445"/>
    <w:multiLevelType w:val="hybridMultilevel"/>
    <w:tmpl w:val="F21E0714"/>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9" w15:restartNumberingAfterBreak="0">
    <w:nsid w:val="08A5490A"/>
    <w:multiLevelType w:val="hybridMultilevel"/>
    <w:tmpl w:val="91D4DA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8BA7E2A"/>
    <w:multiLevelType w:val="hybridMultilevel"/>
    <w:tmpl w:val="B9A8065E"/>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15:restartNumberingAfterBreak="0">
    <w:nsid w:val="09384E00"/>
    <w:multiLevelType w:val="hybridMultilevel"/>
    <w:tmpl w:val="532299B6"/>
    <w:lvl w:ilvl="0" w:tplc="7D603F4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93D0F2F"/>
    <w:multiLevelType w:val="hybridMultilevel"/>
    <w:tmpl w:val="648E04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98F6FD6"/>
    <w:multiLevelType w:val="hybridMultilevel"/>
    <w:tmpl w:val="5D20F5DA"/>
    <w:lvl w:ilvl="0" w:tplc="8AD6C2BA">
      <w:start w:val="2"/>
      <w:numFmt w:val="decimal"/>
      <w:lvlText w:val="%1."/>
      <w:lvlJc w:val="left"/>
      <w:pPr>
        <w:ind w:left="720" w:hanging="360"/>
      </w:pPr>
      <w:rPr>
        <w:rFonts w:hint="default"/>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0AEA6866"/>
    <w:multiLevelType w:val="hybridMultilevel"/>
    <w:tmpl w:val="A680FCA4"/>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0AEF3677"/>
    <w:multiLevelType w:val="hybridMultilevel"/>
    <w:tmpl w:val="459E3E48"/>
    <w:lvl w:ilvl="0" w:tplc="AD1E0610">
      <w:start w:val="1"/>
      <w:numFmt w:val="lowerLetter"/>
      <w:lvlText w:val="%1)"/>
      <w:lvlJc w:val="left"/>
      <w:pPr>
        <w:ind w:left="5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15:restartNumberingAfterBreak="0">
    <w:nsid w:val="0BB855D6"/>
    <w:multiLevelType w:val="hybridMultilevel"/>
    <w:tmpl w:val="881ABE36"/>
    <w:lvl w:ilvl="0" w:tplc="04150001">
      <w:start w:val="1"/>
      <w:numFmt w:val="bullet"/>
      <w:lvlText w:val=""/>
      <w:lvlJc w:val="left"/>
      <w:pPr>
        <w:ind w:left="814" w:hanging="360"/>
      </w:pPr>
      <w:rPr>
        <w:rFonts w:ascii="Symbol" w:hAnsi="Symbol" w:hint="default"/>
      </w:rPr>
    </w:lvl>
    <w:lvl w:ilvl="1" w:tplc="04150003" w:tentative="1">
      <w:start w:val="1"/>
      <w:numFmt w:val="bullet"/>
      <w:lvlText w:val="o"/>
      <w:lvlJc w:val="left"/>
      <w:pPr>
        <w:ind w:left="1534" w:hanging="360"/>
      </w:pPr>
      <w:rPr>
        <w:rFonts w:ascii="Courier New" w:hAnsi="Courier New" w:cs="Courier New" w:hint="default"/>
      </w:rPr>
    </w:lvl>
    <w:lvl w:ilvl="2" w:tplc="04150005" w:tentative="1">
      <w:start w:val="1"/>
      <w:numFmt w:val="bullet"/>
      <w:lvlText w:val=""/>
      <w:lvlJc w:val="left"/>
      <w:pPr>
        <w:ind w:left="2254" w:hanging="360"/>
      </w:pPr>
      <w:rPr>
        <w:rFonts w:ascii="Wingdings" w:hAnsi="Wingdings" w:hint="default"/>
      </w:rPr>
    </w:lvl>
    <w:lvl w:ilvl="3" w:tplc="04150001" w:tentative="1">
      <w:start w:val="1"/>
      <w:numFmt w:val="bullet"/>
      <w:lvlText w:val=""/>
      <w:lvlJc w:val="left"/>
      <w:pPr>
        <w:ind w:left="2974" w:hanging="360"/>
      </w:pPr>
      <w:rPr>
        <w:rFonts w:ascii="Symbol" w:hAnsi="Symbol" w:hint="default"/>
      </w:rPr>
    </w:lvl>
    <w:lvl w:ilvl="4" w:tplc="04150003" w:tentative="1">
      <w:start w:val="1"/>
      <w:numFmt w:val="bullet"/>
      <w:lvlText w:val="o"/>
      <w:lvlJc w:val="left"/>
      <w:pPr>
        <w:ind w:left="3694" w:hanging="360"/>
      </w:pPr>
      <w:rPr>
        <w:rFonts w:ascii="Courier New" w:hAnsi="Courier New" w:cs="Courier New" w:hint="default"/>
      </w:rPr>
    </w:lvl>
    <w:lvl w:ilvl="5" w:tplc="04150005" w:tentative="1">
      <w:start w:val="1"/>
      <w:numFmt w:val="bullet"/>
      <w:lvlText w:val=""/>
      <w:lvlJc w:val="left"/>
      <w:pPr>
        <w:ind w:left="4414" w:hanging="360"/>
      </w:pPr>
      <w:rPr>
        <w:rFonts w:ascii="Wingdings" w:hAnsi="Wingdings" w:hint="default"/>
      </w:rPr>
    </w:lvl>
    <w:lvl w:ilvl="6" w:tplc="04150001" w:tentative="1">
      <w:start w:val="1"/>
      <w:numFmt w:val="bullet"/>
      <w:lvlText w:val=""/>
      <w:lvlJc w:val="left"/>
      <w:pPr>
        <w:ind w:left="5134" w:hanging="360"/>
      </w:pPr>
      <w:rPr>
        <w:rFonts w:ascii="Symbol" w:hAnsi="Symbol" w:hint="default"/>
      </w:rPr>
    </w:lvl>
    <w:lvl w:ilvl="7" w:tplc="04150003" w:tentative="1">
      <w:start w:val="1"/>
      <w:numFmt w:val="bullet"/>
      <w:lvlText w:val="o"/>
      <w:lvlJc w:val="left"/>
      <w:pPr>
        <w:ind w:left="5854" w:hanging="360"/>
      </w:pPr>
      <w:rPr>
        <w:rFonts w:ascii="Courier New" w:hAnsi="Courier New" w:cs="Courier New" w:hint="default"/>
      </w:rPr>
    </w:lvl>
    <w:lvl w:ilvl="8" w:tplc="04150005" w:tentative="1">
      <w:start w:val="1"/>
      <w:numFmt w:val="bullet"/>
      <w:lvlText w:val=""/>
      <w:lvlJc w:val="left"/>
      <w:pPr>
        <w:ind w:left="6574" w:hanging="360"/>
      </w:pPr>
      <w:rPr>
        <w:rFonts w:ascii="Wingdings" w:hAnsi="Wingdings" w:hint="default"/>
      </w:rPr>
    </w:lvl>
  </w:abstractNum>
  <w:abstractNum w:abstractNumId="27" w15:restartNumberingAfterBreak="0">
    <w:nsid w:val="0BBC5BFC"/>
    <w:multiLevelType w:val="hybridMultilevel"/>
    <w:tmpl w:val="48ECF3F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D150D78"/>
    <w:multiLevelType w:val="hybridMultilevel"/>
    <w:tmpl w:val="29502DA0"/>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9" w15:restartNumberingAfterBreak="0">
    <w:nsid w:val="0D314AE9"/>
    <w:multiLevelType w:val="hybridMultilevel"/>
    <w:tmpl w:val="246484B6"/>
    <w:lvl w:ilvl="0" w:tplc="04150017">
      <w:start w:val="1"/>
      <w:numFmt w:val="lowerLetter"/>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30" w15:restartNumberingAfterBreak="0">
    <w:nsid w:val="0E016416"/>
    <w:multiLevelType w:val="hybridMultilevel"/>
    <w:tmpl w:val="D0ACDEC2"/>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31" w15:restartNumberingAfterBreak="0">
    <w:nsid w:val="0E2E3D19"/>
    <w:multiLevelType w:val="hybridMultilevel"/>
    <w:tmpl w:val="3614E7A6"/>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0F5B3CAB"/>
    <w:multiLevelType w:val="hybridMultilevel"/>
    <w:tmpl w:val="5DF4C77E"/>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0FFA2636"/>
    <w:multiLevelType w:val="hybridMultilevel"/>
    <w:tmpl w:val="5F884A5E"/>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15:restartNumberingAfterBreak="0">
    <w:nsid w:val="10011893"/>
    <w:multiLevelType w:val="hybridMultilevel"/>
    <w:tmpl w:val="D0F49884"/>
    <w:lvl w:ilvl="0" w:tplc="08F860A6">
      <w:start w:val="1"/>
      <w:numFmt w:val="lowerLetter"/>
      <w:lvlText w:val="%1)"/>
      <w:lvlJc w:val="left"/>
      <w:pPr>
        <w:ind w:left="5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10443652"/>
    <w:multiLevelType w:val="hybridMultilevel"/>
    <w:tmpl w:val="4F48E9F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1053690A"/>
    <w:multiLevelType w:val="hybridMultilevel"/>
    <w:tmpl w:val="BE86C94A"/>
    <w:lvl w:ilvl="0" w:tplc="0415000F">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108E436F"/>
    <w:multiLevelType w:val="hybridMultilevel"/>
    <w:tmpl w:val="3D462106"/>
    <w:lvl w:ilvl="0" w:tplc="4AC26030">
      <w:start w:val="1"/>
      <w:numFmt w:val="decimal"/>
      <w:lvlText w:val="%1)"/>
      <w:lvlJc w:val="left"/>
      <w:pPr>
        <w:ind w:left="587" w:hanging="360"/>
      </w:pPr>
      <w:rPr>
        <w:color w:val="auto"/>
      </w:r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38" w15:restartNumberingAfterBreak="0">
    <w:nsid w:val="10C50ECF"/>
    <w:multiLevelType w:val="hybridMultilevel"/>
    <w:tmpl w:val="A8C296BA"/>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9" w15:restartNumberingAfterBreak="0">
    <w:nsid w:val="10CD3EE9"/>
    <w:multiLevelType w:val="hybridMultilevel"/>
    <w:tmpl w:val="BDA27BBE"/>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0" w15:restartNumberingAfterBreak="0">
    <w:nsid w:val="10E83663"/>
    <w:multiLevelType w:val="hybridMultilevel"/>
    <w:tmpl w:val="F1FE4F0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1142410E"/>
    <w:multiLevelType w:val="hybridMultilevel"/>
    <w:tmpl w:val="4020753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11546570"/>
    <w:multiLevelType w:val="hybridMultilevel"/>
    <w:tmpl w:val="7EBA488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11690F78"/>
    <w:multiLevelType w:val="hybridMultilevel"/>
    <w:tmpl w:val="4DD69CB0"/>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9D4609FA">
      <w:start w:val="1"/>
      <w:numFmt w:val="lowerLetter"/>
      <w:lvlText w:val="%5)"/>
      <w:lvlJc w:val="left"/>
      <w:pPr>
        <w:ind w:left="3240" w:hanging="360"/>
      </w:pPr>
      <w:rPr>
        <w:rFonts w:hint="default"/>
      </w:r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4" w15:restartNumberingAfterBreak="0">
    <w:nsid w:val="12253B0D"/>
    <w:multiLevelType w:val="hybridMultilevel"/>
    <w:tmpl w:val="4624340C"/>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45" w15:restartNumberingAfterBreak="0">
    <w:nsid w:val="123C45E7"/>
    <w:multiLevelType w:val="hybridMultilevel"/>
    <w:tmpl w:val="07CA4D6C"/>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128F31BB"/>
    <w:multiLevelType w:val="hybridMultilevel"/>
    <w:tmpl w:val="35ECF62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7" w15:restartNumberingAfterBreak="0">
    <w:nsid w:val="12D40B84"/>
    <w:multiLevelType w:val="hybridMultilevel"/>
    <w:tmpl w:val="8B74660A"/>
    <w:lvl w:ilvl="0" w:tplc="E2AEE21C">
      <w:start w:val="3"/>
      <w:numFmt w:val="decimal"/>
      <w:lvlText w:val="%1."/>
      <w:lvlJc w:val="left"/>
      <w:pPr>
        <w:ind w:left="720" w:hanging="360"/>
      </w:pPr>
      <w:rPr>
        <w:rFonts w:hint="default"/>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130C5BE4"/>
    <w:multiLevelType w:val="hybridMultilevel"/>
    <w:tmpl w:val="056091A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9" w15:restartNumberingAfterBreak="0">
    <w:nsid w:val="13247A40"/>
    <w:multiLevelType w:val="hybridMultilevel"/>
    <w:tmpl w:val="65D633CA"/>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15:restartNumberingAfterBreak="0">
    <w:nsid w:val="135145DC"/>
    <w:multiLevelType w:val="hybridMultilevel"/>
    <w:tmpl w:val="B142A00A"/>
    <w:lvl w:ilvl="0" w:tplc="F39A135C">
      <w:start w:val="1"/>
      <w:numFmt w:val="bullet"/>
      <w:lvlText w:val="-"/>
      <w:lvlJc w:val="center"/>
      <w:pPr>
        <w:ind w:left="587" w:hanging="360"/>
      </w:pPr>
      <w:rPr>
        <w:rFonts w:ascii="Courier New" w:hAnsi="Courier New" w:hint="default"/>
      </w:rPr>
    </w:lvl>
    <w:lvl w:ilvl="1" w:tplc="04150003" w:tentative="1">
      <w:start w:val="1"/>
      <w:numFmt w:val="bullet"/>
      <w:lvlText w:val="o"/>
      <w:lvlJc w:val="left"/>
      <w:pPr>
        <w:ind w:left="1307" w:hanging="360"/>
      </w:pPr>
      <w:rPr>
        <w:rFonts w:ascii="Courier New" w:hAnsi="Courier New" w:cs="Courier New"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51" w15:restartNumberingAfterBreak="0">
    <w:nsid w:val="136C5872"/>
    <w:multiLevelType w:val="hybridMultilevel"/>
    <w:tmpl w:val="A0E4FA98"/>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785" w:hanging="705"/>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13752734"/>
    <w:multiLevelType w:val="hybridMultilevel"/>
    <w:tmpl w:val="49EEC664"/>
    <w:lvl w:ilvl="0" w:tplc="04150017">
      <w:start w:val="1"/>
      <w:numFmt w:val="lowerLetter"/>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53" w15:restartNumberingAfterBreak="0">
    <w:nsid w:val="143F563D"/>
    <w:multiLevelType w:val="hybridMultilevel"/>
    <w:tmpl w:val="50320DC2"/>
    <w:lvl w:ilvl="0" w:tplc="3D0A3BBC">
      <w:start w:val="1"/>
      <w:numFmt w:val="decimal"/>
      <w:lvlText w:val="%1)"/>
      <w:lvlJc w:val="left"/>
      <w:pPr>
        <w:ind w:left="587" w:hanging="360"/>
      </w:pPr>
      <w:rPr>
        <w:color w:val="auto"/>
      </w:r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54" w15:restartNumberingAfterBreak="0">
    <w:nsid w:val="148E36A7"/>
    <w:multiLevelType w:val="hybridMultilevel"/>
    <w:tmpl w:val="AC5483DA"/>
    <w:lvl w:ilvl="0" w:tplc="F39A135C">
      <w:start w:val="1"/>
      <w:numFmt w:val="bullet"/>
      <w:lvlText w:val="-"/>
      <w:lvlJc w:val="center"/>
      <w:pPr>
        <w:ind w:left="587" w:hanging="360"/>
      </w:pPr>
      <w:rPr>
        <w:rFonts w:ascii="Courier New" w:hAnsi="Courier New" w:hint="default"/>
      </w:rPr>
    </w:lvl>
    <w:lvl w:ilvl="1" w:tplc="04150003" w:tentative="1">
      <w:start w:val="1"/>
      <w:numFmt w:val="bullet"/>
      <w:lvlText w:val="o"/>
      <w:lvlJc w:val="left"/>
      <w:pPr>
        <w:ind w:left="1307" w:hanging="360"/>
      </w:pPr>
      <w:rPr>
        <w:rFonts w:ascii="Courier New" w:hAnsi="Courier New" w:cs="Courier New"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55" w15:restartNumberingAfterBreak="0">
    <w:nsid w:val="14AF2C47"/>
    <w:multiLevelType w:val="hybridMultilevel"/>
    <w:tmpl w:val="B132645C"/>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6" w15:restartNumberingAfterBreak="0">
    <w:nsid w:val="14CE616F"/>
    <w:multiLevelType w:val="hybridMultilevel"/>
    <w:tmpl w:val="79C86C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600360A"/>
    <w:multiLevelType w:val="hybridMultilevel"/>
    <w:tmpl w:val="A3E054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16881F55"/>
    <w:multiLevelType w:val="multilevel"/>
    <w:tmpl w:val="53263C7A"/>
    <w:lvl w:ilvl="0">
      <w:start w:val="4"/>
      <w:numFmt w:val="upperRoman"/>
      <w:lvlText w:val="%1."/>
      <w:lvlJc w:val="righ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9" w15:restartNumberingAfterBreak="0">
    <w:nsid w:val="17584ABC"/>
    <w:multiLevelType w:val="hybridMultilevel"/>
    <w:tmpl w:val="93EC6582"/>
    <w:lvl w:ilvl="0" w:tplc="04150017">
      <w:start w:val="1"/>
      <w:numFmt w:val="lowerLetter"/>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60" w15:restartNumberingAfterBreak="0">
    <w:nsid w:val="179A3094"/>
    <w:multiLevelType w:val="hybridMultilevel"/>
    <w:tmpl w:val="BD0E6C0E"/>
    <w:lvl w:ilvl="0" w:tplc="650ABD56">
      <w:start w:val="1"/>
      <w:numFmt w:val="lowerLetter"/>
      <w:lvlText w:val="%1)"/>
      <w:lvlJc w:val="left"/>
      <w:pPr>
        <w:ind w:left="5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17C33B1F"/>
    <w:multiLevelType w:val="hybridMultilevel"/>
    <w:tmpl w:val="BAAAB12C"/>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1845540C"/>
    <w:multiLevelType w:val="hybridMultilevel"/>
    <w:tmpl w:val="25685A84"/>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184F42D3"/>
    <w:multiLevelType w:val="hybridMultilevel"/>
    <w:tmpl w:val="D804C7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1A862A2D"/>
    <w:multiLevelType w:val="hybridMultilevel"/>
    <w:tmpl w:val="7CBA76A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5" w15:restartNumberingAfterBreak="0">
    <w:nsid w:val="1AC400E9"/>
    <w:multiLevelType w:val="hybridMultilevel"/>
    <w:tmpl w:val="20E0AFAE"/>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1AD056F2"/>
    <w:multiLevelType w:val="hybridMultilevel"/>
    <w:tmpl w:val="7278DDD8"/>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1B1116BD"/>
    <w:multiLevelType w:val="hybridMultilevel"/>
    <w:tmpl w:val="32543754"/>
    <w:lvl w:ilvl="0" w:tplc="55ECC990">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1B430F03"/>
    <w:multiLevelType w:val="hybridMultilevel"/>
    <w:tmpl w:val="325C7FB0"/>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1BB062FC"/>
    <w:multiLevelType w:val="hybridMultilevel"/>
    <w:tmpl w:val="EDB60C94"/>
    <w:lvl w:ilvl="0" w:tplc="04150001">
      <w:start w:val="1"/>
      <w:numFmt w:val="bullet"/>
      <w:lvlText w:val=""/>
      <w:lvlJc w:val="left"/>
      <w:pPr>
        <w:ind w:left="947" w:hanging="360"/>
      </w:pPr>
      <w:rPr>
        <w:rFonts w:ascii="Symbol" w:hAnsi="Symbol" w:hint="default"/>
      </w:rPr>
    </w:lvl>
    <w:lvl w:ilvl="1" w:tplc="04150003" w:tentative="1">
      <w:start w:val="1"/>
      <w:numFmt w:val="bullet"/>
      <w:lvlText w:val="o"/>
      <w:lvlJc w:val="left"/>
      <w:pPr>
        <w:ind w:left="1667" w:hanging="360"/>
      </w:pPr>
      <w:rPr>
        <w:rFonts w:ascii="Courier New" w:hAnsi="Courier New" w:cs="Courier New" w:hint="default"/>
      </w:rPr>
    </w:lvl>
    <w:lvl w:ilvl="2" w:tplc="04150005" w:tentative="1">
      <w:start w:val="1"/>
      <w:numFmt w:val="bullet"/>
      <w:lvlText w:val=""/>
      <w:lvlJc w:val="left"/>
      <w:pPr>
        <w:ind w:left="2387" w:hanging="360"/>
      </w:pPr>
      <w:rPr>
        <w:rFonts w:ascii="Wingdings" w:hAnsi="Wingdings" w:hint="default"/>
      </w:rPr>
    </w:lvl>
    <w:lvl w:ilvl="3" w:tplc="04150001" w:tentative="1">
      <w:start w:val="1"/>
      <w:numFmt w:val="bullet"/>
      <w:lvlText w:val=""/>
      <w:lvlJc w:val="left"/>
      <w:pPr>
        <w:ind w:left="3107" w:hanging="360"/>
      </w:pPr>
      <w:rPr>
        <w:rFonts w:ascii="Symbol" w:hAnsi="Symbol" w:hint="default"/>
      </w:rPr>
    </w:lvl>
    <w:lvl w:ilvl="4" w:tplc="04150003" w:tentative="1">
      <w:start w:val="1"/>
      <w:numFmt w:val="bullet"/>
      <w:lvlText w:val="o"/>
      <w:lvlJc w:val="left"/>
      <w:pPr>
        <w:ind w:left="3827" w:hanging="360"/>
      </w:pPr>
      <w:rPr>
        <w:rFonts w:ascii="Courier New" w:hAnsi="Courier New" w:cs="Courier New" w:hint="default"/>
      </w:rPr>
    </w:lvl>
    <w:lvl w:ilvl="5" w:tplc="04150005" w:tentative="1">
      <w:start w:val="1"/>
      <w:numFmt w:val="bullet"/>
      <w:lvlText w:val=""/>
      <w:lvlJc w:val="left"/>
      <w:pPr>
        <w:ind w:left="4547" w:hanging="360"/>
      </w:pPr>
      <w:rPr>
        <w:rFonts w:ascii="Wingdings" w:hAnsi="Wingdings" w:hint="default"/>
      </w:rPr>
    </w:lvl>
    <w:lvl w:ilvl="6" w:tplc="04150001" w:tentative="1">
      <w:start w:val="1"/>
      <w:numFmt w:val="bullet"/>
      <w:lvlText w:val=""/>
      <w:lvlJc w:val="left"/>
      <w:pPr>
        <w:ind w:left="5267" w:hanging="360"/>
      </w:pPr>
      <w:rPr>
        <w:rFonts w:ascii="Symbol" w:hAnsi="Symbol" w:hint="default"/>
      </w:rPr>
    </w:lvl>
    <w:lvl w:ilvl="7" w:tplc="04150003" w:tentative="1">
      <w:start w:val="1"/>
      <w:numFmt w:val="bullet"/>
      <w:lvlText w:val="o"/>
      <w:lvlJc w:val="left"/>
      <w:pPr>
        <w:ind w:left="5987" w:hanging="360"/>
      </w:pPr>
      <w:rPr>
        <w:rFonts w:ascii="Courier New" w:hAnsi="Courier New" w:cs="Courier New" w:hint="default"/>
      </w:rPr>
    </w:lvl>
    <w:lvl w:ilvl="8" w:tplc="04150005" w:tentative="1">
      <w:start w:val="1"/>
      <w:numFmt w:val="bullet"/>
      <w:lvlText w:val=""/>
      <w:lvlJc w:val="left"/>
      <w:pPr>
        <w:ind w:left="6707" w:hanging="360"/>
      </w:pPr>
      <w:rPr>
        <w:rFonts w:ascii="Wingdings" w:hAnsi="Wingdings" w:hint="default"/>
      </w:rPr>
    </w:lvl>
  </w:abstractNum>
  <w:abstractNum w:abstractNumId="70" w15:restartNumberingAfterBreak="0">
    <w:nsid w:val="1C8C4E81"/>
    <w:multiLevelType w:val="hybridMultilevel"/>
    <w:tmpl w:val="F3024AEC"/>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1C966461"/>
    <w:multiLevelType w:val="hybridMultilevel"/>
    <w:tmpl w:val="4294A80A"/>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D7B39ED"/>
    <w:multiLevelType w:val="hybridMultilevel"/>
    <w:tmpl w:val="D278E56A"/>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15:restartNumberingAfterBreak="0">
    <w:nsid w:val="1D9B6BF4"/>
    <w:multiLevelType w:val="hybridMultilevel"/>
    <w:tmpl w:val="921016A4"/>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4" w15:restartNumberingAfterBreak="0">
    <w:nsid w:val="1DA452A8"/>
    <w:multiLevelType w:val="hybridMultilevel"/>
    <w:tmpl w:val="CFD015C0"/>
    <w:lvl w:ilvl="0" w:tplc="D9C01D5C">
      <w:start w:val="1"/>
      <w:numFmt w:val="decimal"/>
      <w:lvlText w:val="%1)"/>
      <w:lvlJc w:val="left"/>
      <w:pPr>
        <w:ind w:left="360" w:hanging="360"/>
      </w:pPr>
      <w:rPr>
        <w:color w:val="auto"/>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5" w15:restartNumberingAfterBreak="0">
    <w:nsid w:val="1E4B5738"/>
    <w:multiLevelType w:val="hybridMultilevel"/>
    <w:tmpl w:val="A7DC3318"/>
    <w:lvl w:ilvl="0" w:tplc="04150017">
      <w:start w:val="1"/>
      <w:numFmt w:val="lowerLetter"/>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76" w15:restartNumberingAfterBreak="0">
    <w:nsid w:val="1EC47E76"/>
    <w:multiLevelType w:val="hybridMultilevel"/>
    <w:tmpl w:val="77C66A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1EC940C0"/>
    <w:multiLevelType w:val="hybridMultilevel"/>
    <w:tmpl w:val="0576D3A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ED058DA"/>
    <w:multiLevelType w:val="hybridMultilevel"/>
    <w:tmpl w:val="77465178"/>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9" w15:restartNumberingAfterBreak="0">
    <w:nsid w:val="1F0D7FC3"/>
    <w:multiLevelType w:val="hybridMultilevel"/>
    <w:tmpl w:val="523AF2CE"/>
    <w:lvl w:ilvl="0" w:tplc="04150017">
      <w:start w:val="1"/>
      <w:numFmt w:val="lowerLetter"/>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80" w15:restartNumberingAfterBreak="0">
    <w:nsid w:val="1F1C2A16"/>
    <w:multiLevelType w:val="hybridMultilevel"/>
    <w:tmpl w:val="0B4CD1E8"/>
    <w:lvl w:ilvl="0" w:tplc="5E8A2EEA">
      <w:start w:val="1"/>
      <w:numFmt w:val="lowerLetter"/>
      <w:lvlText w:val="%1)"/>
      <w:lvlJc w:val="left"/>
      <w:pPr>
        <w:ind w:left="1144" w:hanging="435"/>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81" w15:restartNumberingAfterBreak="0">
    <w:nsid w:val="1F680674"/>
    <w:multiLevelType w:val="hybridMultilevel"/>
    <w:tmpl w:val="A696540C"/>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2" w15:restartNumberingAfterBreak="0">
    <w:nsid w:val="1F7874A9"/>
    <w:multiLevelType w:val="hybridMultilevel"/>
    <w:tmpl w:val="83C8F548"/>
    <w:lvl w:ilvl="0" w:tplc="53126F96">
      <w:start w:val="1"/>
      <w:numFmt w:val="lowerLetter"/>
      <w:lvlText w:val="%1)"/>
      <w:lvlJc w:val="left"/>
      <w:pPr>
        <w:ind w:left="5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1FB63C3D"/>
    <w:multiLevelType w:val="hybridMultilevel"/>
    <w:tmpl w:val="2B1E9032"/>
    <w:lvl w:ilvl="0" w:tplc="31CE021E">
      <w:start w:val="1"/>
      <w:numFmt w:val="lowerLetter"/>
      <w:lvlText w:val="%1)"/>
      <w:lvlJc w:val="left"/>
      <w:pPr>
        <w:ind w:left="587" w:hanging="360"/>
      </w:pPr>
      <w:rPr>
        <w:strike w:val="0"/>
      </w:r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84" w15:restartNumberingAfterBreak="0">
    <w:nsid w:val="1FC2162E"/>
    <w:multiLevelType w:val="hybridMultilevel"/>
    <w:tmpl w:val="50F67F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20FC2630"/>
    <w:multiLevelType w:val="hybridMultilevel"/>
    <w:tmpl w:val="4F02952E"/>
    <w:lvl w:ilvl="0" w:tplc="95C0950C">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6" w15:restartNumberingAfterBreak="0">
    <w:nsid w:val="21BB4E06"/>
    <w:multiLevelType w:val="hybridMultilevel"/>
    <w:tmpl w:val="21D44314"/>
    <w:lvl w:ilvl="0" w:tplc="04150001">
      <w:start w:val="1"/>
      <w:numFmt w:val="bullet"/>
      <w:lvlText w:val=""/>
      <w:lvlJc w:val="left"/>
      <w:pPr>
        <w:ind w:left="766" w:hanging="360"/>
      </w:pPr>
      <w:rPr>
        <w:rFonts w:ascii="Symbol" w:hAnsi="Symbol" w:hint="default"/>
      </w:rPr>
    </w:lvl>
    <w:lvl w:ilvl="1" w:tplc="04150003" w:tentative="1">
      <w:start w:val="1"/>
      <w:numFmt w:val="bullet"/>
      <w:lvlText w:val="o"/>
      <w:lvlJc w:val="left"/>
      <w:pPr>
        <w:ind w:left="1486" w:hanging="360"/>
      </w:pPr>
      <w:rPr>
        <w:rFonts w:ascii="Courier New" w:hAnsi="Courier New" w:cs="Courier New" w:hint="default"/>
      </w:rPr>
    </w:lvl>
    <w:lvl w:ilvl="2" w:tplc="04150005" w:tentative="1">
      <w:start w:val="1"/>
      <w:numFmt w:val="bullet"/>
      <w:lvlText w:val=""/>
      <w:lvlJc w:val="left"/>
      <w:pPr>
        <w:ind w:left="2206" w:hanging="360"/>
      </w:pPr>
      <w:rPr>
        <w:rFonts w:ascii="Wingdings" w:hAnsi="Wingdings" w:hint="default"/>
      </w:rPr>
    </w:lvl>
    <w:lvl w:ilvl="3" w:tplc="04150001" w:tentative="1">
      <w:start w:val="1"/>
      <w:numFmt w:val="bullet"/>
      <w:lvlText w:val=""/>
      <w:lvlJc w:val="left"/>
      <w:pPr>
        <w:ind w:left="2926" w:hanging="360"/>
      </w:pPr>
      <w:rPr>
        <w:rFonts w:ascii="Symbol" w:hAnsi="Symbol" w:hint="default"/>
      </w:rPr>
    </w:lvl>
    <w:lvl w:ilvl="4" w:tplc="04150003" w:tentative="1">
      <w:start w:val="1"/>
      <w:numFmt w:val="bullet"/>
      <w:lvlText w:val="o"/>
      <w:lvlJc w:val="left"/>
      <w:pPr>
        <w:ind w:left="3646" w:hanging="360"/>
      </w:pPr>
      <w:rPr>
        <w:rFonts w:ascii="Courier New" w:hAnsi="Courier New" w:cs="Courier New" w:hint="default"/>
      </w:rPr>
    </w:lvl>
    <w:lvl w:ilvl="5" w:tplc="04150005" w:tentative="1">
      <w:start w:val="1"/>
      <w:numFmt w:val="bullet"/>
      <w:lvlText w:val=""/>
      <w:lvlJc w:val="left"/>
      <w:pPr>
        <w:ind w:left="4366" w:hanging="360"/>
      </w:pPr>
      <w:rPr>
        <w:rFonts w:ascii="Wingdings" w:hAnsi="Wingdings" w:hint="default"/>
      </w:rPr>
    </w:lvl>
    <w:lvl w:ilvl="6" w:tplc="04150001" w:tentative="1">
      <w:start w:val="1"/>
      <w:numFmt w:val="bullet"/>
      <w:lvlText w:val=""/>
      <w:lvlJc w:val="left"/>
      <w:pPr>
        <w:ind w:left="5086" w:hanging="360"/>
      </w:pPr>
      <w:rPr>
        <w:rFonts w:ascii="Symbol" w:hAnsi="Symbol" w:hint="default"/>
      </w:rPr>
    </w:lvl>
    <w:lvl w:ilvl="7" w:tplc="04150003" w:tentative="1">
      <w:start w:val="1"/>
      <w:numFmt w:val="bullet"/>
      <w:lvlText w:val="o"/>
      <w:lvlJc w:val="left"/>
      <w:pPr>
        <w:ind w:left="5806" w:hanging="360"/>
      </w:pPr>
      <w:rPr>
        <w:rFonts w:ascii="Courier New" w:hAnsi="Courier New" w:cs="Courier New" w:hint="default"/>
      </w:rPr>
    </w:lvl>
    <w:lvl w:ilvl="8" w:tplc="04150005" w:tentative="1">
      <w:start w:val="1"/>
      <w:numFmt w:val="bullet"/>
      <w:lvlText w:val=""/>
      <w:lvlJc w:val="left"/>
      <w:pPr>
        <w:ind w:left="6526" w:hanging="360"/>
      </w:pPr>
      <w:rPr>
        <w:rFonts w:ascii="Wingdings" w:hAnsi="Wingdings" w:hint="default"/>
      </w:rPr>
    </w:lvl>
  </w:abstractNum>
  <w:abstractNum w:abstractNumId="87" w15:restartNumberingAfterBreak="0">
    <w:nsid w:val="228C0248"/>
    <w:multiLevelType w:val="hybridMultilevel"/>
    <w:tmpl w:val="6B4EFEBC"/>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230705B8"/>
    <w:multiLevelType w:val="multilevel"/>
    <w:tmpl w:val="DC3EF1DE"/>
    <w:lvl w:ilvl="0">
      <w:start w:val="1"/>
      <w:numFmt w:val="decimal"/>
      <w:lvlText w:val="%1."/>
      <w:lvlJc w:val="left"/>
      <w:pPr>
        <w:ind w:left="585" w:hanging="585"/>
      </w:pPr>
      <w:rPr>
        <w:rFonts w:hint="default"/>
      </w:rPr>
    </w:lvl>
    <w:lvl w:ilvl="1">
      <w:start w:val="5"/>
      <w:numFmt w:val="decimal"/>
      <w:lvlText w:val="%1.%2."/>
      <w:lvlJc w:val="left"/>
      <w:pPr>
        <w:ind w:left="720" w:hanging="720"/>
      </w:pPr>
      <w:rPr>
        <w:rFonts w:hint="default"/>
      </w:rPr>
    </w:lvl>
    <w:lvl w:ilvl="2">
      <w:start w:val="1"/>
      <w:numFmt w:val="decimal"/>
      <w:lvlText w:val="%1.4.%3."/>
      <w:lvlJc w:val="left"/>
      <w:pPr>
        <w:ind w:left="720" w:hanging="720"/>
      </w:pPr>
      <w:rPr>
        <w:rFonts w:hint="default"/>
      </w:rPr>
    </w:lvl>
    <w:lvl w:ilvl="3">
      <w:start w:val="1"/>
      <w:numFmt w:val="decimal"/>
      <w:lvlText w:val="%1.4.%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9" w15:restartNumberingAfterBreak="0">
    <w:nsid w:val="23E426E3"/>
    <w:multiLevelType w:val="hybridMultilevel"/>
    <w:tmpl w:val="05365CE2"/>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24297552"/>
    <w:multiLevelType w:val="hybridMultilevel"/>
    <w:tmpl w:val="572E118A"/>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24865B48"/>
    <w:multiLevelType w:val="hybridMultilevel"/>
    <w:tmpl w:val="5BE85540"/>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2" w15:restartNumberingAfterBreak="0">
    <w:nsid w:val="24A92EDA"/>
    <w:multiLevelType w:val="hybridMultilevel"/>
    <w:tmpl w:val="82D0EFC0"/>
    <w:lvl w:ilvl="0" w:tplc="04150001">
      <w:start w:val="1"/>
      <w:numFmt w:val="bullet"/>
      <w:lvlText w:val=""/>
      <w:lvlJc w:val="left"/>
      <w:pPr>
        <w:ind w:left="1041" w:hanging="360"/>
      </w:pPr>
      <w:rPr>
        <w:rFonts w:ascii="Symbol" w:hAnsi="Symbol" w:hint="default"/>
      </w:rPr>
    </w:lvl>
    <w:lvl w:ilvl="1" w:tplc="04150003" w:tentative="1">
      <w:start w:val="1"/>
      <w:numFmt w:val="bullet"/>
      <w:lvlText w:val="o"/>
      <w:lvlJc w:val="left"/>
      <w:pPr>
        <w:ind w:left="1761" w:hanging="360"/>
      </w:pPr>
      <w:rPr>
        <w:rFonts w:ascii="Courier New" w:hAnsi="Courier New" w:cs="Courier New" w:hint="default"/>
      </w:rPr>
    </w:lvl>
    <w:lvl w:ilvl="2" w:tplc="04150005" w:tentative="1">
      <w:start w:val="1"/>
      <w:numFmt w:val="bullet"/>
      <w:lvlText w:val=""/>
      <w:lvlJc w:val="left"/>
      <w:pPr>
        <w:ind w:left="2481" w:hanging="360"/>
      </w:pPr>
      <w:rPr>
        <w:rFonts w:ascii="Wingdings" w:hAnsi="Wingdings" w:hint="default"/>
      </w:rPr>
    </w:lvl>
    <w:lvl w:ilvl="3" w:tplc="04150001" w:tentative="1">
      <w:start w:val="1"/>
      <w:numFmt w:val="bullet"/>
      <w:lvlText w:val=""/>
      <w:lvlJc w:val="left"/>
      <w:pPr>
        <w:ind w:left="3201" w:hanging="360"/>
      </w:pPr>
      <w:rPr>
        <w:rFonts w:ascii="Symbol" w:hAnsi="Symbol" w:hint="default"/>
      </w:rPr>
    </w:lvl>
    <w:lvl w:ilvl="4" w:tplc="04150003" w:tentative="1">
      <w:start w:val="1"/>
      <w:numFmt w:val="bullet"/>
      <w:lvlText w:val="o"/>
      <w:lvlJc w:val="left"/>
      <w:pPr>
        <w:ind w:left="3921" w:hanging="360"/>
      </w:pPr>
      <w:rPr>
        <w:rFonts w:ascii="Courier New" w:hAnsi="Courier New" w:cs="Courier New" w:hint="default"/>
      </w:rPr>
    </w:lvl>
    <w:lvl w:ilvl="5" w:tplc="04150005" w:tentative="1">
      <w:start w:val="1"/>
      <w:numFmt w:val="bullet"/>
      <w:lvlText w:val=""/>
      <w:lvlJc w:val="left"/>
      <w:pPr>
        <w:ind w:left="4641" w:hanging="360"/>
      </w:pPr>
      <w:rPr>
        <w:rFonts w:ascii="Wingdings" w:hAnsi="Wingdings" w:hint="default"/>
      </w:rPr>
    </w:lvl>
    <w:lvl w:ilvl="6" w:tplc="04150001" w:tentative="1">
      <w:start w:val="1"/>
      <w:numFmt w:val="bullet"/>
      <w:lvlText w:val=""/>
      <w:lvlJc w:val="left"/>
      <w:pPr>
        <w:ind w:left="5361" w:hanging="360"/>
      </w:pPr>
      <w:rPr>
        <w:rFonts w:ascii="Symbol" w:hAnsi="Symbol" w:hint="default"/>
      </w:rPr>
    </w:lvl>
    <w:lvl w:ilvl="7" w:tplc="04150003" w:tentative="1">
      <w:start w:val="1"/>
      <w:numFmt w:val="bullet"/>
      <w:lvlText w:val="o"/>
      <w:lvlJc w:val="left"/>
      <w:pPr>
        <w:ind w:left="6081" w:hanging="360"/>
      </w:pPr>
      <w:rPr>
        <w:rFonts w:ascii="Courier New" w:hAnsi="Courier New" w:cs="Courier New" w:hint="default"/>
      </w:rPr>
    </w:lvl>
    <w:lvl w:ilvl="8" w:tplc="04150005" w:tentative="1">
      <w:start w:val="1"/>
      <w:numFmt w:val="bullet"/>
      <w:lvlText w:val=""/>
      <w:lvlJc w:val="left"/>
      <w:pPr>
        <w:ind w:left="6801" w:hanging="360"/>
      </w:pPr>
      <w:rPr>
        <w:rFonts w:ascii="Wingdings" w:hAnsi="Wingdings" w:hint="default"/>
      </w:rPr>
    </w:lvl>
  </w:abstractNum>
  <w:abstractNum w:abstractNumId="93" w15:restartNumberingAfterBreak="0">
    <w:nsid w:val="252B24EE"/>
    <w:multiLevelType w:val="hybridMultilevel"/>
    <w:tmpl w:val="F692BF32"/>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265D6D5F"/>
    <w:multiLevelType w:val="hybridMultilevel"/>
    <w:tmpl w:val="AF1EBC08"/>
    <w:lvl w:ilvl="0" w:tplc="FB1E34CC">
      <w:start w:val="5"/>
      <w:numFmt w:val="decimal"/>
      <w:lvlText w:val="%1."/>
      <w:lvlJc w:val="left"/>
      <w:pPr>
        <w:ind w:left="720" w:hanging="360"/>
      </w:pPr>
      <w:rPr>
        <w:rFonts w:hint="default"/>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5" w15:restartNumberingAfterBreak="0">
    <w:nsid w:val="2669421D"/>
    <w:multiLevelType w:val="hybridMultilevel"/>
    <w:tmpl w:val="320AFBC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6" w15:restartNumberingAfterBreak="0">
    <w:nsid w:val="26E25EB6"/>
    <w:multiLevelType w:val="hybridMultilevel"/>
    <w:tmpl w:val="6080775E"/>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26E96ADE"/>
    <w:multiLevelType w:val="hybridMultilevel"/>
    <w:tmpl w:val="26AA9C96"/>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27517A1F"/>
    <w:multiLevelType w:val="hybridMultilevel"/>
    <w:tmpl w:val="B272487A"/>
    <w:lvl w:ilvl="0" w:tplc="D26C086A">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9" w15:restartNumberingAfterBreak="0">
    <w:nsid w:val="27FC1697"/>
    <w:multiLevelType w:val="hybridMultilevel"/>
    <w:tmpl w:val="AF8AB9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28742996"/>
    <w:multiLevelType w:val="hybridMultilevel"/>
    <w:tmpl w:val="3A02B86C"/>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8D94E31"/>
    <w:multiLevelType w:val="hybridMultilevel"/>
    <w:tmpl w:val="C524A86C"/>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2" w15:restartNumberingAfterBreak="0">
    <w:nsid w:val="2A217201"/>
    <w:multiLevelType w:val="hybridMultilevel"/>
    <w:tmpl w:val="44CCCD6C"/>
    <w:lvl w:ilvl="0" w:tplc="2D28BD12">
      <w:start w:val="1"/>
      <w:numFmt w:val="decimal"/>
      <w:lvlText w:val="%1)"/>
      <w:lvlJc w:val="left"/>
      <w:pPr>
        <w:ind w:left="720" w:hanging="360"/>
      </w:pPr>
      <w:rPr>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3" w15:restartNumberingAfterBreak="0">
    <w:nsid w:val="2A640654"/>
    <w:multiLevelType w:val="hybridMultilevel"/>
    <w:tmpl w:val="FC4EE254"/>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AE310F8"/>
    <w:multiLevelType w:val="hybridMultilevel"/>
    <w:tmpl w:val="25A2408A"/>
    <w:lvl w:ilvl="0" w:tplc="F39A135C">
      <w:start w:val="1"/>
      <w:numFmt w:val="bullet"/>
      <w:lvlText w:val="-"/>
      <w:lvlJc w:val="center"/>
      <w:pPr>
        <w:ind w:left="720" w:hanging="360"/>
      </w:pPr>
      <w:rPr>
        <w:rFonts w:ascii="Courier New" w:hAnsi="Courier New" w:hint="default"/>
      </w:rPr>
    </w:lvl>
    <w:lvl w:ilvl="1" w:tplc="6ACC85F8">
      <w:numFmt w:val="bullet"/>
      <w:lvlText w:val="•"/>
      <w:lvlJc w:val="left"/>
      <w:pPr>
        <w:ind w:left="1785" w:hanging="705"/>
      </w:pPr>
      <w:rPr>
        <w:rFonts w:ascii="Arial" w:eastAsia="Times New Roman" w:hAnsi="Arial" w:cs="Aria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AED12C8"/>
    <w:multiLevelType w:val="hybridMultilevel"/>
    <w:tmpl w:val="7CA2F44A"/>
    <w:lvl w:ilvl="0" w:tplc="F39A135C">
      <w:start w:val="1"/>
      <w:numFmt w:val="bullet"/>
      <w:lvlText w:val="-"/>
      <w:lvlJc w:val="center"/>
      <w:pPr>
        <w:ind w:left="814" w:hanging="360"/>
      </w:pPr>
      <w:rPr>
        <w:rFonts w:ascii="Courier New" w:hAnsi="Courier New" w:hint="default"/>
      </w:rPr>
    </w:lvl>
    <w:lvl w:ilvl="1" w:tplc="04150003" w:tentative="1">
      <w:start w:val="1"/>
      <w:numFmt w:val="bullet"/>
      <w:lvlText w:val="o"/>
      <w:lvlJc w:val="left"/>
      <w:pPr>
        <w:ind w:left="1534" w:hanging="360"/>
      </w:pPr>
      <w:rPr>
        <w:rFonts w:ascii="Courier New" w:hAnsi="Courier New" w:cs="Courier New" w:hint="default"/>
      </w:rPr>
    </w:lvl>
    <w:lvl w:ilvl="2" w:tplc="04150005" w:tentative="1">
      <w:start w:val="1"/>
      <w:numFmt w:val="bullet"/>
      <w:lvlText w:val=""/>
      <w:lvlJc w:val="left"/>
      <w:pPr>
        <w:ind w:left="2254" w:hanging="360"/>
      </w:pPr>
      <w:rPr>
        <w:rFonts w:ascii="Wingdings" w:hAnsi="Wingdings" w:hint="default"/>
      </w:rPr>
    </w:lvl>
    <w:lvl w:ilvl="3" w:tplc="04150001" w:tentative="1">
      <w:start w:val="1"/>
      <w:numFmt w:val="bullet"/>
      <w:lvlText w:val=""/>
      <w:lvlJc w:val="left"/>
      <w:pPr>
        <w:ind w:left="2974" w:hanging="360"/>
      </w:pPr>
      <w:rPr>
        <w:rFonts w:ascii="Symbol" w:hAnsi="Symbol" w:hint="default"/>
      </w:rPr>
    </w:lvl>
    <w:lvl w:ilvl="4" w:tplc="04150003" w:tentative="1">
      <w:start w:val="1"/>
      <w:numFmt w:val="bullet"/>
      <w:lvlText w:val="o"/>
      <w:lvlJc w:val="left"/>
      <w:pPr>
        <w:ind w:left="3694" w:hanging="360"/>
      </w:pPr>
      <w:rPr>
        <w:rFonts w:ascii="Courier New" w:hAnsi="Courier New" w:cs="Courier New" w:hint="default"/>
      </w:rPr>
    </w:lvl>
    <w:lvl w:ilvl="5" w:tplc="04150005" w:tentative="1">
      <w:start w:val="1"/>
      <w:numFmt w:val="bullet"/>
      <w:lvlText w:val=""/>
      <w:lvlJc w:val="left"/>
      <w:pPr>
        <w:ind w:left="4414" w:hanging="360"/>
      </w:pPr>
      <w:rPr>
        <w:rFonts w:ascii="Wingdings" w:hAnsi="Wingdings" w:hint="default"/>
      </w:rPr>
    </w:lvl>
    <w:lvl w:ilvl="6" w:tplc="04150001" w:tentative="1">
      <w:start w:val="1"/>
      <w:numFmt w:val="bullet"/>
      <w:lvlText w:val=""/>
      <w:lvlJc w:val="left"/>
      <w:pPr>
        <w:ind w:left="5134" w:hanging="360"/>
      </w:pPr>
      <w:rPr>
        <w:rFonts w:ascii="Symbol" w:hAnsi="Symbol" w:hint="default"/>
      </w:rPr>
    </w:lvl>
    <w:lvl w:ilvl="7" w:tplc="04150003" w:tentative="1">
      <w:start w:val="1"/>
      <w:numFmt w:val="bullet"/>
      <w:lvlText w:val="o"/>
      <w:lvlJc w:val="left"/>
      <w:pPr>
        <w:ind w:left="5854" w:hanging="360"/>
      </w:pPr>
      <w:rPr>
        <w:rFonts w:ascii="Courier New" w:hAnsi="Courier New" w:cs="Courier New" w:hint="default"/>
      </w:rPr>
    </w:lvl>
    <w:lvl w:ilvl="8" w:tplc="04150005" w:tentative="1">
      <w:start w:val="1"/>
      <w:numFmt w:val="bullet"/>
      <w:lvlText w:val=""/>
      <w:lvlJc w:val="left"/>
      <w:pPr>
        <w:ind w:left="6574" w:hanging="360"/>
      </w:pPr>
      <w:rPr>
        <w:rFonts w:ascii="Wingdings" w:hAnsi="Wingdings" w:hint="default"/>
      </w:rPr>
    </w:lvl>
  </w:abstractNum>
  <w:abstractNum w:abstractNumId="106" w15:restartNumberingAfterBreak="0">
    <w:nsid w:val="2B145ADB"/>
    <w:multiLevelType w:val="hybridMultilevel"/>
    <w:tmpl w:val="C936D730"/>
    <w:lvl w:ilvl="0" w:tplc="D5DE62E6">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B533BDD"/>
    <w:multiLevelType w:val="hybridMultilevel"/>
    <w:tmpl w:val="8A3C8CFC"/>
    <w:lvl w:ilvl="0" w:tplc="F39A135C">
      <w:start w:val="1"/>
      <w:numFmt w:val="bullet"/>
      <w:lvlText w:val="-"/>
      <w:lvlJc w:val="center"/>
      <w:pPr>
        <w:ind w:left="814" w:hanging="360"/>
      </w:pPr>
      <w:rPr>
        <w:rFonts w:ascii="Courier New" w:hAnsi="Courier New" w:hint="default"/>
      </w:rPr>
    </w:lvl>
    <w:lvl w:ilvl="1" w:tplc="04150003" w:tentative="1">
      <w:start w:val="1"/>
      <w:numFmt w:val="bullet"/>
      <w:lvlText w:val="o"/>
      <w:lvlJc w:val="left"/>
      <w:pPr>
        <w:ind w:left="1534" w:hanging="360"/>
      </w:pPr>
      <w:rPr>
        <w:rFonts w:ascii="Courier New" w:hAnsi="Courier New" w:cs="Courier New" w:hint="default"/>
      </w:rPr>
    </w:lvl>
    <w:lvl w:ilvl="2" w:tplc="04150005" w:tentative="1">
      <w:start w:val="1"/>
      <w:numFmt w:val="bullet"/>
      <w:lvlText w:val=""/>
      <w:lvlJc w:val="left"/>
      <w:pPr>
        <w:ind w:left="2254" w:hanging="360"/>
      </w:pPr>
      <w:rPr>
        <w:rFonts w:ascii="Wingdings" w:hAnsi="Wingdings" w:hint="default"/>
      </w:rPr>
    </w:lvl>
    <w:lvl w:ilvl="3" w:tplc="04150001" w:tentative="1">
      <w:start w:val="1"/>
      <w:numFmt w:val="bullet"/>
      <w:lvlText w:val=""/>
      <w:lvlJc w:val="left"/>
      <w:pPr>
        <w:ind w:left="2974" w:hanging="360"/>
      </w:pPr>
      <w:rPr>
        <w:rFonts w:ascii="Symbol" w:hAnsi="Symbol" w:hint="default"/>
      </w:rPr>
    </w:lvl>
    <w:lvl w:ilvl="4" w:tplc="04150003" w:tentative="1">
      <w:start w:val="1"/>
      <w:numFmt w:val="bullet"/>
      <w:lvlText w:val="o"/>
      <w:lvlJc w:val="left"/>
      <w:pPr>
        <w:ind w:left="3694" w:hanging="360"/>
      </w:pPr>
      <w:rPr>
        <w:rFonts w:ascii="Courier New" w:hAnsi="Courier New" w:cs="Courier New" w:hint="default"/>
      </w:rPr>
    </w:lvl>
    <w:lvl w:ilvl="5" w:tplc="04150005" w:tentative="1">
      <w:start w:val="1"/>
      <w:numFmt w:val="bullet"/>
      <w:lvlText w:val=""/>
      <w:lvlJc w:val="left"/>
      <w:pPr>
        <w:ind w:left="4414" w:hanging="360"/>
      </w:pPr>
      <w:rPr>
        <w:rFonts w:ascii="Wingdings" w:hAnsi="Wingdings" w:hint="default"/>
      </w:rPr>
    </w:lvl>
    <w:lvl w:ilvl="6" w:tplc="04150001" w:tentative="1">
      <w:start w:val="1"/>
      <w:numFmt w:val="bullet"/>
      <w:lvlText w:val=""/>
      <w:lvlJc w:val="left"/>
      <w:pPr>
        <w:ind w:left="5134" w:hanging="360"/>
      </w:pPr>
      <w:rPr>
        <w:rFonts w:ascii="Symbol" w:hAnsi="Symbol" w:hint="default"/>
      </w:rPr>
    </w:lvl>
    <w:lvl w:ilvl="7" w:tplc="04150003" w:tentative="1">
      <w:start w:val="1"/>
      <w:numFmt w:val="bullet"/>
      <w:lvlText w:val="o"/>
      <w:lvlJc w:val="left"/>
      <w:pPr>
        <w:ind w:left="5854" w:hanging="360"/>
      </w:pPr>
      <w:rPr>
        <w:rFonts w:ascii="Courier New" w:hAnsi="Courier New" w:cs="Courier New" w:hint="default"/>
      </w:rPr>
    </w:lvl>
    <w:lvl w:ilvl="8" w:tplc="04150005" w:tentative="1">
      <w:start w:val="1"/>
      <w:numFmt w:val="bullet"/>
      <w:lvlText w:val=""/>
      <w:lvlJc w:val="left"/>
      <w:pPr>
        <w:ind w:left="6574" w:hanging="360"/>
      </w:pPr>
      <w:rPr>
        <w:rFonts w:ascii="Wingdings" w:hAnsi="Wingdings" w:hint="default"/>
      </w:rPr>
    </w:lvl>
  </w:abstractNum>
  <w:abstractNum w:abstractNumId="108" w15:restartNumberingAfterBreak="0">
    <w:nsid w:val="2BFE7BCF"/>
    <w:multiLevelType w:val="hybridMultilevel"/>
    <w:tmpl w:val="0A62AD82"/>
    <w:lvl w:ilvl="0" w:tplc="AD46000C">
      <w:start w:val="1"/>
      <w:numFmt w:val="lowerLetter"/>
      <w:lvlText w:val="%1)"/>
      <w:lvlJc w:val="left"/>
      <w:pPr>
        <w:ind w:left="717" w:hanging="360"/>
      </w:pPr>
      <w:rPr>
        <w:rFonts w:hint="default"/>
      </w:rPr>
    </w:lvl>
    <w:lvl w:ilvl="1" w:tplc="04150019" w:tentative="1">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109" w15:restartNumberingAfterBreak="0">
    <w:nsid w:val="2C3C3682"/>
    <w:multiLevelType w:val="hybridMultilevel"/>
    <w:tmpl w:val="A508C1A0"/>
    <w:lvl w:ilvl="0" w:tplc="04150001">
      <w:start w:val="1"/>
      <w:numFmt w:val="bullet"/>
      <w:lvlText w:val=""/>
      <w:lvlJc w:val="left"/>
      <w:pPr>
        <w:ind w:left="1492" w:hanging="360"/>
      </w:pPr>
      <w:rPr>
        <w:rFonts w:ascii="Symbol" w:hAnsi="Symbol" w:hint="default"/>
      </w:rPr>
    </w:lvl>
    <w:lvl w:ilvl="1" w:tplc="04150003" w:tentative="1">
      <w:start w:val="1"/>
      <w:numFmt w:val="bullet"/>
      <w:lvlText w:val="o"/>
      <w:lvlJc w:val="left"/>
      <w:pPr>
        <w:ind w:left="2212" w:hanging="360"/>
      </w:pPr>
      <w:rPr>
        <w:rFonts w:ascii="Courier New" w:hAnsi="Courier New" w:cs="Courier New" w:hint="default"/>
      </w:rPr>
    </w:lvl>
    <w:lvl w:ilvl="2" w:tplc="04150005" w:tentative="1">
      <w:start w:val="1"/>
      <w:numFmt w:val="bullet"/>
      <w:lvlText w:val=""/>
      <w:lvlJc w:val="left"/>
      <w:pPr>
        <w:ind w:left="2932" w:hanging="360"/>
      </w:pPr>
      <w:rPr>
        <w:rFonts w:ascii="Wingdings" w:hAnsi="Wingdings" w:hint="default"/>
      </w:rPr>
    </w:lvl>
    <w:lvl w:ilvl="3" w:tplc="04150001" w:tentative="1">
      <w:start w:val="1"/>
      <w:numFmt w:val="bullet"/>
      <w:lvlText w:val=""/>
      <w:lvlJc w:val="left"/>
      <w:pPr>
        <w:ind w:left="3652" w:hanging="360"/>
      </w:pPr>
      <w:rPr>
        <w:rFonts w:ascii="Symbol" w:hAnsi="Symbol" w:hint="default"/>
      </w:rPr>
    </w:lvl>
    <w:lvl w:ilvl="4" w:tplc="04150003" w:tentative="1">
      <w:start w:val="1"/>
      <w:numFmt w:val="bullet"/>
      <w:lvlText w:val="o"/>
      <w:lvlJc w:val="left"/>
      <w:pPr>
        <w:ind w:left="4372" w:hanging="360"/>
      </w:pPr>
      <w:rPr>
        <w:rFonts w:ascii="Courier New" w:hAnsi="Courier New" w:cs="Courier New" w:hint="default"/>
      </w:rPr>
    </w:lvl>
    <w:lvl w:ilvl="5" w:tplc="04150005" w:tentative="1">
      <w:start w:val="1"/>
      <w:numFmt w:val="bullet"/>
      <w:lvlText w:val=""/>
      <w:lvlJc w:val="left"/>
      <w:pPr>
        <w:ind w:left="5092" w:hanging="360"/>
      </w:pPr>
      <w:rPr>
        <w:rFonts w:ascii="Wingdings" w:hAnsi="Wingdings" w:hint="default"/>
      </w:rPr>
    </w:lvl>
    <w:lvl w:ilvl="6" w:tplc="04150001" w:tentative="1">
      <w:start w:val="1"/>
      <w:numFmt w:val="bullet"/>
      <w:lvlText w:val=""/>
      <w:lvlJc w:val="left"/>
      <w:pPr>
        <w:ind w:left="5812" w:hanging="360"/>
      </w:pPr>
      <w:rPr>
        <w:rFonts w:ascii="Symbol" w:hAnsi="Symbol" w:hint="default"/>
      </w:rPr>
    </w:lvl>
    <w:lvl w:ilvl="7" w:tplc="04150003" w:tentative="1">
      <w:start w:val="1"/>
      <w:numFmt w:val="bullet"/>
      <w:lvlText w:val="o"/>
      <w:lvlJc w:val="left"/>
      <w:pPr>
        <w:ind w:left="6532" w:hanging="360"/>
      </w:pPr>
      <w:rPr>
        <w:rFonts w:ascii="Courier New" w:hAnsi="Courier New" w:cs="Courier New" w:hint="default"/>
      </w:rPr>
    </w:lvl>
    <w:lvl w:ilvl="8" w:tplc="04150005" w:tentative="1">
      <w:start w:val="1"/>
      <w:numFmt w:val="bullet"/>
      <w:lvlText w:val=""/>
      <w:lvlJc w:val="left"/>
      <w:pPr>
        <w:ind w:left="7252" w:hanging="360"/>
      </w:pPr>
      <w:rPr>
        <w:rFonts w:ascii="Wingdings" w:hAnsi="Wingdings" w:hint="default"/>
      </w:rPr>
    </w:lvl>
  </w:abstractNum>
  <w:abstractNum w:abstractNumId="110" w15:restartNumberingAfterBreak="0">
    <w:nsid w:val="2CD407D1"/>
    <w:multiLevelType w:val="hybridMultilevel"/>
    <w:tmpl w:val="03DE9314"/>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1" w15:restartNumberingAfterBreak="0">
    <w:nsid w:val="2E332400"/>
    <w:multiLevelType w:val="hybridMultilevel"/>
    <w:tmpl w:val="DF242A10"/>
    <w:lvl w:ilvl="0" w:tplc="1FC4F026">
      <w:start w:val="3"/>
      <w:numFmt w:val="decimal"/>
      <w:lvlText w:val="%1."/>
      <w:lvlJc w:val="left"/>
      <w:pPr>
        <w:ind w:left="720" w:hanging="360"/>
      </w:pPr>
      <w:rPr>
        <w:rFonts w:hint="default"/>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2" w15:restartNumberingAfterBreak="0">
    <w:nsid w:val="2E8B5354"/>
    <w:multiLevelType w:val="hybridMultilevel"/>
    <w:tmpl w:val="0A90B436"/>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2FAB64A2"/>
    <w:multiLevelType w:val="hybridMultilevel"/>
    <w:tmpl w:val="E702D6CA"/>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30026FE7"/>
    <w:multiLevelType w:val="hybridMultilevel"/>
    <w:tmpl w:val="96223800"/>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302823C0"/>
    <w:multiLevelType w:val="hybridMultilevel"/>
    <w:tmpl w:val="F90E5B5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6" w15:restartNumberingAfterBreak="0">
    <w:nsid w:val="30696D0F"/>
    <w:multiLevelType w:val="hybridMultilevel"/>
    <w:tmpl w:val="43EE8A0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310D0140"/>
    <w:multiLevelType w:val="hybridMultilevel"/>
    <w:tmpl w:val="40F0A9A0"/>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8" w15:restartNumberingAfterBreak="0">
    <w:nsid w:val="31512D22"/>
    <w:multiLevelType w:val="hybridMultilevel"/>
    <w:tmpl w:val="7D687BC6"/>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9" w15:restartNumberingAfterBreak="0">
    <w:nsid w:val="31ED7DA4"/>
    <w:multiLevelType w:val="hybridMultilevel"/>
    <w:tmpl w:val="95E87544"/>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320113F0"/>
    <w:multiLevelType w:val="hybridMultilevel"/>
    <w:tmpl w:val="1DA4A6FE"/>
    <w:lvl w:ilvl="0" w:tplc="B39ACEE0">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21" w15:restartNumberingAfterBreak="0">
    <w:nsid w:val="3264630F"/>
    <w:multiLevelType w:val="hybridMultilevel"/>
    <w:tmpl w:val="E51C26BC"/>
    <w:lvl w:ilvl="0" w:tplc="04150017">
      <w:start w:val="1"/>
      <w:numFmt w:val="lowerLetter"/>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22" w15:restartNumberingAfterBreak="0">
    <w:nsid w:val="32E960BB"/>
    <w:multiLevelType w:val="hybridMultilevel"/>
    <w:tmpl w:val="6D468858"/>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3" w15:restartNumberingAfterBreak="0">
    <w:nsid w:val="337549D7"/>
    <w:multiLevelType w:val="hybridMultilevel"/>
    <w:tmpl w:val="E68643F0"/>
    <w:lvl w:ilvl="0" w:tplc="114CE262">
      <w:start w:val="1"/>
      <w:numFmt w:val="lowerLetter"/>
      <w:lvlText w:val="%1)"/>
      <w:lvlJc w:val="left"/>
      <w:pPr>
        <w:ind w:left="5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4" w15:restartNumberingAfterBreak="0">
    <w:nsid w:val="347F2C0C"/>
    <w:multiLevelType w:val="hybridMultilevel"/>
    <w:tmpl w:val="85A0DFCA"/>
    <w:lvl w:ilvl="0" w:tplc="53C4112A">
      <w:start w:val="1"/>
      <w:numFmt w:val="bullet"/>
      <w:lvlText w:val=""/>
      <w:lvlJc w:val="left"/>
      <w:pPr>
        <w:ind w:left="1440" w:hanging="360"/>
      </w:pPr>
      <w:rPr>
        <w:rFonts w:ascii="Symbol" w:hAnsi="Symbol" w:hint="default"/>
        <w:sz w:val="18"/>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5" w15:restartNumberingAfterBreak="0">
    <w:nsid w:val="34D4773D"/>
    <w:multiLevelType w:val="hybridMultilevel"/>
    <w:tmpl w:val="5BB824B2"/>
    <w:lvl w:ilvl="0" w:tplc="04150001">
      <w:start w:val="1"/>
      <w:numFmt w:val="bullet"/>
      <w:lvlText w:val=""/>
      <w:lvlJc w:val="left"/>
      <w:pPr>
        <w:ind w:left="587" w:hanging="360"/>
      </w:pPr>
      <w:rPr>
        <w:rFonts w:ascii="Symbol" w:hAnsi="Symbol" w:hint="default"/>
      </w:rPr>
    </w:lvl>
    <w:lvl w:ilvl="1" w:tplc="04150001">
      <w:start w:val="1"/>
      <w:numFmt w:val="bullet"/>
      <w:lvlText w:val=""/>
      <w:lvlJc w:val="left"/>
      <w:pPr>
        <w:ind w:left="1307" w:hanging="360"/>
      </w:pPr>
      <w:rPr>
        <w:rFonts w:ascii="Symbol" w:hAnsi="Symbol"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126" w15:restartNumberingAfterBreak="0">
    <w:nsid w:val="34D86F05"/>
    <w:multiLevelType w:val="hybridMultilevel"/>
    <w:tmpl w:val="E7BE20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35007A36"/>
    <w:multiLevelType w:val="hybridMultilevel"/>
    <w:tmpl w:val="B28AD36E"/>
    <w:lvl w:ilvl="0" w:tplc="D87C8E64">
      <w:start w:val="1"/>
      <w:numFmt w:val="lowerLetter"/>
      <w:lvlText w:val="%1)"/>
      <w:lvlJc w:val="left"/>
      <w:pPr>
        <w:ind w:left="735" w:hanging="375"/>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351D5EC7"/>
    <w:multiLevelType w:val="hybridMultilevel"/>
    <w:tmpl w:val="949CD0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369C4935"/>
    <w:multiLevelType w:val="hybridMultilevel"/>
    <w:tmpl w:val="63563B64"/>
    <w:lvl w:ilvl="0" w:tplc="CA2CA040">
      <w:start w:val="1"/>
      <w:numFmt w:val="bullet"/>
      <w:lvlText w:val=""/>
      <w:lvlJc w:val="left"/>
      <w:pPr>
        <w:ind w:left="720" w:hanging="360"/>
      </w:pPr>
      <w:rPr>
        <w:rFonts w:ascii="Symbol" w:hAnsi="Symbol" w:hint="default"/>
        <w:color w:val="auto"/>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37487657"/>
    <w:multiLevelType w:val="hybridMultilevel"/>
    <w:tmpl w:val="968A90C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1" w15:restartNumberingAfterBreak="0">
    <w:nsid w:val="38171287"/>
    <w:multiLevelType w:val="hybridMultilevel"/>
    <w:tmpl w:val="E16A408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38427EDD"/>
    <w:multiLevelType w:val="hybridMultilevel"/>
    <w:tmpl w:val="8ECEE7F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389850CB"/>
    <w:multiLevelType w:val="hybridMultilevel"/>
    <w:tmpl w:val="9E801FAC"/>
    <w:lvl w:ilvl="0" w:tplc="04150017">
      <w:start w:val="1"/>
      <w:numFmt w:val="lowerLetter"/>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38B66C77"/>
    <w:multiLevelType w:val="hybridMultilevel"/>
    <w:tmpl w:val="6DD63B40"/>
    <w:lvl w:ilvl="0" w:tplc="572C890C">
      <w:start w:val="1"/>
      <w:numFmt w:val="lowerLetter"/>
      <w:lvlText w:val="%1)"/>
      <w:lvlJc w:val="left"/>
      <w:pPr>
        <w:ind w:left="587"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15:restartNumberingAfterBreak="0">
    <w:nsid w:val="391F2040"/>
    <w:multiLevelType w:val="hybridMultilevel"/>
    <w:tmpl w:val="A2EA712A"/>
    <w:lvl w:ilvl="0" w:tplc="F27E8BE6">
      <w:start w:val="1"/>
      <w:numFmt w:val="lowerLetter"/>
      <w:lvlText w:val="%1)"/>
      <w:lvlJc w:val="left"/>
      <w:pPr>
        <w:ind w:left="603" w:hanging="360"/>
      </w:pPr>
      <w:rPr>
        <w:rFonts w:hint="default"/>
      </w:rPr>
    </w:lvl>
    <w:lvl w:ilvl="1" w:tplc="04150019" w:tentative="1">
      <w:start w:val="1"/>
      <w:numFmt w:val="lowerLetter"/>
      <w:lvlText w:val="%2."/>
      <w:lvlJc w:val="left"/>
      <w:pPr>
        <w:ind w:left="1323" w:hanging="360"/>
      </w:pPr>
    </w:lvl>
    <w:lvl w:ilvl="2" w:tplc="0415001B" w:tentative="1">
      <w:start w:val="1"/>
      <w:numFmt w:val="lowerRoman"/>
      <w:lvlText w:val="%3."/>
      <w:lvlJc w:val="right"/>
      <w:pPr>
        <w:ind w:left="2043" w:hanging="180"/>
      </w:pPr>
    </w:lvl>
    <w:lvl w:ilvl="3" w:tplc="0415000F" w:tentative="1">
      <w:start w:val="1"/>
      <w:numFmt w:val="decimal"/>
      <w:lvlText w:val="%4."/>
      <w:lvlJc w:val="left"/>
      <w:pPr>
        <w:ind w:left="2763" w:hanging="360"/>
      </w:pPr>
    </w:lvl>
    <w:lvl w:ilvl="4" w:tplc="04150019" w:tentative="1">
      <w:start w:val="1"/>
      <w:numFmt w:val="lowerLetter"/>
      <w:lvlText w:val="%5."/>
      <w:lvlJc w:val="left"/>
      <w:pPr>
        <w:ind w:left="3483" w:hanging="360"/>
      </w:pPr>
    </w:lvl>
    <w:lvl w:ilvl="5" w:tplc="0415001B" w:tentative="1">
      <w:start w:val="1"/>
      <w:numFmt w:val="lowerRoman"/>
      <w:lvlText w:val="%6."/>
      <w:lvlJc w:val="right"/>
      <w:pPr>
        <w:ind w:left="4203" w:hanging="180"/>
      </w:pPr>
    </w:lvl>
    <w:lvl w:ilvl="6" w:tplc="0415000F" w:tentative="1">
      <w:start w:val="1"/>
      <w:numFmt w:val="decimal"/>
      <w:lvlText w:val="%7."/>
      <w:lvlJc w:val="left"/>
      <w:pPr>
        <w:ind w:left="4923" w:hanging="360"/>
      </w:pPr>
    </w:lvl>
    <w:lvl w:ilvl="7" w:tplc="04150019" w:tentative="1">
      <w:start w:val="1"/>
      <w:numFmt w:val="lowerLetter"/>
      <w:lvlText w:val="%8."/>
      <w:lvlJc w:val="left"/>
      <w:pPr>
        <w:ind w:left="5643" w:hanging="360"/>
      </w:pPr>
    </w:lvl>
    <w:lvl w:ilvl="8" w:tplc="0415001B" w:tentative="1">
      <w:start w:val="1"/>
      <w:numFmt w:val="lowerRoman"/>
      <w:lvlText w:val="%9."/>
      <w:lvlJc w:val="right"/>
      <w:pPr>
        <w:ind w:left="6363" w:hanging="180"/>
      </w:pPr>
    </w:lvl>
  </w:abstractNum>
  <w:abstractNum w:abstractNumId="136" w15:restartNumberingAfterBreak="0">
    <w:nsid w:val="392A4337"/>
    <w:multiLevelType w:val="hybridMultilevel"/>
    <w:tmpl w:val="91060BE4"/>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7" w15:restartNumberingAfterBreak="0">
    <w:nsid w:val="397A2DB4"/>
    <w:multiLevelType w:val="hybridMultilevel"/>
    <w:tmpl w:val="0F407BC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9856DA1"/>
    <w:multiLevelType w:val="hybridMultilevel"/>
    <w:tmpl w:val="121C004C"/>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39" w15:restartNumberingAfterBreak="0">
    <w:nsid w:val="3AA921B1"/>
    <w:multiLevelType w:val="hybridMultilevel"/>
    <w:tmpl w:val="8872FD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0" w15:restartNumberingAfterBreak="0">
    <w:nsid w:val="3BAD1D6A"/>
    <w:multiLevelType w:val="hybridMultilevel"/>
    <w:tmpl w:val="4274C034"/>
    <w:lvl w:ilvl="0" w:tplc="04150011">
      <w:start w:val="1"/>
      <w:numFmt w:val="decimal"/>
      <w:lvlText w:val="%1)"/>
      <w:lvlJc w:val="left"/>
      <w:pPr>
        <w:ind w:left="717" w:hanging="360"/>
      </w:pPr>
    </w:lvl>
    <w:lvl w:ilvl="1" w:tplc="04150019">
      <w:start w:val="1"/>
      <w:numFmt w:val="lowerLetter"/>
      <w:lvlText w:val="%2."/>
      <w:lvlJc w:val="left"/>
      <w:pPr>
        <w:ind w:left="1437" w:hanging="360"/>
      </w:pPr>
    </w:lvl>
    <w:lvl w:ilvl="2" w:tplc="0415001B">
      <w:start w:val="1"/>
      <w:numFmt w:val="lowerRoman"/>
      <w:lvlText w:val="%3."/>
      <w:lvlJc w:val="right"/>
      <w:pPr>
        <w:ind w:left="2157" w:hanging="180"/>
      </w:pPr>
    </w:lvl>
    <w:lvl w:ilvl="3" w:tplc="0415000F">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141" w15:restartNumberingAfterBreak="0">
    <w:nsid w:val="3C402586"/>
    <w:multiLevelType w:val="hybridMultilevel"/>
    <w:tmpl w:val="5A421F64"/>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42" w15:restartNumberingAfterBreak="0">
    <w:nsid w:val="3C5B26BA"/>
    <w:multiLevelType w:val="hybridMultilevel"/>
    <w:tmpl w:val="AB740474"/>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43" w15:restartNumberingAfterBreak="0">
    <w:nsid w:val="3C5C4BEE"/>
    <w:multiLevelType w:val="hybridMultilevel"/>
    <w:tmpl w:val="8076AA6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4" w15:restartNumberingAfterBreak="0">
    <w:nsid w:val="3CFD6B6C"/>
    <w:multiLevelType w:val="hybridMultilevel"/>
    <w:tmpl w:val="CC52FA60"/>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D0D62B3"/>
    <w:multiLevelType w:val="hybridMultilevel"/>
    <w:tmpl w:val="951CE3C4"/>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6" w15:restartNumberingAfterBreak="0">
    <w:nsid w:val="3DFB12EF"/>
    <w:multiLevelType w:val="multilevel"/>
    <w:tmpl w:val="AF18BC14"/>
    <w:lvl w:ilvl="0">
      <w:start w:val="2"/>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i w:val="0"/>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47" w15:restartNumberingAfterBreak="0">
    <w:nsid w:val="3E3F3131"/>
    <w:multiLevelType w:val="hybridMultilevel"/>
    <w:tmpl w:val="AB44EB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8" w15:restartNumberingAfterBreak="0">
    <w:nsid w:val="3E8071F3"/>
    <w:multiLevelType w:val="hybridMultilevel"/>
    <w:tmpl w:val="692ADDC6"/>
    <w:lvl w:ilvl="0" w:tplc="04F20E6A">
      <w:start w:val="6"/>
      <w:numFmt w:val="decimal"/>
      <w:lvlText w:val="%1."/>
      <w:lvlJc w:val="left"/>
      <w:pPr>
        <w:ind w:left="720" w:hanging="360"/>
      </w:pPr>
      <w:rPr>
        <w:rFonts w:hint="default"/>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EF6271F"/>
    <w:multiLevelType w:val="hybridMultilevel"/>
    <w:tmpl w:val="082A7CB4"/>
    <w:lvl w:ilvl="0" w:tplc="F39A135C">
      <w:start w:val="1"/>
      <w:numFmt w:val="bullet"/>
      <w:lvlText w:val="-"/>
      <w:lvlJc w:val="center"/>
      <w:pPr>
        <w:ind w:left="587" w:hanging="360"/>
      </w:pPr>
      <w:rPr>
        <w:rFonts w:ascii="Courier New" w:hAnsi="Courier New" w:hint="default"/>
      </w:rPr>
    </w:lvl>
    <w:lvl w:ilvl="1" w:tplc="04150003" w:tentative="1">
      <w:start w:val="1"/>
      <w:numFmt w:val="bullet"/>
      <w:lvlText w:val="o"/>
      <w:lvlJc w:val="left"/>
      <w:pPr>
        <w:ind w:left="1307" w:hanging="360"/>
      </w:pPr>
      <w:rPr>
        <w:rFonts w:ascii="Courier New" w:hAnsi="Courier New" w:cs="Courier New"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150" w15:restartNumberingAfterBreak="0">
    <w:nsid w:val="3F672187"/>
    <w:multiLevelType w:val="hybridMultilevel"/>
    <w:tmpl w:val="E25C734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51" w15:restartNumberingAfterBreak="0">
    <w:nsid w:val="401A594D"/>
    <w:multiLevelType w:val="hybridMultilevel"/>
    <w:tmpl w:val="4DC6244E"/>
    <w:lvl w:ilvl="0" w:tplc="D23E311C">
      <w:start w:val="1"/>
      <w:numFmt w:val="decimal"/>
      <w:lvlText w:val="%1."/>
      <w:lvlJc w:val="left"/>
      <w:pPr>
        <w:ind w:left="714" w:hanging="357"/>
      </w:pPr>
      <w:rPr>
        <w:rFonts w:hint="default"/>
      </w:rPr>
    </w:lvl>
    <w:lvl w:ilvl="1" w:tplc="87E4D8D0">
      <w:start w:val="1"/>
      <w:numFmt w:val="lowerLetter"/>
      <w:lvlText w:val="%2)"/>
      <w:lvlJc w:val="left"/>
      <w:pPr>
        <w:ind w:left="1440" w:hanging="360"/>
      </w:pPr>
      <w:rPr>
        <w:rFonts w:hint="default"/>
      </w:rPr>
    </w:lvl>
    <w:lvl w:ilvl="2" w:tplc="0415000F">
      <w:start w:val="1"/>
      <w:numFmt w:val="decimal"/>
      <w:lvlText w:val="%3."/>
      <w:lvlJc w:val="left"/>
      <w:pPr>
        <w:ind w:left="2160" w:hanging="180"/>
      </w:pPr>
    </w:lvl>
    <w:lvl w:ilvl="3" w:tplc="38CC33C2">
      <w:start w:val="1"/>
      <w:numFmt w:val="decimal"/>
      <w:lvlText w:val="%4)"/>
      <w:lvlJc w:val="left"/>
      <w:pPr>
        <w:ind w:left="567" w:hanging="454"/>
      </w:pPr>
      <w:rPr>
        <w:rFonts w:hint="default"/>
      </w:r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2" w15:restartNumberingAfterBreak="0">
    <w:nsid w:val="40942B42"/>
    <w:multiLevelType w:val="hybridMultilevel"/>
    <w:tmpl w:val="C3923AF4"/>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0F">
      <w:start w:val="1"/>
      <w:numFmt w:val="decimal"/>
      <w:lvlText w:val="%3."/>
      <w:lvlJc w:val="lef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3" w15:restartNumberingAfterBreak="0">
    <w:nsid w:val="40FD6EE3"/>
    <w:multiLevelType w:val="hybridMultilevel"/>
    <w:tmpl w:val="B30C6528"/>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413B2A74"/>
    <w:multiLevelType w:val="hybridMultilevel"/>
    <w:tmpl w:val="27EA826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5" w15:restartNumberingAfterBreak="0">
    <w:nsid w:val="421E421D"/>
    <w:multiLevelType w:val="hybridMultilevel"/>
    <w:tmpl w:val="1F0C8A5E"/>
    <w:lvl w:ilvl="0" w:tplc="6E0EAD5E">
      <w:start w:val="1"/>
      <w:numFmt w:val="lowerLetter"/>
      <w:lvlText w:val="%1)"/>
      <w:lvlJc w:val="left"/>
      <w:pPr>
        <w:ind w:left="5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6" w15:restartNumberingAfterBreak="0">
    <w:nsid w:val="422A76CB"/>
    <w:multiLevelType w:val="hybridMultilevel"/>
    <w:tmpl w:val="76FAAF1A"/>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57" w15:restartNumberingAfterBreak="0">
    <w:nsid w:val="438924DA"/>
    <w:multiLevelType w:val="hybridMultilevel"/>
    <w:tmpl w:val="92FA0288"/>
    <w:lvl w:ilvl="0" w:tplc="04150011">
      <w:start w:val="1"/>
      <w:numFmt w:val="decimal"/>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58" w15:restartNumberingAfterBreak="0">
    <w:nsid w:val="44151738"/>
    <w:multiLevelType w:val="hybridMultilevel"/>
    <w:tmpl w:val="122A13A4"/>
    <w:lvl w:ilvl="0" w:tplc="95DEE008">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159" w15:restartNumberingAfterBreak="0">
    <w:nsid w:val="44AD7170"/>
    <w:multiLevelType w:val="hybridMultilevel"/>
    <w:tmpl w:val="676E7BA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45296C43"/>
    <w:multiLevelType w:val="hybridMultilevel"/>
    <w:tmpl w:val="145A14EA"/>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61" w15:restartNumberingAfterBreak="0">
    <w:nsid w:val="45F516D5"/>
    <w:multiLevelType w:val="multilevel"/>
    <w:tmpl w:val="5050817E"/>
    <w:lvl w:ilvl="0">
      <w:start w:val="2"/>
      <w:numFmt w:val="decimal"/>
      <w:lvlText w:val="%1."/>
      <w:lvlJc w:val="left"/>
      <w:pPr>
        <w:ind w:left="540" w:hanging="540"/>
      </w:pPr>
      <w:rPr>
        <w:rFonts w:hint="default"/>
      </w:rPr>
    </w:lvl>
    <w:lvl w:ilvl="1">
      <w:start w:val="2"/>
      <w:numFmt w:val="decimal"/>
      <w:lvlText w:val="%1.%2."/>
      <w:lvlJc w:val="left"/>
      <w:pPr>
        <w:ind w:left="900" w:hanging="72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62" w15:restartNumberingAfterBreak="0">
    <w:nsid w:val="461021E4"/>
    <w:multiLevelType w:val="hybridMultilevel"/>
    <w:tmpl w:val="AE4AEE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46F44440"/>
    <w:multiLevelType w:val="hybridMultilevel"/>
    <w:tmpl w:val="4EAA44C4"/>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64" w15:restartNumberingAfterBreak="0">
    <w:nsid w:val="47333618"/>
    <w:multiLevelType w:val="hybridMultilevel"/>
    <w:tmpl w:val="EEB0726A"/>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5" w15:restartNumberingAfterBreak="0">
    <w:nsid w:val="48314B36"/>
    <w:multiLevelType w:val="hybridMultilevel"/>
    <w:tmpl w:val="3252E1CE"/>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6" w15:restartNumberingAfterBreak="0">
    <w:nsid w:val="48CA41EC"/>
    <w:multiLevelType w:val="hybridMultilevel"/>
    <w:tmpl w:val="03D421C6"/>
    <w:lvl w:ilvl="0" w:tplc="15F6C182">
      <w:start w:val="1"/>
      <w:numFmt w:val="decimal"/>
      <w:lvlText w:val="%1)"/>
      <w:lvlJc w:val="left"/>
      <w:pPr>
        <w:ind w:left="1440" w:hanging="360"/>
      </w:pPr>
      <w:rPr>
        <w:color w:val="auto"/>
      </w:rPr>
    </w:lvl>
    <w:lvl w:ilvl="1" w:tplc="FFFFFFFF">
      <w:start w:val="1"/>
      <w:numFmt w:val="lowerLetter"/>
      <w:lvlText w:val="%2."/>
      <w:lvlJc w:val="left"/>
      <w:pPr>
        <w:ind w:left="2160" w:hanging="360"/>
      </w:pPr>
    </w:lvl>
    <w:lvl w:ilvl="2" w:tplc="FFFFFFFF">
      <w:start w:val="1"/>
      <w:numFmt w:val="lowerRoman"/>
      <w:lvlText w:val="%3."/>
      <w:lvlJc w:val="right"/>
      <w:pPr>
        <w:ind w:left="2880" w:hanging="180"/>
      </w:pPr>
    </w:lvl>
    <w:lvl w:ilvl="3" w:tplc="FFFFFFFF">
      <w:start w:val="1"/>
      <w:numFmt w:val="decimal"/>
      <w:lvlText w:val="%4."/>
      <w:lvlJc w:val="left"/>
      <w:pPr>
        <w:ind w:left="3600" w:hanging="360"/>
      </w:pPr>
    </w:lvl>
    <w:lvl w:ilvl="4" w:tplc="FFFFFFFF">
      <w:start w:val="1"/>
      <w:numFmt w:val="lowerLetter"/>
      <w:lvlText w:val="%5."/>
      <w:lvlJc w:val="left"/>
      <w:pPr>
        <w:ind w:left="4320" w:hanging="360"/>
      </w:pPr>
    </w:lvl>
    <w:lvl w:ilvl="5" w:tplc="FFFFFFFF">
      <w:start w:val="1"/>
      <w:numFmt w:val="lowerRoman"/>
      <w:lvlText w:val="%6."/>
      <w:lvlJc w:val="right"/>
      <w:pPr>
        <w:ind w:left="5040" w:hanging="180"/>
      </w:pPr>
    </w:lvl>
    <w:lvl w:ilvl="6" w:tplc="FFFFFFFF">
      <w:start w:val="1"/>
      <w:numFmt w:val="decimal"/>
      <w:lvlText w:val="%7."/>
      <w:lvlJc w:val="left"/>
      <w:pPr>
        <w:ind w:left="5760" w:hanging="360"/>
      </w:pPr>
    </w:lvl>
    <w:lvl w:ilvl="7" w:tplc="FFFFFFFF">
      <w:start w:val="1"/>
      <w:numFmt w:val="lowerLetter"/>
      <w:lvlText w:val="%8."/>
      <w:lvlJc w:val="left"/>
      <w:pPr>
        <w:ind w:left="6480" w:hanging="360"/>
      </w:pPr>
    </w:lvl>
    <w:lvl w:ilvl="8" w:tplc="FFFFFFFF">
      <w:start w:val="1"/>
      <w:numFmt w:val="lowerRoman"/>
      <w:lvlText w:val="%9."/>
      <w:lvlJc w:val="right"/>
      <w:pPr>
        <w:ind w:left="7200" w:hanging="180"/>
      </w:pPr>
    </w:lvl>
  </w:abstractNum>
  <w:abstractNum w:abstractNumId="167" w15:restartNumberingAfterBreak="0">
    <w:nsid w:val="4A310975"/>
    <w:multiLevelType w:val="hybridMultilevel"/>
    <w:tmpl w:val="11486236"/>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8" w15:restartNumberingAfterBreak="0">
    <w:nsid w:val="4A5B4737"/>
    <w:multiLevelType w:val="hybridMultilevel"/>
    <w:tmpl w:val="7B468A8C"/>
    <w:lvl w:ilvl="0" w:tplc="F39A135C">
      <w:start w:val="1"/>
      <w:numFmt w:val="bullet"/>
      <w:lvlText w:val="-"/>
      <w:lvlJc w:val="center"/>
      <w:pPr>
        <w:ind w:left="814" w:hanging="360"/>
      </w:pPr>
      <w:rPr>
        <w:rFonts w:ascii="Courier New" w:hAnsi="Courier New" w:hint="default"/>
      </w:rPr>
    </w:lvl>
    <w:lvl w:ilvl="1" w:tplc="04150003" w:tentative="1">
      <w:start w:val="1"/>
      <w:numFmt w:val="bullet"/>
      <w:lvlText w:val="o"/>
      <w:lvlJc w:val="left"/>
      <w:pPr>
        <w:ind w:left="1534" w:hanging="360"/>
      </w:pPr>
      <w:rPr>
        <w:rFonts w:ascii="Courier New" w:hAnsi="Courier New" w:cs="Courier New" w:hint="default"/>
      </w:rPr>
    </w:lvl>
    <w:lvl w:ilvl="2" w:tplc="04150005" w:tentative="1">
      <w:start w:val="1"/>
      <w:numFmt w:val="bullet"/>
      <w:lvlText w:val=""/>
      <w:lvlJc w:val="left"/>
      <w:pPr>
        <w:ind w:left="2254" w:hanging="360"/>
      </w:pPr>
      <w:rPr>
        <w:rFonts w:ascii="Wingdings" w:hAnsi="Wingdings" w:hint="default"/>
      </w:rPr>
    </w:lvl>
    <w:lvl w:ilvl="3" w:tplc="04150001" w:tentative="1">
      <w:start w:val="1"/>
      <w:numFmt w:val="bullet"/>
      <w:lvlText w:val=""/>
      <w:lvlJc w:val="left"/>
      <w:pPr>
        <w:ind w:left="2974" w:hanging="360"/>
      </w:pPr>
      <w:rPr>
        <w:rFonts w:ascii="Symbol" w:hAnsi="Symbol" w:hint="default"/>
      </w:rPr>
    </w:lvl>
    <w:lvl w:ilvl="4" w:tplc="04150003" w:tentative="1">
      <w:start w:val="1"/>
      <w:numFmt w:val="bullet"/>
      <w:lvlText w:val="o"/>
      <w:lvlJc w:val="left"/>
      <w:pPr>
        <w:ind w:left="3694" w:hanging="360"/>
      </w:pPr>
      <w:rPr>
        <w:rFonts w:ascii="Courier New" w:hAnsi="Courier New" w:cs="Courier New" w:hint="default"/>
      </w:rPr>
    </w:lvl>
    <w:lvl w:ilvl="5" w:tplc="04150005" w:tentative="1">
      <w:start w:val="1"/>
      <w:numFmt w:val="bullet"/>
      <w:lvlText w:val=""/>
      <w:lvlJc w:val="left"/>
      <w:pPr>
        <w:ind w:left="4414" w:hanging="360"/>
      </w:pPr>
      <w:rPr>
        <w:rFonts w:ascii="Wingdings" w:hAnsi="Wingdings" w:hint="default"/>
      </w:rPr>
    </w:lvl>
    <w:lvl w:ilvl="6" w:tplc="04150001" w:tentative="1">
      <w:start w:val="1"/>
      <w:numFmt w:val="bullet"/>
      <w:lvlText w:val=""/>
      <w:lvlJc w:val="left"/>
      <w:pPr>
        <w:ind w:left="5134" w:hanging="360"/>
      </w:pPr>
      <w:rPr>
        <w:rFonts w:ascii="Symbol" w:hAnsi="Symbol" w:hint="default"/>
      </w:rPr>
    </w:lvl>
    <w:lvl w:ilvl="7" w:tplc="04150003" w:tentative="1">
      <w:start w:val="1"/>
      <w:numFmt w:val="bullet"/>
      <w:lvlText w:val="o"/>
      <w:lvlJc w:val="left"/>
      <w:pPr>
        <w:ind w:left="5854" w:hanging="360"/>
      </w:pPr>
      <w:rPr>
        <w:rFonts w:ascii="Courier New" w:hAnsi="Courier New" w:cs="Courier New" w:hint="default"/>
      </w:rPr>
    </w:lvl>
    <w:lvl w:ilvl="8" w:tplc="04150005" w:tentative="1">
      <w:start w:val="1"/>
      <w:numFmt w:val="bullet"/>
      <w:lvlText w:val=""/>
      <w:lvlJc w:val="left"/>
      <w:pPr>
        <w:ind w:left="6574" w:hanging="360"/>
      </w:pPr>
      <w:rPr>
        <w:rFonts w:ascii="Wingdings" w:hAnsi="Wingdings" w:hint="default"/>
      </w:rPr>
    </w:lvl>
  </w:abstractNum>
  <w:abstractNum w:abstractNumId="169" w15:restartNumberingAfterBreak="0">
    <w:nsid w:val="4A7A72CF"/>
    <w:multiLevelType w:val="hybridMultilevel"/>
    <w:tmpl w:val="783C0C78"/>
    <w:lvl w:ilvl="0" w:tplc="F39A135C">
      <w:start w:val="1"/>
      <w:numFmt w:val="bullet"/>
      <w:lvlText w:val="-"/>
      <w:lvlJc w:val="center"/>
      <w:pPr>
        <w:ind w:left="1068" w:hanging="360"/>
      </w:pPr>
      <w:rPr>
        <w:rFonts w:ascii="Courier New" w:hAnsi="Courier New"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70" w15:restartNumberingAfterBreak="0">
    <w:nsid w:val="4AF31BD4"/>
    <w:multiLevelType w:val="hybridMultilevel"/>
    <w:tmpl w:val="51C21648"/>
    <w:lvl w:ilvl="0" w:tplc="0415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171" w15:restartNumberingAfterBreak="0">
    <w:nsid w:val="4B653487"/>
    <w:multiLevelType w:val="hybridMultilevel"/>
    <w:tmpl w:val="DC34368C"/>
    <w:lvl w:ilvl="0" w:tplc="04150001">
      <w:start w:val="1"/>
      <w:numFmt w:val="bullet"/>
      <w:lvlText w:val=""/>
      <w:lvlJc w:val="left"/>
      <w:pPr>
        <w:ind w:left="756" w:hanging="360"/>
      </w:pPr>
      <w:rPr>
        <w:rFonts w:ascii="Symbol" w:hAnsi="Symbol" w:hint="default"/>
      </w:rPr>
    </w:lvl>
    <w:lvl w:ilvl="1" w:tplc="04150003" w:tentative="1">
      <w:start w:val="1"/>
      <w:numFmt w:val="bullet"/>
      <w:lvlText w:val="o"/>
      <w:lvlJc w:val="left"/>
      <w:pPr>
        <w:ind w:left="1476" w:hanging="360"/>
      </w:pPr>
      <w:rPr>
        <w:rFonts w:ascii="Courier New" w:hAnsi="Courier New" w:cs="Courier New" w:hint="default"/>
      </w:rPr>
    </w:lvl>
    <w:lvl w:ilvl="2" w:tplc="04150005" w:tentative="1">
      <w:start w:val="1"/>
      <w:numFmt w:val="bullet"/>
      <w:lvlText w:val=""/>
      <w:lvlJc w:val="left"/>
      <w:pPr>
        <w:ind w:left="2196" w:hanging="360"/>
      </w:pPr>
      <w:rPr>
        <w:rFonts w:ascii="Wingdings" w:hAnsi="Wingdings" w:hint="default"/>
      </w:rPr>
    </w:lvl>
    <w:lvl w:ilvl="3" w:tplc="04150001" w:tentative="1">
      <w:start w:val="1"/>
      <w:numFmt w:val="bullet"/>
      <w:lvlText w:val=""/>
      <w:lvlJc w:val="left"/>
      <w:pPr>
        <w:ind w:left="2916" w:hanging="360"/>
      </w:pPr>
      <w:rPr>
        <w:rFonts w:ascii="Symbol" w:hAnsi="Symbol" w:hint="default"/>
      </w:rPr>
    </w:lvl>
    <w:lvl w:ilvl="4" w:tplc="04150003" w:tentative="1">
      <w:start w:val="1"/>
      <w:numFmt w:val="bullet"/>
      <w:lvlText w:val="o"/>
      <w:lvlJc w:val="left"/>
      <w:pPr>
        <w:ind w:left="3636" w:hanging="360"/>
      </w:pPr>
      <w:rPr>
        <w:rFonts w:ascii="Courier New" w:hAnsi="Courier New" w:cs="Courier New" w:hint="default"/>
      </w:rPr>
    </w:lvl>
    <w:lvl w:ilvl="5" w:tplc="04150005" w:tentative="1">
      <w:start w:val="1"/>
      <w:numFmt w:val="bullet"/>
      <w:lvlText w:val=""/>
      <w:lvlJc w:val="left"/>
      <w:pPr>
        <w:ind w:left="4356" w:hanging="360"/>
      </w:pPr>
      <w:rPr>
        <w:rFonts w:ascii="Wingdings" w:hAnsi="Wingdings" w:hint="default"/>
      </w:rPr>
    </w:lvl>
    <w:lvl w:ilvl="6" w:tplc="04150001" w:tentative="1">
      <w:start w:val="1"/>
      <w:numFmt w:val="bullet"/>
      <w:lvlText w:val=""/>
      <w:lvlJc w:val="left"/>
      <w:pPr>
        <w:ind w:left="5076" w:hanging="360"/>
      </w:pPr>
      <w:rPr>
        <w:rFonts w:ascii="Symbol" w:hAnsi="Symbol" w:hint="default"/>
      </w:rPr>
    </w:lvl>
    <w:lvl w:ilvl="7" w:tplc="04150003" w:tentative="1">
      <w:start w:val="1"/>
      <w:numFmt w:val="bullet"/>
      <w:lvlText w:val="o"/>
      <w:lvlJc w:val="left"/>
      <w:pPr>
        <w:ind w:left="5796" w:hanging="360"/>
      </w:pPr>
      <w:rPr>
        <w:rFonts w:ascii="Courier New" w:hAnsi="Courier New" w:cs="Courier New" w:hint="default"/>
      </w:rPr>
    </w:lvl>
    <w:lvl w:ilvl="8" w:tplc="04150005" w:tentative="1">
      <w:start w:val="1"/>
      <w:numFmt w:val="bullet"/>
      <w:lvlText w:val=""/>
      <w:lvlJc w:val="left"/>
      <w:pPr>
        <w:ind w:left="6516" w:hanging="360"/>
      </w:pPr>
      <w:rPr>
        <w:rFonts w:ascii="Wingdings" w:hAnsi="Wingdings" w:hint="default"/>
      </w:rPr>
    </w:lvl>
  </w:abstractNum>
  <w:abstractNum w:abstractNumId="172" w15:restartNumberingAfterBreak="0">
    <w:nsid w:val="4BB344F3"/>
    <w:multiLevelType w:val="hybridMultilevel"/>
    <w:tmpl w:val="A3C8C1D6"/>
    <w:lvl w:ilvl="0" w:tplc="04150001">
      <w:start w:val="1"/>
      <w:numFmt w:val="bullet"/>
      <w:lvlText w:val=""/>
      <w:lvlJc w:val="left"/>
      <w:pPr>
        <w:ind w:left="756" w:hanging="360"/>
      </w:pPr>
      <w:rPr>
        <w:rFonts w:ascii="Symbol" w:hAnsi="Symbol" w:hint="default"/>
      </w:rPr>
    </w:lvl>
    <w:lvl w:ilvl="1" w:tplc="04150003" w:tentative="1">
      <w:start w:val="1"/>
      <w:numFmt w:val="bullet"/>
      <w:lvlText w:val="o"/>
      <w:lvlJc w:val="left"/>
      <w:pPr>
        <w:ind w:left="1476" w:hanging="360"/>
      </w:pPr>
      <w:rPr>
        <w:rFonts w:ascii="Courier New" w:hAnsi="Courier New" w:cs="Courier New" w:hint="default"/>
      </w:rPr>
    </w:lvl>
    <w:lvl w:ilvl="2" w:tplc="04150005" w:tentative="1">
      <w:start w:val="1"/>
      <w:numFmt w:val="bullet"/>
      <w:lvlText w:val=""/>
      <w:lvlJc w:val="left"/>
      <w:pPr>
        <w:ind w:left="2196" w:hanging="360"/>
      </w:pPr>
      <w:rPr>
        <w:rFonts w:ascii="Wingdings" w:hAnsi="Wingdings" w:hint="default"/>
      </w:rPr>
    </w:lvl>
    <w:lvl w:ilvl="3" w:tplc="04150001" w:tentative="1">
      <w:start w:val="1"/>
      <w:numFmt w:val="bullet"/>
      <w:lvlText w:val=""/>
      <w:lvlJc w:val="left"/>
      <w:pPr>
        <w:ind w:left="2916" w:hanging="360"/>
      </w:pPr>
      <w:rPr>
        <w:rFonts w:ascii="Symbol" w:hAnsi="Symbol" w:hint="default"/>
      </w:rPr>
    </w:lvl>
    <w:lvl w:ilvl="4" w:tplc="04150003" w:tentative="1">
      <w:start w:val="1"/>
      <w:numFmt w:val="bullet"/>
      <w:lvlText w:val="o"/>
      <w:lvlJc w:val="left"/>
      <w:pPr>
        <w:ind w:left="3636" w:hanging="360"/>
      </w:pPr>
      <w:rPr>
        <w:rFonts w:ascii="Courier New" w:hAnsi="Courier New" w:cs="Courier New" w:hint="default"/>
      </w:rPr>
    </w:lvl>
    <w:lvl w:ilvl="5" w:tplc="04150005" w:tentative="1">
      <w:start w:val="1"/>
      <w:numFmt w:val="bullet"/>
      <w:lvlText w:val=""/>
      <w:lvlJc w:val="left"/>
      <w:pPr>
        <w:ind w:left="4356" w:hanging="360"/>
      </w:pPr>
      <w:rPr>
        <w:rFonts w:ascii="Wingdings" w:hAnsi="Wingdings" w:hint="default"/>
      </w:rPr>
    </w:lvl>
    <w:lvl w:ilvl="6" w:tplc="04150001" w:tentative="1">
      <w:start w:val="1"/>
      <w:numFmt w:val="bullet"/>
      <w:lvlText w:val=""/>
      <w:lvlJc w:val="left"/>
      <w:pPr>
        <w:ind w:left="5076" w:hanging="360"/>
      </w:pPr>
      <w:rPr>
        <w:rFonts w:ascii="Symbol" w:hAnsi="Symbol" w:hint="default"/>
      </w:rPr>
    </w:lvl>
    <w:lvl w:ilvl="7" w:tplc="04150003" w:tentative="1">
      <w:start w:val="1"/>
      <w:numFmt w:val="bullet"/>
      <w:lvlText w:val="o"/>
      <w:lvlJc w:val="left"/>
      <w:pPr>
        <w:ind w:left="5796" w:hanging="360"/>
      </w:pPr>
      <w:rPr>
        <w:rFonts w:ascii="Courier New" w:hAnsi="Courier New" w:cs="Courier New" w:hint="default"/>
      </w:rPr>
    </w:lvl>
    <w:lvl w:ilvl="8" w:tplc="04150005" w:tentative="1">
      <w:start w:val="1"/>
      <w:numFmt w:val="bullet"/>
      <w:lvlText w:val=""/>
      <w:lvlJc w:val="left"/>
      <w:pPr>
        <w:ind w:left="6516" w:hanging="360"/>
      </w:pPr>
      <w:rPr>
        <w:rFonts w:ascii="Wingdings" w:hAnsi="Wingdings" w:hint="default"/>
      </w:rPr>
    </w:lvl>
  </w:abstractNum>
  <w:abstractNum w:abstractNumId="173" w15:restartNumberingAfterBreak="0">
    <w:nsid w:val="4BB649FF"/>
    <w:multiLevelType w:val="hybridMultilevel"/>
    <w:tmpl w:val="1B2A8E82"/>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4" w15:restartNumberingAfterBreak="0">
    <w:nsid w:val="4CBB5943"/>
    <w:multiLevelType w:val="hybridMultilevel"/>
    <w:tmpl w:val="5F363952"/>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5" w15:restartNumberingAfterBreak="0">
    <w:nsid w:val="4CE22DA9"/>
    <w:multiLevelType w:val="hybridMultilevel"/>
    <w:tmpl w:val="AF8E8C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DE33B89"/>
    <w:multiLevelType w:val="hybridMultilevel"/>
    <w:tmpl w:val="51302456"/>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7" w15:restartNumberingAfterBreak="0">
    <w:nsid w:val="4DF73709"/>
    <w:multiLevelType w:val="hybridMultilevel"/>
    <w:tmpl w:val="A8E859FE"/>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78" w15:restartNumberingAfterBreak="0">
    <w:nsid w:val="4E526409"/>
    <w:multiLevelType w:val="hybridMultilevel"/>
    <w:tmpl w:val="859C562E"/>
    <w:lvl w:ilvl="0" w:tplc="0415000F">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9" w15:restartNumberingAfterBreak="0">
    <w:nsid w:val="4E606DB7"/>
    <w:multiLevelType w:val="hybridMultilevel"/>
    <w:tmpl w:val="A7981B66"/>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hint="default"/>
      </w:rPr>
    </w:lvl>
    <w:lvl w:ilvl="6" w:tplc="04150001">
      <w:start w:val="1"/>
      <w:numFmt w:val="bullet"/>
      <w:lvlText w:val=""/>
      <w:lvlJc w:val="left"/>
      <w:pPr>
        <w:ind w:left="5760" w:hanging="360"/>
      </w:pPr>
      <w:rPr>
        <w:rFonts w:ascii="Symbol" w:hAnsi="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hint="default"/>
      </w:rPr>
    </w:lvl>
  </w:abstractNum>
  <w:abstractNum w:abstractNumId="180" w15:restartNumberingAfterBreak="0">
    <w:nsid w:val="4EF978E4"/>
    <w:multiLevelType w:val="hybridMultilevel"/>
    <w:tmpl w:val="4624340C"/>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1" w15:restartNumberingAfterBreak="0">
    <w:nsid w:val="4F0E1E65"/>
    <w:multiLevelType w:val="multilevel"/>
    <w:tmpl w:val="611871DC"/>
    <w:lvl w:ilvl="0">
      <w:start w:val="3"/>
      <w:numFmt w:val="upperRoman"/>
      <w:lvlText w:val="%1."/>
      <w:lvlJc w:val="righ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82" w15:restartNumberingAfterBreak="0">
    <w:nsid w:val="4FA1257C"/>
    <w:multiLevelType w:val="hybridMultilevel"/>
    <w:tmpl w:val="7D161A04"/>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3" w15:restartNumberingAfterBreak="0">
    <w:nsid w:val="4FC75C95"/>
    <w:multiLevelType w:val="hybridMultilevel"/>
    <w:tmpl w:val="077C8CEE"/>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84" w15:restartNumberingAfterBreak="0">
    <w:nsid w:val="502E4867"/>
    <w:multiLevelType w:val="hybridMultilevel"/>
    <w:tmpl w:val="B448CF5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5" w15:restartNumberingAfterBreak="0">
    <w:nsid w:val="50593B01"/>
    <w:multiLevelType w:val="hybridMultilevel"/>
    <w:tmpl w:val="94283F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15:restartNumberingAfterBreak="0">
    <w:nsid w:val="50BC764B"/>
    <w:multiLevelType w:val="hybridMultilevel"/>
    <w:tmpl w:val="B4BC0BD6"/>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516732D0"/>
    <w:multiLevelType w:val="hybridMultilevel"/>
    <w:tmpl w:val="336AFB22"/>
    <w:lvl w:ilvl="0" w:tplc="04150017">
      <w:start w:val="1"/>
      <w:numFmt w:val="lowerLetter"/>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88" w15:restartNumberingAfterBreak="0">
    <w:nsid w:val="522C3B5B"/>
    <w:multiLevelType w:val="hybridMultilevel"/>
    <w:tmpl w:val="7B0ACFB2"/>
    <w:lvl w:ilvl="0" w:tplc="6DFA6C6A">
      <w:start w:val="2"/>
      <w:numFmt w:val="bullet"/>
      <w:lvlText w:val=""/>
      <w:lvlJc w:val="left"/>
      <w:pPr>
        <w:ind w:left="1080" w:hanging="360"/>
      </w:pPr>
      <w:rPr>
        <w:rFonts w:ascii="Symbol" w:eastAsiaTheme="minorHAnsi" w:hAnsi="Symbol" w:cstheme="minorBidi"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9" w15:restartNumberingAfterBreak="0">
    <w:nsid w:val="52990D82"/>
    <w:multiLevelType w:val="hybridMultilevel"/>
    <w:tmpl w:val="D1CE7FF4"/>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90" w15:restartNumberingAfterBreak="0">
    <w:nsid w:val="52FA0FF9"/>
    <w:multiLevelType w:val="hybridMultilevel"/>
    <w:tmpl w:val="CB90F6B8"/>
    <w:lvl w:ilvl="0" w:tplc="04150017">
      <w:start w:val="1"/>
      <w:numFmt w:val="lowerLetter"/>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91" w15:restartNumberingAfterBreak="0">
    <w:nsid w:val="53576E28"/>
    <w:multiLevelType w:val="hybridMultilevel"/>
    <w:tmpl w:val="6B4CAB4E"/>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92" w15:restartNumberingAfterBreak="0">
    <w:nsid w:val="53F06ECE"/>
    <w:multiLevelType w:val="hybridMultilevel"/>
    <w:tmpl w:val="4BFEAA2A"/>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3" w15:restartNumberingAfterBreak="0">
    <w:nsid w:val="54127CB0"/>
    <w:multiLevelType w:val="hybridMultilevel"/>
    <w:tmpl w:val="C78859BE"/>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94" w15:restartNumberingAfterBreak="0">
    <w:nsid w:val="550B47E0"/>
    <w:multiLevelType w:val="hybridMultilevel"/>
    <w:tmpl w:val="3578BE4E"/>
    <w:lvl w:ilvl="0" w:tplc="F39A135C">
      <w:start w:val="1"/>
      <w:numFmt w:val="bullet"/>
      <w:lvlText w:val="-"/>
      <w:lvlJc w:val="center"/>
      <w:pPr>
        <w:ind w:left="814" w:hanging="360"/>
      </w:pPr>
      <w:rPr>
        <w:rFonts w:ascii="Courier New" w:hAnsi="Courier New" w:hint="default"/>
      </w:rPr>
    </w:lvl>
    <w:lvl w:ilvl="1" w:tplc="04150003" w:tentative="1">
      <w:start w:val="1"/>
      <w:numFmt w:val="bullet"/>
      <w:lvlText w:val="o"/>
      <w:lvlJc w:val="left"/>
      <w:pPr>
        <w:ind w:left="1534" w:hanging="360"/>
      </w:pPr>
      <w:rPr>
        <w:rFonts w:ascii="Courier New" w:hAnsi="Courier New" w:cs="Courier New" w:hint="default"/>
      </w:rPr>
    </w:lvl>
    <w:lvl w:ilvl="2" w:tplc="04150005" w:tentative="1">
      <w:start w:val="1"/>
      <w:numFmt w:val="bullet"/>
      <w:lvlText w:val=""/>
      <w:lvlJc w:val="left"/>
      <w:pPr>
        <w:ind w:left="2254" w:hanging="360"/>
      </w:pPr>
      <w:rPr>
        <w:rFonts w:ascii="Wingdings" w:hAnsi="Wingdings" w:hint="default"/>
      </w:rPr>
    </w:lvl>
    <w:lvl w:ilvl="3" w:tplc="04150001" w:tentative="1">
      <w:start w:val="1"/>
      <w:numFmt w:val="bullet"/>
      <w:lvlText w:val=""/>
      <w:lvlJc w:val="left"/>
      <w:pPr>
        <w:ind w:left="2974" w:hanging="360"/>
      </w:pPr>
      <w:rPr>
        <w:rFonts w:ascii="Symbol" w:hAnsi="Symbol" w:hint="default"/>
      </w:rPr>
    </w:lvl>
    <w:lvl w:ilvl="4" w:tplc="04150003" w:tentative="1">
      <w:start w:val="1"/>
      <w:numFmt w:val="bullet"/>
      <w:lvlText w:val="o"/>
      <w:lvlJc w:val="left"/>
      <w:pPr>
        <w:ind w:left="3694" w:hanging="360"/>
      </w:pPr>
      <w:rPr>
        <w:rFonts w:ascii="Courier New" w:hAnsi="Courier New" w:cs="Courier New" w:hint="default"/>
      </w:rPr>
    </w:lvl>
    <w:lvl w:ilvl="5" w:tplc="04150005" w:tentative="1">
      <w:start w:val="1"/>
      <w:numFmt w:val="bullet"/>
      <w:lvlText w:val=""/>
      <w:lvlJc w:val="left"/>
      <w:pPr>
        <w:ind w:left="4414" w:hanging="360"/>
      </w:pPr>
      <w:rPr>
        <w:rFonts w:ascii="Wingdings" w:hAnsi="Wingdings" w:hint="default"/>
      </w:rPr>
    </w:lvl>
    <w:lvl w:ilvl="6" w:tplc="04150001" w:tentative="1">
      <w:start w:val="1"/>
      <w:numFmt w:val="bullet"/>
      <w:lvlText w:val=""/>
      <w:lvlJc w:val="left"/>
      <w:pPr>
        <w:ind w:left="5134" w:hanging="360"/>
      </w:pPr>
      <w:rPr>
        <w:rFonts w:ascii="Symbol" w:hAnsi="Symbol" w:hint="default"/>
      </w:rPr>
    </w:lvl>
    <w:lvl w:ilvl="7" w:tplc="04150003" w:tentative="1">
      <w:start w:val="1"/>
      <w:numFmt w:val="bullet"/>
      <w:lvlText w:val="o"/>
      <w:lvlJc w:val="left"/>
      <w:pPr>
        <w:ind w:left="5854" w:hanging="360"/>
      </w:pPr>
      <w:rPr>
        <w:rFonts w:ascii="Courier New" w:hAnsi="Courier New" w:cs="Courier New" w:hint="default"/>
      </w:rPr>
    </w:lvl>
    <w:lvl w:ilvl="8" w:tplc="04150005" w:tentative="1">
      <w:start w:val="1"/>
      <w:numFmt w:val="bullet"/>
      <w:lvlText w:val=""/>
      <w:lvlJc w:val="left"/>
      <w:pPr>
        <w:ind w:left="6574" w:hanging="360"/>
      </w:pPr>
      <w:rPr>
        <w:rFonts w:ascii="Wingdings" w:hAnsi="Wingdings" w:hint="default"/>
      </w:rPr>
    </w:lvl>
  </w:abstractNum>
  <w:abstractNum w:abstractNumId="195" w15:restartNumberingAfterBreak="0">
    <w:nsid w:val="556257B2"/>
    <w:multiLevelType w:val="hybridMultilevel"/>
    <w:tmpl w:val="2CB80D38"/>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6" w15:restartNumberingAfterBreak="0">
    <w:nsid w:val="556955F4"/>
    <w:multiLevelType w:val="hybridMultilevel"/>
    <w:tmpl w:val="51581406"/>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97" w15:restartNumberingAfterBreak="0">
    <w:nsid w:val="56B77211"/>
    <w:multiLevelType w:val="multilevel"/>
    <w:tmpl w:val="1038B3E0"/>
    <w:lvl w:ilvl="0">
      <w:start w:val="1"/>
      <w:numFmt w:val="upperRoman"/>
      <w:lvlText w:val="%1."/>
      <w:lvlJc w:val="righ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8" w15:restartNumberingAfterBreak="0">
    <w:nsid w:val="56D57F4E"/>
    <w:multiLevelType w:val="hybridMultilevel"/>
    <w:tmpl w:val="61847872"/>
    <w:lvl w:ilvl="0" w:tplc="04150017">
      <w:start w:val="1"/>
      <w:numFmt w:val="lowerLetter"/>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199" w15:restartNumberingAfterBreak="0">
    <w:nsid w:val="56E5570A"/>
    <w:multiLevelType w:val="hybridMultilevel"/>
    <w:tmpl w:val="D3AAD78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0" w15:restartNumberingAfterBreak="0">
    <w:nsid w:val="5760550A"/>
    <w:multiLevelType w:val="hybridMultilevel"/>
    <w:tmpl w:val="3D509B42"/>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15:restartNumberingAfterBreak="0">
    <w:nsid w:val="578E2922"/>
    <w:multiLevelType w:val="hybridMultilevel"/>
    <w:tmpl w:val="74127768"/>
    <w:lvl w:ilvl="0" w:tplc="251613B0">
      <w:start w:val="1"/>
      <w:numFmt w:val="lowerLetter"/>
      <w:lvlText w:val="%1)"/>
      <w:lvlJc w:val="left"/>
      <w:pPr>
        <w:ind w:left="5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2" w15:restartNumberingAfterBreak="0">
    <w:nsid w:val="57A06DA3"/>
    <w:multiLevelType w:val="hybridMultilevel"/>
    <w:tmpl w:val="C0AE701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3" w15:restartNumberingAfterBreak="0">
    <w:nsid w:val="57F939C1"/>
    <w:multiLevelType w:val="hybridMultilevel"/>
    <w:tmpl w:val="9F8C38DA"/>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4" w15:restartNumberingAfterBreak="0">
    <w:nsid w:val="58574EF9"/>
    <w:multiLevelType w:val="hybridMultilevel"/>
    <w:tmpl w:val="B2BEA55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5" w15:restartNumberingAfterBreak="0">
    <w:nsid w:val="5878331A"/>
    <w:multiLevelType w:val="hybridMultilevel"/>
    <w:tmpl w:val="3C20F23C"/>
    <w:lvl w:ilvl="0" w:tplc="0415000F">
      <w:start w:val="1"/>
      <w:numFmt w:val="decimal"/>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06" w15:restartNumberingAfterBreak="0">
    <w:nsid w:val="58806BB2"/>
    <w:multiLevelType w:val="hybridMultilevel"/>
    <w:tmpl w:val="BB343D1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7" w15:restartNumberingAfterBreak="0">
    <w:nsid w:val="58910BEC"/>
    <w:multiLevelType w:val="hybridMultilevel"/>
    <w:tmpl w:val="1E8071B4"/>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8" w15:restartNumberingAfterBreak="0">
    <w:nsid w:val="58F87C3B"/>
    <w:multiLevelType w:val="hybridMultilevel"/>
    <w:tmpl w:val="4AC626DA"/>
    <w:lvl w:ilvl="0" w:tplc="04150011">
      <w:start w:val="1"/>
      <w:numFmt w:val="decimal"/>
      <w:lvlText w:val="%1)"/>
      <w:lvlJc w:val="left"/>
      <w:pPr>
        <w:ind w:left="5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9" w15:restartNumberingAfterBreak="0">
    <w:nsid w:val="59502DDB"/>
    <w:multiLevelType w:val="hybridMultilevel"/>
    <w:tmpl w:val="C5524D1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0" w15:restartNumberingAfterBreak="0">
    <w:nsid w:val="596408C2"/>
    <w:multiLevelType w:val="hybridMultilevel"/>
    <w:tmpl w:val="3790E9E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1" w15:restartNumberingAfterBreak="0">
    <w:nsid w:val="59641E46"/>
    <w:multiLevelType w:val="hybridMultilevel"/>
    <w:tmpl w:val="3D64B3AA"/>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12" w15:restartNumberingAfterBreak="0">
    <w:nsid w:val="59BA0B9A"/>
    <w:multiLevelType w:val="hybridMultilevel"/>
    <w:tmpl w:val="9946A3C2"/>
    <w:lvl w:ilvl="0" w:tplc="F330003A">
      <w:start w:val="1"/>
      <w:numFmt w:val="decimal"/>
      <w:lvlText w:val="%1)"/>
      <w:lvlJc w:val="left"/>
      <w:pPr>
        <w:ind w:left="360" w:hanging="360"/>
      </w:pPr>
      <w:rPr>
        <w:color w:val="auto"/>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3" w15:restartNumberingAfterBreak="0">
    <w:nsid w:val="59E6052F"/>
    <w:multiLevelType w:val="hybridMultilevel"/>
    <w:tmpl w:val="59C2D812"/>
    <w:lvl w:ilvl="0" w:tplc="ECEA7A6C">
      <w:start w:val="1"/>
      <w:numFmt w:val="bullet"/>
      <w:lvlText w:val=""/>
      <w:lvlJc w:val="left"/>
      <w:pPr>
        <w:ind w:left="360" w:hanging="360"/>
      </w:pPr>
      <w:rPr>
        <w:rFonts w:ascii="Symbol" w:hAnsi="Symbol" w:hint="default"/>
        <w:strike w:val="0"/>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4" w15:restartNumberingAfterBreak="0">
    <w:nsid w:val="5A3319EF"/>
    <w:multiLevelType w:val="hybridMultilevel"/>
    <w:tmpl w:val="19F679D4"/>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15" w15:restartNumberingAfterBreak="0">
    <w:nsid w:val="5A4B4855"/>
    <w:multiLevelType w:val="hybridMultilevel"/>
    <w:tmpl w:val="197AB278"/>
    <w:lvl w:ilvl="0" w:tplc="04150017">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6" w15:restartNumberingAfterBreak="0">
    <w:nsid w:val="5AFB132A"/>
    <w:multiLevelType w:val="hybridMultilevel"/>
    <w:tmpl w:val="BEFC6A5C"/>
    <w:lvl w:ilvl="0" w:tplc="E7740F3C">
      <w:start w:val="1"/>
      <w:numFmt w:val="decimal"/>
      <w:lvlText w:val="%1."/>
      <w:lvlJc w:val="left"/>
      <w:pPr>
        <w:ind w:left="720" w:hanging="360"/>
      </w:pPr>
      <w:rPr>
        <w:b/>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7" w15:restartNumberingAfterBreak="0">
    <w:nsid w:val="5C87619A"/>
    <w:multiLevelType w:val="hybridMultilevel"/>
    <w:tmpl w:val="549A3246"/>
    <w:lvl w:ilvl="0" w:tplc="54B87C36">
      <w:start w:val="1"/>
      <w:numFmt w:val="lowerLetter"/>
      <w:lvlText w:val="%1)"/>
      <w:lvlJc w:val="left"/>
      <w:pPr>
        <w:ind w:left="5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D346C9E"/>
    <w:multiLevelType w:val="hybridMultilevel"/>
    <w:tmpl w:val="729E7370"/>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9" w15:restartNumberingAfterBreak="0">
    <w:nsid w:val="5D845A47"/>
    <w:multiLevelType w:val="hybridMultilevel"/>
    <w:tmpl w:val="4F8ADA72"/>
    <w:lvl w:ilvl="0" w:tplc="04150017">
      <w:start w:val="1"/>
      <w:numFmt w:val="lowerLetter"/>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20" w15:restartNumberingAfterBreak="0">
    <w:nsid w:val="5DAC497D"/>
    <w:multiLevelType w:val="hybridMultilevel"/>
    <w:tmpl w:val="2D30EA00"/>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1" w15:restartNumberingAfterBreak="0">
    <w:nsid w:val="5DD6204A"/>
    <w:multiLevelType w:val="hybridMultilevel"/>
    <w:tmpl w:val="017AF0D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2" w15:restartNumberingAfterBreak="0">
    <w:nsid w:val="5E360388"/>
    <w:multiLevelType w:val="hybridMultilevel"/>
    <w:tmpl w:val="13F875CC"/>
    <w:lvl w:ilvl="0" w:tplc="88A82152">
      <w:start w:val="1"/>
      <w:numFmt w:val="decimal"/>
      <w:lvlText w:val="%1."/>
      <w:lvlJc w:val="left"/>
      <w:pPr>
        <w:ind w:left="720" w:hanging="360"/>
      </w:pPr>
      <w:rPr>
        <w:color w:val="auto"/>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23" w15:restartNumberingAfterBreak="0">
    <w:nsid w:val="5E66393A"/>
    <w:multiLevelType w:val="hybridMultilevel"/>
    <w:tmpl w:val="AC585A0C"/>
    <w:lvl w:ilvl="0" w:tplc="0F5ED8C6">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5ED14233"/>
    <w:multiLevelType w:val="hybridMultilevel"/>
    <w:tmpl w:val="9C282DF8"/>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5" w15:restartNumberingAfterBreak="0">
    <w:nsid w:val="5F133854"/>
    <w:multiLevelType w:val="hybridMultilevel"/>
    <w:tmpl w:val="610EEA56"/>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5F4C30B0"/>
    <w:multiLevelType w:val="hybridMultilevel"/>
    <w:tmpl w:val="19FEADDA"/>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27" w15:restartNumberingAfterBreak="0">
    <w:nsid w:val="600A23F2"/>
    <w:multiLevelType w:val="hybridMultilevel"/>
    <w:tmpl w:val="6A0AA34A"/>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8" w15:restartNumberingAfterBreak="0">
    <w:nsid w:val="6087700A"/>
    <w:multiLevelType w:val="hybridMultilevel"/>
    <w:tmpl w:val="D21E4C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9" w15:restartNumberingAfterBreak="0">
    <w:nsid w:val="609579F3"/>
    <w:multiLevelType w:val="hybridMultilevel"/>
    <w:tmpl w:val="B2921C8E"/>
    <w:lvl w:ilvl="0" w:tplc="04150011">
      <w:start w:val="1"/>
      <w:numFmt w:val="decimal"/>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30" w15:restartNumberingAfterBreak="0">
    <w:nsid w:val="618B6EF3"/>
    <w:multiLevelType w:val="hybridMultilevel"/>
    <w:tmpl w:val="8C32C536"/>
    <w:lvl w:ilvl="0" w:tplc="0415000F">
      <w:start w:val="1"/>
      <w:numFmt w:val="decimal"/>
      <w:lvlText w:val="%1."/>
      <w:lvlJc w:val="left"/>
      <w:pPr>
        <w:ind w:left="717" w:hanging="360"/>
      </w:pPr>
    </w:lvl>
    <w:lvl w:ilvl="1" w:tplc="04150019">
      <w:start w:val="1"/>
      <w:numFmt w:val="lowerLetter"/>
      <w:lvlText w:val="%2."/>
      <w:lvlJc w:val="left"/>
      <w:pPr>
        <w:ind w:left="1437" w:hanging="360"/>
      </w:pPr>
    </w:lvl>
    <w:lvl w:ilvl="2" w:tplc="0415001B">
      <w:start w:val="1"/>
      <w:numFmt w:val="lowerRoman"/>
      <w:lvlText w:val="%3."/>
      <w:lvlJc w:val="right"/>
      <w:pPr>
        <w:ind w:left="2157" w:hanging="180"/>
      </w:pPr>
    </w:lvl>
    <w:lvl w:ilvl="3" w:tplc="0415000F">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231" w15:restartNumberingAfterBreak="0">
    <w:nsid w:val="61AE264A"/>
    <w:multiLevelType w:val="hybridMultilevel"/>
    <w:tmpl w:val="5A9A6046"/>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2" w15:restartNumberingAfterBreak="0">
    <w:nsid w:val="61C34A11"/>
    <w:multiLevelType w:val="hybridMultilevel"/>
    <w:tmpl w:val="406823B6"/>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20E092B"/>
    <w:multiLevelType w:val="hybridMultilevel"/>
    <w:tmpl w:val="DBEED704"/>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4" w15:restartNumberingAfterBreak="0">
    <w:nsid w:val="62830414"/>
    <w:multiLevelType w:val="hybridMultilevel"/>
    <w:tmpl w:val="675A5000"/>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5" w15:restartNumberingAfterBreak="0">
    <w:nsid w:val="62936945"/>
    <w:multiLevelType w:val="hybridMultilevel"/>
    <w:tmpl w:val="C69A9898"/>
    <w:lvl w:ilvl="0" w:tplc="476AFC32">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6" w15:restartNumberingAfterBreak="0">
    <w:nsid w:val="63046C99"/>
    <w:multiLevelType w:val="hybridMultilevel"/>
    <w:tmpl w:val="C51E820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7" w15:restartNumberingAfterBreak="0">
    <w:nsid w:val="6345170B"/>
    <w:multiLevelType w:val="hybridMultilevel"/>
    <w:tmpl w:val="6EC849A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8" w15:restartNumberingAfterBreak="0">
    <w:nsid w:val="63824E0B"/>
    <w:multiLevelType w:val="hybridMultilevel"/>
    <w:tmpl w:val="66401C58"/>
    <w:lvl w:ilvl="0" w:tplc="04150019">
      <w:start w:val="1"/>
      <w:numFmt w:val="lowerLetter"/>
      <w:lvlText w:val="%1."/>
      <w:lvlJc w:val="left"/>
      <w:pPr>
        <w:ind w:left="717" w:hanging="360"/>
      </w:pPr>
    </w:lvl>
    <w:lvl w:ilvl="1" w:tplc="04150019">
      <w:start w:val="1"/>
      <w:numFmt w:val="lowerLetter"/>
      <w:lvlText w:val="%2."/>
      <w:lvlJc w:val="left"/>
      <w:pPr>
        <w:ind w:left="1437" w:hanging="360"/>
      </w:pPr>
    </w:lvl>
    <w:lvl w:ilvl="2" w:tplc="0415001B" w:tentative="1">
      <w:start w:val="1"/>
      <w:numFmt w:val="lowerRoman"/>
      <w:lvlText w:val="%3."/>
      <w:lvlJc w:val="right"/>
      <w:pPr>
        <w:ind w:left="2157" w:hanging="180"/>
      </w:pPr>
    </w:lvl>
    <w:lvl w:ilvl="3" w:tplc="0415000F" w:tentative="1">
      <w:start w:val="1"/>
      <w:numFmt w:val="decimal"/>
      <w:lvlText w:val="%4."/>
      <w:lvlJc w:val="left"/>
      <w:pPr>
        <w:ind w:left="2877" w:hanging="360"/>
      </w:pPr>
    </w:lvl>
    <w:lvl w:ilvl="4" w:tplc="04150019" w:tentative="1">
      <w:start w:val="1"/>
      <w:numFmt w:val="lowerLetter"/>
      <w:lvlText w:val="%5."/>
      <w:lvlJc w:val="left"/>
      <w:pPr>
        <w:ind w:left="3597" w:hanging="360"/>
      </w:pPr>
    </w:lvl>
    <w:lvl w:ilvl="5" w:tplc="0415001B" w:tentative="1">
      <w:start w:val="1"/>
      <w:numFmt w:val="lowerRoman"/>
      <w:lvlText w:val="%6."/>
      <w:lvlJc w:val="right"/>
      <w:pPr>
        <w:ind w:left="4317" w:hanging="180"/>
      </w:pPr>
    </w:lvl>
    <w:lvl w:ilvl="6" w:tplc="0415000F" w:tentative="1">
      <w:start w:val="1"/>
      <w:numFmt w:val="decimal"/>
      <w:lvlText w:val="%7."/>
      <w:lvlJc w:val="left"/>
      <w:pPr>
        <w:ind w:left="5037" w:hanging="360"/>
      </w:pPr>
    </w:lvl>
    <w:lvl w:ilvl="7" w:tplc="04150019" w:tentative="1">
      <w:start w:val="1"/>
      <w:numFmt w:val="lowerLetter"/>
      <w:lvlText w:val="%8."/>
      <w:lvlJc w:val="left"/>
      <w:pPr>
        <w:ind w:left="5757" w:hanging="360"/>
      </w:pPr>
    </w:lvl>
    <w:lvl w:ilvl="8" w:tplc="0415001B" w:tentative="1">
      <w:start w:val="1"/>
      <w:numFmt w:val="lowerRoman"/>
      <w:lvlText w:val="%9."/>
      <w:lvlJc w:val="right"/>
      <w:pPr>
        <w:ind w:left="6477" w:hanging="180"/>
      </w:pPr>
    </w:lvl>
  </w:abstractNum>
  <w:abstractNum w:abstractNumId="239" w15:restartNumberingAfterBreak="0">
    <w:nsid w:val="63C37E3B"/>
    <w:multiLevelType w:val="multilevel"/>
    <w:tmpl w:val="AAB0C5AC"/>
    <w:lvl w:ilvl="0">
      <w:start w:val="1"/>
      <w:numFmt w:val="decimal"/>
      <w:lvlText w:val="%1"/>
      <w:lvlJc w:val="left"/>
      <w:pPr>
        <w:ind w:left="405" w:hanging="40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0" w15:restartNumberingAfterBreak="0">
    <w:nsid w:val="65CD2CA7"/>
    <w:multiLevelType w:val="hybridMultilevel"/>
    <w:tmpl w:val="76BEF6E6"/>
    <w:lvl w:ilvl="0" w:tplc="04150001">
      <w:start w:val="1"/>
      <w:numFmt w:val="bullet"/>
      <w:lvlText w:val=""/>
      <w:lvlJc w:val="left"/>
      <w:pPr>
        <w:ind w:left="814" w:hanging="360"/>
      </w:pPr>
      <w:rPr>
        <w:rFonts w:ascii="Symbol" w:hAnsi="Symbol" w:hint="default"/>
      </w:rPr>
    </w:lvl>
    <w:lvl w:ilvl="1" w:tplc="04150001">
      <w:start w:val="1"/>
      <w:numFmt w:val="bullet"/>
      <w:lvlText w:val=""/>
      <w:lvlJc w:val="left"/>
      <w:pPr>
        <w:ind w:left="1534" w:hanging="360"/>
      </w:pPr>
      <w:rPr>
        <w:rFonts w:ascii="Symbol" w:hAnsi="Symbol" w:hint="default"/>
      </w:rPr>
    </w:lvl>
    <w:lvl w:ilvl="2" w:tplc="04150005" w:tentative="1">
      <w:start w:val="1"/>
      <w:numFmt w:val="bullet"/>
      <w:lvlText w:val=""/>
      <w:lvlJc w:val="left"/>
      <w:pPr>
        <w:ind w:left="2254" w:hanging="360"/>
      </w:pPr>
      <w:rPr>
        <w:rFonts w:ascii="Wingdings" w:hAnsi="Wingdings" w:hint="default"/>
      </w:rPr>
    </w:lvl>
    <w:lvl w:ilvl="3" w:tplc="04150001" w:tentative="1">
      <w:start w:val="1"/>
      <w:numFmt w:val="bullet"/>
      <w:lvlText w:val=""/>
      <w:lvlJc w:val="left"/>
      <w:pPr>
        <w:ind w:left="2974" w:hanging="360"/>
      </w:pPr>
      <w:rPr>
        <w:rFonts w:ascii="Symbol" w:hAnsi="Symbol" w:hint="default"/>
      </w:rPr>
    </w:lvl>
    <w:lvl w:ilvl="4" w:tplc="04150003" w:tentative="1">
      <w:start w:val="1"/>
      <w:numFmt w:val="bullet"/>
      <w:lvlText w:val="o"/>
      <w:lvlJc w:val="left"/>
      <w:pPr>
        <w:ind w:left="3694" w:hanging="360"/>
      </w:pPr>
      <w:rPr>
        <w:rFonts w:ascii="Courier New" w:hAnsi="Courier New" w:cs="Courier New" w:hint="default"/>
      </w:rPr>
    </w:lvl>
    <w:lvl w:ilvl="5" w:tplc="04150005" w:tentative="1">
      <w:start w:val="1"/>
      <w:numFmt w:val="bullet"/>
      <w:lvlText w:val=""/>
      <w:lvlJc w:val="left"/>
      <w:pPr>
        <w:ind w:left="4414" w:hanging="360"/>
      </w:pPr>
      <w:rPr>
        <w:rFonts w:ascii="Wingdings" w:hAnsi="Wingdings" w:hint="default"/>
      </w:rPr>
    </w:lvl>
    <w:lvl w:ilvl="6" w:tplc="04150001" w:tentative="1">
      <w:start w:val="1"/>
      <w:numFmt w:val="bullet"/>
      <w:lvlText w:val=""/>
      <w:lvlJc w:val="left"/>
      <w:pPr>
        <w:ind w:left="5134" w:hanging="360"/>
      </w:pPr>
      <w:rPr>
        <w:rFonts w:ascii="Symbol" w:hAnsi="Symbol" w:hint="default"/>
      </w:rPr>
    </w:lvl>
    <w:lvl w:ilvl="7" w:tplc="04150003" w:tentative="1">
      <w:start w:val="1"/>
      <w:numFmt w:val="bullet"/>
      <w:lvlText w:val="o"/>
      <w:lvlJc w:val="left"/>
      <w:pPr>
        <w:ind w:left="5854" w:hanging="360"/>
      </w:pPr>
      <w:rPr>
        <w:rFonts w:ascii="Courier New" w:hAnsi="Courier New" w:cs="Courier New" w:hint="default"/>
      </w:rPr>
    </w:lvl>
    <w:lvl w:ilvl="8" w:tplc="04150005" w:tentative="1">
      <w:start w:val="1"/>
      <w:numFmt w:val="bullet"/>
      <w:lvlText w:val=""/>
      <w:lvlJc w:val="left"/>
      <w:pPr>
        <w:ind w:left="6574" w:hanging="360"/>
      </w:pPr>
      <w:rPr>
        <w:rFonts w:ascii="Wingdings" w:hAnsi="Wingdings" w:hint="default"/>
      </w:rPr>
    </w:lvl>
  </w:abstractNum>
  <w:abstractNum w:abstractNumId="241" w15:restartNumberingAfterBreak="0">
    <w:nsid w:val="65DC7421"/>
    <w:multiLevelType w:val="hybridMultilevel"/>
    <w:tmpl w:val="D0D07BDE"/>
    <w:lvl w:ilvl="0" w:tplc="04150001">
      <w:start w:val="1"/>
      <w:numFmt w:val="bullet"/>
      <w:lvlText w:val=""/>
      <w:lvlJc w:val="left"/>
      <w:pPr>
        <w:ind w:left="587" w:hanging="360"/>
      </w:pPr>
      <w:rPr>
        <w:rFonts w:ascii="Symbol" w:hAnsi="Symbol" w:hint="default"/>
      </w:rPr>
    </w:lvl>
    <w:lvl w:ilvl="1" w:tplc="04150001">
      <w:start w:val="1"/>
      <w:numFmt w:val="bullet"/>
      <w:lvlText w:val=""/>
      <w:lvlJc w:val="left"/>
      <w:pPr>
        <w:ind w:left="1307" w:hanging="360"/>
      </w:pPr>
      <w:rPr>
        <w:rFonts w:ascii="Symbol" w:hAnsi="Symbol"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242" w15:restartNumberingAfterBreak="0">
    <w:nsid w:val="65E9760D"/>
    <w:multiLevelType w:val="hybridMultilevel"/>
    <w:tmpl w:val="641C1EA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69B1977"/>
    <w:multiLevelType w:val="hybridMultilevel"/>
    <w:tmpl w:val="2400800E"/>
    <w:lvl w:ilvl="0" w:tplc="2B62B9A6">
      <w:start w:val="1"/>
      <w:numFmt w:val="decimal"/>
      <w:lvlText w:val="%1."/>
      <w:lvlJc w:val="left"/>
      <w:pPr>
        <w:ind w:left="720" w:hanging="360"/>
      </w:pPr>
      <w:rPr>
        <w:rFonts w:hint="default"/>
        <w:b/>
        <w:bCs/>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6BF7E6C"/>
    <w:multiLevelType w:val="hybridMultilevel"/>
    <w:tmpl w:val="4592741E"/>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45" w15:restartNumberingAfterBreak="0">
    <w:nsid w:val="66C310F0"/>
    <w:multiLevelType w:val="multilevel"/>
    <w:tmpl w:val="46D23B1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46" w15:restartNumberingAfterBreak="0">
    <w:nsid w:val="66DB2B9A"/>
    <w:multiLevelType w:val="hybridMultilevel"/>
    <w:tmpl w:val="B842597A"/>
    <w:lvl w:ilvl="0" w:tplc="864E09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7" w15:restartNumberingAfterBreak="0">
    <w:nsid w:val="673D609E"/>
    <w:multiLevelType w:val="hybridMultilevel"/>
    <w:tmpl w:val="91FE522C"/>
    <w:lvl w:ilvl="0" w:tplc="F39A135C">
      <w:start w:val="1"/>
      <w:numFmt w:val="bullet"/>
      <w:lvlText w:val="-"/>
      <w:lvlJc w:val="center"/>
      <w:pPr>
        <w:ind w:left="587" w:hanging="360"/>
      </w:pPr>
      <w:rPr>
        <w:rFonts w:ascii="Courier New" w:hAnsi="Courier New" w:hint="default"/>
      </w:rPr>
    </w:lvl>
    <w:lvl w:ilvl="1" w:tplc="04150003" w:tentative="1">
      <w:start w:val="1"/>
      <w:numFmt w:val="bullet"/>
      <w:lvlText w:val="o"/>
      <w:lvlJc w:val="left"/>
      <w:pPr>
        <w:ind w:left="1307" w:hanging="360"/>
      </w:pPr>
      <w:rPr>
        <w:rFonts w:ascii="Courier New" w:hAnsi="Courier New" w:cs="Courier New"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248" w15:restartNumberingAfterBreak="0">
    <w:nsid w:val="67476B19"/>
    <w:multiLevelType w:val="hybridMultilevel"/>
    <w:tmpl w:val="F5CE817E"/>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9" w15:restartNumberingAfterBreak="0">
    <w:nsid w:val="67C23BE1"/>
    <w:multiLevelType w:val="hybridMultilevel"/>
    <w:tmpl w:val="E2FA2D46"/>
    <w:lvl w:ilvl="0" w:tplc="04150011">
      <w:start w:val="1"/>
      <w:numFmt w:val="decimal"/>
      <w:lvlText w:val="%1)"/>
      <w:lvlJc w:val="left"/>
      <w:pPr>
        <w:ind w:left="1428" w:hanging="360"/>
      </w:pPr>
    </w:lvl>
    <w:lvl w:ilvl="1" w:tplc="04150019" w:tentative="1">
      <w:start w:val="1"/>
      <w:numFmt w:val="lowerLetter"/>
      <w:lvlText w:val="%2."/>
      <w:lvlJc w:val="left"/>
      <w:pPr>
        <w:ind w:left="2148" w:hanging="360"/>
      </w:pPr>
    </w:lvl>
    <w:lvl w:ilvl="2" w:tplc="0415001B" w:tentative="1">
      <w:start w:val="1"/>
      <w:numFmt w:val="lowerRoman"/>
      <w:lvlText w:val="%3."/>
      <w:lvlJc w:val="right"/>
      <w:pPr>
        <w:ind w:left="2868" w:hanging="180"/>
      </w:pPr>
    </w:lvl>
    <w:lvl w:ilvl="3" w:tplc="0415000F" w:tentative="1">
      <w:start w:val="1"/>
      <w:numFmt w:val="decimal"/>
      <w:lvlText w:val="%4."/>
      <w:lvlJc w:val="left"/>
      <w:pPr>
        <w:ind w:left="3588" w:hanging="360"/>
      </w:pPr>
    </w:lvl>
    <w:lvl w:ilvl="4" w:tplc="04150019" w:tentative="1">
      <w:start w:val="1"/>
      <w:numFmt w:val="lowerLetter"/>
      <w:lvlText w:val="%5."/>
      <w:lvlJc w:val="left"/>
      <w:pPr>
        <w:ind w:left="4308" w:hanging="360"/>
      </w:pPr>
    </w:lvl>
    <w:lvl w:ilvl="5" w:tplc="0415001B" w:tentative="1">
      <w:start w:val="1"/>
      <w:numFmt w:val="lowerRoman"/>
      <w:lvlText w:val="%6."/>
      <w:lvlJc w:val="right"/>
      <w:pPr>
        <w:ind w:left="5028" w:hanging="180"/>
      </w:pPr>
    </w:lvl>
    <w:lvl w:ilvl="6" w:tplc="0415000F" w:tentative="1">
      <w:start w:val="1"/>
      <w:numFmt w:val="decimal"/>
      <w:lvlText w:val="%7."/>
      <w:lvlJc w:val="left"/>
      <w:pPr>
        <w:ind w:left="5748" w:hanging="360"/>
      </w:pPr>
    </w:lvl>
    <w:lvl w:ilvl="7" w:tplc="04150019" w:tentative="1">
      <w:start w:val="1"/>
      <w:numFmt w:val="lowerLetter"/>
      <w:lvlText w:val="%8."/>
      <w:lvlJc w:val="left"/>
      <w:pPr>
        <w:ind w:left="6468" w:hanging="360"/>
      </w:pPr>
    </w:lvl>
    <w:lvl w:ilvl="8" w:tplc="0415001B" w:tentative="1">
      <w:start w:val="1"/>
      <w:numFmt w:val="lowerRoman"/>
      <w:lvlText w:val="%9."/>
      <w:lvlJc w:val="right"/>
      <w:pPr>
        <w:ind w:left="7188" w:hanging="180"/>
      </w:pPr>
    </w:lvl>
  </w:abstractNum>
  <w:abstractNum w:abstractNumId="250" w15:restartNumberingAfterBreak="0">
    <w:nsid w:val="682948A3"/>
    <w:multiLevelType w:val="hybridMultilevel"/>
    <w:tmpl w:val="4ACCF7A6"/>
    <w:lvl w:ilvl="0" w:tplc="5492E5AC">
      <w:start w:val="1"/>
      <w:numFmt w:val="decimal"/>
      <w:lvlText w:val="%1)"/>
      <w:lvlJc w:val="left"/>
      <w:pPr>
        <w:ind w:left="360" w:hanging="360"/>
      </w:pPr>
      <w:rPr>
        <w:color w:val="auto"/>
      </w:r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1" w15:restartNumberingAfterBreak="0">
    <w:nsid w:val="68456E1D"/>
    <w:multiLevelType w:val="hybridMultilevel"/>
    <w:tmpl w:val="6810BDE2"/>
    <w:lvl w:ilvl="0" w:tplc="09CE5FE4">
      <w:start w:val="1"/>
      <w:numFmt w:val="decimal"/>
      <w:lvlText w:val="%1)"/>
      <w:lvlJc w:val="left"/>
      <w:pPr>
        <w:ind w:left="360" w:hanging="360"/>
      </w:pPr>
      <w:rPr>
        <w:color w:val="auto"/>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2" w15:restartNumberingAfterBreak="0">
    <w:nsid w:val="685B363B"/>
    <w:multiLevelType w:val="hybridMultilevel"/>
    <w:tmpl w:val="66FC37B6"/>
    <w:lvl w:ilvl="0" w:tplc="04150001">
      <w:start w:val="1"/>
      <w:numFmt w:val="bullet"/>
      <w:lvlText w:val=""/>
      <w:lvlJc w:val="left"/>
      <w:pPr>
        <w:ind w:left="756" w:hanging="360"/>
      </w:pPr>
      <w:rPr>
        <w:rFonts w:ascii="Symbol" w:hAnsi="Symbol" w:hint="default"/>
      </w:rPr>
    </w:lvl>
    <w:lvl w:ilvl="1" w:tplc="04150003" w:tentative="1">
      <w:start w:val="1"/>
      <w:numFmt w:val="bullet"/>
      <w:lvlText w:val="o"/>
      <w:lvlJc w:val="left"/>
      <w:pPr>
        <w:ind w:left="1476" w:hanging="360"/>
      </w:pPr>
      <w:rPr>
        <w:rFonts w:ascii="Courier New" w:hAnsi="Courier New" w:cs="Courier New" w:hint="default"/>
      </w:rPr>
    </w:lvl>
    <w:lvl w:ilvl="2" w:tplc="04150005" w:tentative="1">
      <w:start w:val="1"/>
      <w:numFmt w:val="bullet"/>
      <w:lvlText w:val=""/>
      <w:lvlJc w:val="left"/>
      <w:pPr>
        <w:ind w:left="2196" w:hanging="360"/>
      </w:pPr>
      <w:rPr>
        <w:rFonts w:ascii="Wingdings" w:hAnsi="Wingdings" w:hint="default"/>
      </w:rPr>
    </w:lvl>
    <w:lvl w:ilvl="3" w:tplc="04150001" w:tentative="1">
      <w:start w:val="1"/>
      <w:numFmt w:val="bullet"/>
      <w:lvlText w:val=""/>
      <w:lvlJc w:val="left"/>
      <w:pPr>
        <w:ind w:left="2916" w:hanging="360"/>
      </w:pPr>
      <w:rPr>
        <w:rFonts w:ascii="Symbol" w:hAnsi="Symbol" w:hint="default"/>
      </w:rPr>
    </w:lvl>
    <w:lvl w:ilvl="4" w:tplc="04150003" w:tentative="1">
      <w:start w:val="1"/>
      <w:numFmt w:val="bullet"/>
      <w:lvlText w:val="o"/>
      <w:lvlJc w:val="left"/>
      <w:pPr>
        <w:ind w:left="3636" w:hanging="360"/>
      </w:pPr>
      <w:rPr>
        <w:rFonts w:ascii="Courier New" w:hAnsi="Courier New" w:cs="Courier New" w:hint="default"/>
      </w:rPr>
    </w:lvl>
    <w:lvl w:ilvl="5" w:tplc="04150005" w:tentative="1">
      <w:start w:val="1"/>
      <w:numFmt w:val="bullet"/>
      <w:lvlText w:val=""/>
      <w:lvlJc w:val="left"/>
      <w:pPr>
        <w:ind w:left="4356" w:hanging="360"/>
      </w:pPr>
      <w:rPr>
        <w:rFonts w:ascii="Wingdings" w:hAnsi="Wingdings" w:hint="default"/>
      </w:rPr>
    </w:lvl>
    <w:lvl w:ilvl="6" w:tplc="04150001" w:tentative="1">
      <w:start w:val="1"/>
      <w:numFmt w:val="bullet"/>
      <w:lvlText w:val=""/>
      <w:lvlJc w:val="left"/>
      <w:pPr>
        <w:ind w:left="5076" w:hanging="360"/>
      </w:pPr>
      <w:rPr>
        <w:rFonts w:ascii="Symbol" w:hAnsi="Symbol" w:hint="default"/>
      </w:rPr>
    </w:lvl>
    <w:lvl w:ilvl="7" w:tplc="04150003" w:tentative="1">
      <w:start w:val="1"/>
      <w:numFmt w:val="bullet"/>
      <w:lvlText w:val="o"/>
      <w:lvlJc w:val="left"/>
      <w:pPr>
        <w:ind w:left="5796" w:hanging="360"/>
      </w:pPr>
      <w:rPr>
        <w:rFonts w:ascii="Courier New" w:hAnsi="Courier New" w:cs="Courier New" w:hint="default"/>
      </w:rPr>
    </w:lvl>
    <w:lvl w:ilvl="8" w:tplc="04150005" w:tentative="1">
      <w:start w:val="1"/>
      <w:numFmt w:val="bullet"/>
      <w:lvlText w:val=""/>
      <w:lvlJc w:val="left"/>
      <w:pPr>
        <w:ind w:left="6516" w:hanging="360"/>
      </w:pPr>
      <w:rPr>
        <w:rFonts w:ascii="Wingdings" w:hAnsi="Wingdings" w:hint="default"/>
      </w:rPr>
    </w:lvl>
  </w:abstractNum>
  <w:abstractNum w:abstractNumId="253" w15:restartNumberingAfterBreak="0">
    <w:nsid w:val="68B95259"/>
    <w:multiLevelType w:val="hybridMultilevel"/>
    <w:tmpl w:val="E8EC23C4"/>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8D0303B"/>
    <w:multiLevelType w:val="hybridMultilevel"/>
    <w:tmpl w:val="D2D27FE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5" w15:restartNumberingAfterBreak="0">
    <w:nsid w:val="68F25DE0"/>
    <w:multiLevelType w:val="hybridMultilevel"/>
    <w:tmpl w:val="3C38B0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6" w15:restartNumberingAfterBreak="0">
    <w:nsid w:val="691F08CC"/>
    <w:multiLevelType w:val="hybridMultilevel"/>
    <w:tmpl w:val="3816F5D6"/>
    <w:lvl w:ilvl="0" w:tplc="04150017">
      <w:start w:val="1"/>
      <w:numFmt w:val="lowerLetter"/>
      <w:lvlText w:val="%1)"/>
      <w:lvlJc w:val="left"/>
      <w:pPr>
        <w:ind w:left="587" w:hanging="360"/>
      </w:pPr>
    </w:lvl>
    <w:lvl w:ilvl="1" w:tplc="04150019">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57" w15:restartNumberingAfterBreak="0">
    <w:nsid w:val="69262900"/>
    <w:multiLevelType w:val="hybridMultilevel"/>
    <w:tmpl w:val="579439DE"/>
    <w:lvl w:ilvl="0" w:tplc="04150011">
      <w:start w:val="1"/>
      <w:numFmt w:val="decimal"/>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58" w15:restartNumberingAfterBreak="0">
    <w:nsid w:val="692E5F76"/>
    <w:multiLevelType w:val="hybridMultilevel"/>
    <w:tmpl w:val="DA4AE0C2"/>
    <w:lvl w:ilvl="0" w:tplc="F190A53E">
      <w:start w:val="1"/>
      <w:numFmt w:val="decimal"/>
      <w:lvlText w:val="%1."/>
      <w:lvlJc w:val="left"/>
      <w:pPr>
        <w:ind w:left="720" w:hanging="360"/>
      </w:pPr>
      <w:rPr>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9" w15:restartNumberingAfterBreak="0">
    <w:nsid w:val="6930317F"/>
    <w:multiLevelType w:val="hybridMultilevel"/>
    <w:tmpl w:val="207815B8"/>
    <w:lvl w:ilvl="0" w:tplc="F39A135C">
      <w:start w:val="1"/>
      <w:numFmt w:val="bullet"/>
      <w:lvlText w:val="-"/>
      <w:lvlJc w:val="center"/>
      <w:pPr>
        <w:ind w:left="587" w:hanging="360"/>
      </w:pPr>
      <w:rPr>
        <w:rFonts w:ascii="Courier New" w:hAnsi="Courier New" w:hint="default"/>
      </w:rPr>
    </w:lvl>
    <w:lvl w:ilvl="1" w:tplc="04150003" w:tentative="1">
      <w:start w:val="1"/>
      <w:numFmt w:val="bullet"/>
      <w:lvlText w:val="o"/>
      <w:lvlJc w:val="left"/>
      <w:pPr>
        <w:ind w:left="1307" w:hanging="360"/>
      </w:pPr>
      <w:rPr>
        <w:rFonts w:ascii="Courier New" w:hAnsi="Courier New" w:cs="Courier New"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260" w15:restartNumberingAfterBreak="0">
    <w:nsid w:val="69716777"/>
    <w:multiLevelType w:val="hybridMultilevel"/>
    <w:tmpl w:val="38D0F6C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1" w15:restartNumberingAfterBreak="0">
    <w:nsid w:val="6A1337BD"/>
    <w:multiLevelType w:val="hybridMultilevel"/>
    <w:tmpl w:val="1FB0EB74"/>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2" w15:restartNumberingAfterBreak="0">
    <w:nsid w:val="6A6B6121"/>
    <w:multiLevelType w:val="hybridMultilevel"/>
    <w:tmpl w:val="D2A836C4"/>
    <w:lvl w:ilvl="0" w:tplc="04150017">
      <w:start w:val="1"/>
      <w:numFmt w:val="lowerLetter"/>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63" w15:restartNumberingAfterBreak="0">
    <w:nsid w:val="6A78566A"/>
    <w:multiLevelType w:val="hybridMultilevel"/>
    <w:tmpl w:val="F8E86DE2"/>
    <w:lvl w:ilvl="0" w:tplc="04150011">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6AB73DB8"/>
    <w:multiLevelType w:val="hybridMultilevel"/>
    <w:tmpl w:val="BA7C9EE0"/>
    <w:lvl w:ilvl="0" w:tplc="C752072E">
      <w:start w:val="1"/>
      <w:numFmt w:val="lowerLetter"/>
      <w:lvlText w:val="%1)"/>
      <w:lvlJc w:val="left"/>
      <w:pPr>
        <w:ind w:left="1144" w:hanging="435"/>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65" w15:restartNumberingAfterBreak="0">
    <w:nsid w:val="6AD41B58"/>
    <w:multiLevelType w:val="hybridMultilevel"/>
    <w:tmpl w:val="549C799E"/>
    <w:lvl w:ilvl="0" w:tplc="C340272A">
      <w:start w:val="1"/>
      <w:numFmt w:val="lowerLetter"/>
      <w:lvlText w:val="%1)"/>
      <w:lvlJc w:val="left"/>
      <w:pPr>
        <w:ind w:left="5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6" w15:restartNumberingAfterBreak="0">
    <w:nsid w:val="6B462672"/>
    <w:multiLevelType w:val="hybridMultilevel"/>
    <w:tmpl w:val="80D4B220"/>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67" w15:restartNumberingAfterBreak="0">
    <w:nsid w:val="6B4A4070"/>
    <w:multiLevelType w:val="hybridMultilevel"/>
    <w:tmpl w:val="71484DFA"/>
    <w:lvl w:ilvl="0" w:tplc="04150017">
      <w:start w:val="1"/>
      <w:numFmt w:val="lowerLetter"/>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68" w15:restartNumberingAfterBreak="0">
    <w:nsid w:val="6B7951C9"/>
    <w:multiLevelType w:val="hybridMultilevel"/>
    <w:tmpl w:val="661EE342"/>
    <w:lvl w:ilvl="0" w:tplc="FF76FAA8">
      <w:start w:val="2"/>
      <w:numFmt w:val="decimal"/>
      <w:lvlText w:val="%1."/>
      <w:lvlJc w:val="left"/>
      <w:pPr>
        <w:ind w:left="720" w:hanging="360"/>
      </w:pPr>
      <w:rPr>
        <w:rFonts w:hint="default"/>
        <w:b/>
        <w:bCs w:val="0"/>
      </w:rPr>
    </w:lvl>
    <w:lvl w:ilvl="1" w:tplc="FFFFFFFF">
      <w:start w:val="1"/>
      <w:numFmt w:val="lowerLetter"/>
      <w:lvlText w:val="%2."/>
      <w:lvlJc w:val="left"/>
      <w:pPr>
        <w:ind w:left="1440" w:hanging="360"/>
      </w:pPr>
    </w:lvl>
    <w:lvl w:ilvl="2" w:tplc="FFFFFFFF">
      <w:start w:val="1"/>
      <w:numFmt w:val="decimal"/>
      <w:lvlText w:val="%3."/>
      <w:lvlJc w:val="lef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9" w15:restartNumberingAfterBreak="0">
    <w:nsid w:val="6C8E526C"/>
    <w:multiLevelType w:val="hybridMultilevel"/>
    <w:tmpl w:val="76F037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6C9B53FE"/>
    <w:multiLevelType w:val="hybridMultilevel"/>
    <w:tmpl w:val="D786D44A"/>
    <w:lvl w:ilvl="0" w:tplc="04150017">
      <w:start w:val="1"/>
      <w:numFmt w:val="lowerLetter"/>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71" w15:restartNumberingAfterBreak="0">
    <w:nsid w:val="6CBA6D3B"/>
    <w:multiLevelType w:val="hybridMultilevel"/>
    <w:tmpl w:val="A6720AF6"/>
    <w:lvl w:ilvl="0" w:tplc="881AD2F6">
      <w:start w:val="1"/>
      <w:numFmt w:val="lowerLetter"/>
      <w:lvlText w:val="%1)"/>
      <w:lvlJc w:val="left"/>
      <w:pPr>
        <w:ind w:left="1144" w:hanging="435"/>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72" w15:restartNumberingAfterBreak="0">
    <w:nsid w:val="6CCA5627"/>
    <w:multiLevelType w:val="hybridMultilevel"/>
    <w:tmpl w:val="E1C83D9C"/>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73" w15:restartNumberingAfterBreak="0">
    <w:nsid w:val="6CD16E61"/>
    <w:multiLevelType w:val="hybridMultilevel"/>
    <w:tmpl w:val="C36CB09C"/>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4" w15:restartNumberingAfterBreak="0">
    <w:nsid w:val="6D355340"/>
    <w:multiLevelType w:val="hybridMultilevel"/>
    <w:tmpl w:val="27B81FCC"/>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5" w15:restartNumberingAfterBreak="0">
    <w:nsid w:val="6D871BC1"/>
    <w:multiLevelType w:val="hybridMultilevel"/>
    <w:tmpl w:val="013C9C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6" w15:restartNumberingAfterBreak="0">
    <w:nsid w:val="6DA8164D"/>
    <w:multiLevelType w:val="hybridMultilevel"/>
    <w:tmpl w:val="A9A80CE4"/>
    <w:lvl w:ilvl="0" w:tplc="04150017">
      <w:start w:val="1"/>
      <w:numFmt w:val="lowerLetter"/>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7" w15:restartNumberingAfterBreak="0">
    <w:nsid w:val="6E0D27E1"/>
    <w:multiLevelType w:val="hybridMultilevel"/>
    <w:tmpl w:val="16227404"/>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8" w15:restartNumberingAfterBreak="0">
    <w:nsid w:val="6EBD13E9"/>
    <w:multiLevelType w:val="hybridMultilevel"/>
    <w:tmpl w:val="CD8883AC"/>
    <w:lvl w:ilvl="0" w:tplc="D6C2810A">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79" w15:restartNumberingAfterBreak="0">
    <w:nsid w:val="6EC37898"/>
    <w:multiLevelType w:val="hybridMultilevel"/>
    <w:tmpl w:val="F5660474"/>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80" w15:restartNumberingAfterBreak="0">
    <w:nsid w:val="6F991C08"/>
    <w:multiLevelType w:val="hybridMultilevel"/>
    <w:tmpl w:val="0CBCD51A"/>
    <w:lvl w:ilvl="0" w:tplc="04150011">
      <w:start w:val="1"/>
      <w:numFmt w:val="decimal"/>
      <w:lvlText w:val="%1)"/>
      <w:lvlJc w:val="left"/>
      <w:pPr>
        <w:ind w:left="-321" w:hanging="360"/>
      </w:pPr>
    </w:lvl>
    <w:lvl w:ilvl="1" w:tplc="04150019">
      <w:start w:val="1"/>
      <w:numFmt w:val="lowerLetter"/>
      <w:lvlText w:val="%2."/>
      <w:lvlJc w:val="left"/>
      <w:pPr>
        <w:ind w:left="399" w:hanging="360"/>
      </w:pPr>
    </w:lvl>
    <w:lvl w:ilvl="2" w:tplc="0415001B">
      <w:start w:val="1"/>
      <w:numFmt w:val="lowerRoman"/>
      <w:lvlText w:val="%3."/>
      <w:lvlJc w:val="right"/>
      <w:pPr>
        <w:ind w:left="1119" w:hanging="180"/>
      </w:pPr>
    </w:lvl>
    <w:lvl w:ilvl="3" w:tplc="0415000F">
      <w:start w:val="1"/>
      <w:numFmt w:val="decimal"/>
      <w:lvlText w:val="%4."/>
      <w:lvlJc w:val="left"/>
      <w:pPr>
        <w:ind w:left="1839" w:hanging="360"/>
      </w:pPr>
    </w:lvl>
    <w:lvl w:ilvl="4" w:tplc="04150019" w:tentative="1">
      <w:start w:val="1"/>
      <w:numFmt w:val="lowerLetter"/>
      <w:lvlText w:val="%5."/>
      <w:lvlJc w:val="left"/>
      <w:pPr>
        <w:ind w:left="2559" w:hanging="360"/>
      </w:pPr>
    </w:lvl>
    <w:lvl w:ilvl="5" w:tplc="0415001B" w:tentative="1">
      <w:start w:val="1"/>
      <w:numFmt w:val="lowerRoman"/>
      <w:lvlText w:val="%6."/>
      <w:lvlJc w:val="right"/>
      <w:pPr>
        <w:ind w:left="3279" w:hanging="180"/>
      </w:pPr>
    </w:lvl>
    <w:lvl w:ilvl="6" w:tplc="0415000F" w:tentative="1">
      <w:start w:val="1"/>
      <w:numFmt w:val="decimal"/>
      <w:lvlText w:val="%7."/>
      <w:lvlJc w:val="left"/>
      <w:pPr>
        <w:ind w:left="3999" w:hanging="360"/>
      </w:pPr>
    </w:lvl>
    <w:lvl w:ilvl="7" w:tplc="04150019" w:tentative="1">
      <w:start w:val="1"/>
      <w:numFmt w:val="lowerLetter"/>
      <w:lvlText w:val="%8."/>
      <w:lvlJc w:val="left"/>
      <w:pPr>
        <w:ind w:left="4719" w:hanging="360"/>
      </w:pPr>
    </w:lvl>
    <w:lvl w:ilvl="8" w:tplc="0415001B" w:tentative="1">
      <w:start w:val="1"/>
      <w:numFmt w:val="lowerRoman"/>
      <w:lvlText w:val="%9."/>
      <w:lvlJc w:val="right"/>
      <w:pPr>
        <w:ind w:left="5439" w:hanging="180"/>
      </w:pPr>
    </w:lvl>
  </w:abstractNum>
  <w:abstractNum w:abstractNumId="281" w15:restartNumberingAfterBreak="0">
    <w:nsid w:val="6FBC3EBB"/>
    <w:multiLevelType w:val="hybridMultilevel"/>
    <w:tmpl w:val="7B70FB3A"/>
    <w:lvl w:ilvl="0" w:tplc="04150011">
      <w:start w:val="1"/>
      <w:numFmt w:val="decimal"/>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82" w15:restartNumberingAfterBreak="0">
    <w:nsid w:val="70540C7B"/>
    <w:multiLevelType w:val="hybridMultilevel"/>
    <w:tmpl w:val="E8D60630"/>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0996EFD"/>
    <w:multiLevelType w:val="hybridMultilevel"/>
    <w:tmpl w:val="475275A2"/>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4" w15:restartNumberingAfterBreak="0">
    <w:nsid w:val="70FB1D78"/>
    <w:multiLevelType w:val="hybridMultilevel"/>
    <w:tmpl w:val="17F8F9FA"/>
    <w:lvl w:ilvl="0" w:tplc="04150017">
      <w:start w:val="1"/>
      <w:numFmt w:val="lowerLetter"/>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8157" w:hanging="360"/>
      </w:pPr>
    </w:lvl>
    <w:lvl w:ilvl="4" w:tplc="04150019">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85" w15:restartNumberingAfterBreak="0">
    <w:nsid w:val="71187734"/>
    <w:multiLevelType w:val="hybridMultilevel"/>
    <w:tmpl w:val="C7CEAB32"/>
    <w:lvl w:ilvl="0" w:tplc="6442C750">
      <w:start w:val="1"/>
      <w:numFmt w:val="lowerLetter"/>
      <w:lvlText w:val="%1)"/>
      <w:lvlJc w:val="left"/>
      <w:pPr>
        <w:ind w:left="5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6" w15:restartNumberingAfterBreak="0">
    <w:nsid w:val="72EC0553"/>
    <w:multiLevelType w:val="hybridMultilevel"/>
    <w:tmpl w:val="00807712"/>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7" w15:restartNumberingAfterBreak="0">
    <w:nsid w:val="734159BA"/>
    <w:multiLevelType w:val="hybridMultilevel"/>
    <w:tmpl w:val="DE563BFA"/>
    <w:lvl w:ilvl="0" w:tplc="04150017">
      <w:start w:val="1"/>
      <w:numFmt w:val="lowerLetter"/>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88" w15:restartNumberingAfterBreak="0">
    <w:nsid w:val="73EB4B8B"/>
    <w:multiLevelType w:val="hybridMultilevel"/>
    <w:tmpl w:val="10B65DA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415200E"/>
    <w:multiLevelType w:val="hybridMultilevel"/>
    <w:tmpl w:val="7696C1EC"/>
    <w:lvl w:ilvl="0" w:tplc="6786181E">
      <w:start w:val="1"/>
      <w:numFmt w:val="lowerLetter"/>
      <w:lvlText w:val="%1)"/>
      <w:lvlJc w:val="left"/>
      <w:pPr>
        <w:ind w:left="1069" w:hanging="360"/>
      </w:pPr>
      <w:rPr>
        <w:rFonts w:hint="default"/>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290" w15:restartNumberingAfterBreak="0">
    <w:nsid w:val="749D024F"/>
    <w:multiLevelType w:val="hybridMultilevel"/>
    <w:tmpl w:val="8966A28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1" w15:restartNumberingAfterBreak="0">
    <w:nsid w:val="74A76EE7"/>
    <w:multiLevelType w:val="hybridMultilevel"/>
    <w:tmpl w:val="AE5463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4B21D28"/>
    <w:multiLevelType w:val="hybridMultilevel"/>
    <w:tmpl w:val="740C7D96"/>
    <w:lvl w:ilvl="0" w:tplc="04150017">
      <w:start w:val="1"/>
      <w:numFmt w:val="lowerLetter"/>
      <w:lvlText w:val="%1)"/>
      <w:lvlJc w:val="left"/>
      <w:pPr>
        <w:ind w:left="587" w:hanging="360"/>
      </w:pPr>
    </w:lvl>
    <w:lvl w:ilvl="1" w:tplc="04150019">
      <w:start w:val="1"/>
      <w:numFmt w:val="lowerLetter"/>
      <w:lvlText w:val="%2."/>
      <w:lvlJc w:val="left"/>
      <w:pPr>
        <w:ind w:left="1307" w:hanging="360"/>
      </w:pPr>
    </w:lvl>
    <w:lvl w:ilvl="2" w:tplc="0415001B">
      <w:start w:val="1"/>
      <w:numFmt w:val="lowerRoman"/>
      <w:lvlText w:val="%3."/>
      <w:lvlJc w:val="right"/>
      <w:pPr>
        <w:ind w:left="2027" w:hanging="180"/>
      </w:pPr>
    </w:lvl>
    <w:lvl w:ilvl="3" w:tplc="0415000F">
      <w:start w:val="1"/>
      <w:numFmt w:val="decimal"/>
      <w:lvlText w:val="%4."/>
      <w:lvlJc w:val="left"/>
      <w:pPr>
        <w:ind w:left="2747" w:hanging="360"/>
      </w:pPr>
    </w:lvl>
    <w:lvl w:ilvl="4" w:tplc="04150019">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93" w15:restartNumberingAfterBreak="0">
    <w:nsid w:val="75AF0DF7"/>
    <w:multiLevelType w:val="hybridMultilevel"/>
    <w:tmpl w:val="E4C60D28"/>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4" w15:restartNumberingAfterBreak="0">
    <w:nsid w:val="75E80406"/>
    <w:multiLevelType w:val="hybridMultilevel"/>
    <w:tmpl w:val="08F03C48"/>
    <w:lvl w:ilvl="0" w:tplc="04150017">
      <w:start w:val="1"/>
      <w:numFmt w:val="lowerLetter"/>
      <w:lvlText w:val="%1)"/>
      <w:lvlJc w:val="left"/>
      <w:pPr>
        <w:ind w:left="587" w:hanging="360"/>
      </w:pPr>
    </w:lvl>
    <w:lvl w:ilvl="1" w:tplc="04150019" w:tentative="1">
      <w:start w:val="1"/>
      <w:numFmt w:val="lowerLetter"/>
      <w:lvlText w:val="%2."/>
      <w:lvlJc w:val="left"/>
      <w:pPr>
        <w:ind w:left="1307" w:hanging="360"/>
      </w:pPr>
    </w:lvl>
    <w:lvl w:ilvl="2" w:tplc="0415001B" w:tentative="1">
      <w:start w:val="1"/>
      <w:numFmt w:val="lowerRoman"/>
      <w:lvlText w:val="%3."/>
      <w:lvlJc w:val="right"/>
      <w:pPr>
        <w:ind w:left="2027" w:hanging="180"/>
      </w:pPr>
    </w:lvl>
    <w:lvl w:ilvl="3" w:tplc="0415000F" w:tentative="1">
      <w:start w:val="1"/>
      <w:numFmt w:val="decimal"/>
      <w:lvlText w:val="%4."/>
      <w:lvlJc w:val="left"/>
      <w:pPr>
        <w:ind w:left="2747" w:hanging="360"/>
      </w:pPr>
    </w:lvl>
    <w:lvl w:ilvl="4" w:tplc="04150019" w:tentative="1">
      <w:start w:val="1"/>
      <w:numFmt w:val="lowerLetter"/>
      <w:lvlText w:val="%5."/>
      <w:lvlJc w:val="left"/>
      <w:pPr>
        <w:ind w:left="3467" w:hanging="360"/>
      </w:pPr>
    </w:lvl>
    <w:lvl w:ilvl="5" w:tplc="0415001B" w:tentative="1">
      <w:start w:val="1"/>
      <w:numFmt w:val="lowerRoman"/>
      <w:lvlText w:val="%6."/>
      <w:lvlJc w:val="right"/>
      <w:pPr>
        <w:ind w:left="4187" w:hanging="180"/>
      </w:pPr>
    </w:lvl>
    <w:lvl w:ilvl="6" w:tplc="0415000F" w:tentative="1">
      <w:start w:val="1"/>
      <w:numFmt w:val="decimal"/>
      <w:lvlText w:val="%7."/>
      <w:lvlJc w:val="left"/>
      <w:pPr>
        <w:ind w:left="4907" w:hanging="360"/>
      </w:pPr>
    </w:lvl>
    <w:lvl w:ilvl="7" w:tplc="04150019" w:tentative="1">
      <w:start w:val="1"/>
      <w:numFmt w:val="lowerLetter"/>
      <w:lvlText w:val="%8."/>
      <w:lvlJc w:val="left"/>
      <w:pPr>
        <w:ind w:left="5627" w:hanging="360"/>
      </w:pPr>
    </w:lvl>
    <w:lvl w:ilvl="8" w:tplc="0415001B" w:tentative="1">
      <w:start w:val="1"/>
      <w:numFmt w:val="lowerRoman"/>
      <w:lvlText w:val="%9."/>
      <w:lvlJc w:val="right"/>
      <w:pPr>
        <w:ind w:left="6347" w:hanging="180"/>
      </w:pPr>
    </w:lvl>
  </w:abstractNum>
  <w:abstractNum w:abstractNumId="295" w15:restartNumberingAfterBreak="0">
    <w:nsid w:val="762B1C0B"/>
    <w:multiLevelType w:val="hybridMultilevel"/>
    <w:tmpl w:val="F8545D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96" w15:restartNumberingAfterBreak="0">
    <w:nsid w:val="76625449"/>
    <w:multiLevelType w:val="hybridMultilevel"/>
    <w:tmpl w:val="6074DA24"/>
    <w:lvl w:ilvl="0" w:tplc="04150001">
      <w:start w:val="1"/>
      <w:numFmt w:val="bullet"/>
      <w:lvlText w:val=""/>
      <w:lvlJc w:val="left"/>
      <w:pPr>
        <w:ind w:left="587" w:hanging="360"/>
      </w:pPr>
      <w:rPr>
        <w:rFonts w:ascii="Symbol" w:hAnsi="Symbol" w:hint="default"/>
      </w:rPr>
    </w:lvl>
    <w:lvl w:ilvl="1" w:tplc="04150003" w:tentative="1">
      <w:start w:val="1"/>
      <w:numFmt w:val="bullet"/>
      <w:lvlText w:val="o"/>
      <w:lvlJc w:val="left"/>
      <w:pPr>
        <w:ind w:left="1307" w:hanging="360"/>
      </w:pPr>
      <w:rPr>
        <w:rFonts w:ascii="Courier New" w:hAnsi="Courier New" w:cs="Courier New" w:hint="default"/>
      </w:rPr>
    </w:lvl>
    <w:lvl w:ilvl="2" w:tplc="04150005" w:tentative="1">
      <w:start w:val="1"/>
      <w:numFmt w:val="bullet"/>
      <w:lvlText w:val=""/>
      <w:lvlJc w:val="left"/>
      <w:pPr>
        <w:ind w:left="2027" w:hanging="360"/>
      </w:pPr>
      <w:rPr>
        <w:rFonts w:ascii="Wingdings" w:hAnsi="Wingdings" w:hint="default"/>
      </w:rPr>
    </w:lvl>
    <w:lvl w:ilvl="3" w:tplc="04150001" w:tentative="1">
      <w:start w:val="1"/>
      <w:numFmt w:val="bullet"/>
      <w:lvlText w:val=""/>
      <w:lvlJc w:val="left"/>
      <w:pPr>
        <w:ind w:left="2747" w:hanging="360"/>
      </w:pPr>
      <w:rPr>
        <w:rFonts w:ascii="Symbol" w:hAnsi="Symbol" w:hint="default"/>
      </w:rPr>
    </w:lvl>
    <w:lvl w:ilvl="4" w:tplc="04150003" w:tentative="1">
      <w:start w:val="1"/>
      <w:numFmt w:val="bullet"/>
      <w:lvlText w:val="o"/>
      <w:lvlJc w:val="left"/>
      <w:pPr>
        <w:ind w:left="3467" w:hanging="360"/>
      </w:pPr>
      <w:rPr>
        <w:rFonts w:ascii="Courier New" w:hAnsi="Courier New" w:cs="Courier New" w:hint="default"/>
      </w:rPr>
    </w:lvl>
    <w:lvl w:ilvl="5" w:tplc="04150005" w:tentative="1">
      <w:start w:val="1"/>
      <w:numFmt w:val="bullet"/>
      <w:lvlText w:val=""/>
      <w:lvlJc w:val="left"/>
      <w:pPr>
        <w:ind w:left="4187" w:hanging="360"/>
      </w:pPr>
      <w:rPr>
        <w:rFonts w:ascii="Wingdings" w:hAnsi="Wingdings" w:hint="default"/>
      </w:rPr>
    </w:lvl>
    <w:lvl w:ilvl="6" w:tplc="04150001" w:tentative="1">
      <w:start w:val="1"/>
      <w:numFmt w:val="bullet"/>
      <w:lvlText w:val=""/>
      <w:lvlJc w:val="left"/>
      <w:pPr>
        <w:ind w:left="4907" w:hanging="360"/>
      </w:pPr>
      <w:rPr>
        <w:rFonts w:ascii="Symbol" w:hAnsi="Symbol" w:hint="default"/>
      </w:rPr>
    </w:lvl>
    <w:lvl w:ilvl="7" w:tplc="04150003" w:tentative="1">
      <w:start w:val="1"/>
      <w:numFmt w:val="bullet"/>
      <w:lvlText w:val="o"/>
      <w:lvlJc w:val="left"/>
      <w:pPr>
        <w:ind w:left="5627" w:hanging="360"/>
      </w:pPr>
      <w:rPr>
        <w:rFonts w:ascii="Courier New" w:hAnsi="Courier New" w:cs="Courier New" w:hint="default"/>
      </w:rPr>
    </w:lvl>
    <w:lvl w:ilvl="8" w:tplc="04150005" w:tentative="1">
      <w:start w:val="1"/>
      <w:numFmt w:val="bullet"/>
      <w:lvlText w:val=""/>
      <w:lvlJc w:val="left"/>
      <w:pPr>
        <w:ind w:left="6347" w:hanging="360"/>
      </w:pPr>
      <w:rPr>
        <w:rFonts w:ascii="Wingdings" w:hAnsi="Wingdings" w:hint="default"/>
      </w:rPr>
    </w:lvl>
  </w:abstractNum>
  <w:abstractNum w:abstractNumId="297" w15:restartNumberingAfterBreak="0">
    <w:nsid w:val="771356D7"/>
    <w:multiLevelType w:val="hybridMultilevel"/>
    <w:tmpl w:val="500AE7D8"/>
    <w:lvl w:ilvl="0" w:tplc="E1EE29EC">
      <w:start w:val="1"/>
      <w:numFmt w:val="decimal"/>
      <w:lvlText w:val="%1."/>
      <w:lvlJc w:val="left"/>
      <w:pPr>
        <w:ind w:left="720" w:hanging="360"/>
      </w:pPr>
      <w:rPr>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8" w15:restartNumberingAfterBreak="0">
    <w:nsid w:val="780A617F"/>
    <w:multiLevelType w:val="hybridMultilevel"/>
    <w:tmpl w:val="073A8A76"/>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9" w15:restartNumberingAfterBreak="0">
    <w:nsid w:val="78693938"/>
    <w:multiLevelType w:val="hybridMultilevel"/>
    <w:tmpl w:val="8D649F7A"/>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0" w15:restartNumberingAfterBreak="0">
    <w:nsid w:val="78B63E31"/>
    <w:multiLevelType w:val="hybridMultilevel"/>
    <w:tmpl w:val="296A4210"/>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01" w15:restartNumberingAfterBreak="0">
    <w:nsid w:val="78CD10DC"/>
    <w:multiLevelType w:val="hybridMultilevel"/>
    <w:tmpl w:val="DA940B52"/>
    <w:lvl w:ilvl="0" w:tplc="860C03F8">
      <w:start w:val="1"/>
      <w:numFmt w:val="decimal"/>
      <w:lvlText w:val="%1."/>
      <w:lvlJc w:val="left"/>
      <w:pPr>
        <w:ind w:left="720" w:hanging="360"/>
      </w:pPr>
      <w:rPr>
        <w:b/>
        <w:bCs w:val="0"/>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2" w15:restartNumberingAfterBreak="0">
    <w:nsid w:val="79396336"/>
    <w:multiLevelType w:val="hybridMultilevel"/>
    <w:tmpl w:val="A7422238"/>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3" w15:restartNumberingAfterBreak="0">
    <w:nsid w:val="7977177F"/>
    <w:multiLevelType w:val="hybridMultilevel"/>
    <w:tmpl w:val="2C9601A8"/>
    <w:lvl w:ilvl="0" w:tplc="F39A135C">
      <w:start w:val="1"/>
      <w:numFmt w:val="bullet"/>
      <w:lvlText w:val="-"/>
      <w:lvlJc w:val="center"/>
      <w:pPr>
        <w:ind w:left="814" w:hanging="360"/>
      </w:pPr>
      <w:rPr>
        <w:rFonts w:ascii="Courier New" w:hAnsi="Courier New" w:hint="default"/>
      </w:rPr>
    </w:lvl>
    <w:lvl w:ilvl="1" w:tplc="04150003" w:tentative="1">
      <w:start w:val="1"/>
      <w:numFmt w:val="bullet"/>
      <w:lvlText w:val="o"/>
      <w:lvlJc w:val="left"/>
      <w:pPr>
        <w:ind w:left="1534" w:hanging="360"/>
      </w:pPr>
      <w:rPr>
        <w:rFonts w:ascii="Courier New" w:hAnsi="Courier New" w:cs="Courier New" w:hint="default"/>
      </w:rPr>
    </w:lvl>
    <w:lvl w:ilvl="2" w:tplc="04150005" w:tentative="1">
      <w:start w:val="1"/>
      <w:numFmt w:val="bullet"/>
      <w:lvlText w:val=""/>
      <w:lvlJc w:val="left"/>
      <w:pPr>
        <w:ind w:left="2254" w:hanging="360"/>
      </w:pPr>
      <w:rPr>
        <w:rFonts w:ascii="Wingdings" w:hAnsi="Wingdings" w:hint="default"/>
      </w:rPr>
    </w:lvl>
    <w:lvl w:ilvl="3" w:tplc="04150001" w:tentative="1">
      <w:start w:val="1"/>
      <w:numFmt w:val="bullet"/>
      <w:lvlText w:val=""/>
      <w:lvlJc w:val="left"/>
      <w:pPr>
        <w:ind w:left="2974" w:hanging="360"/>
      </w:pPr>
      <w:rPr>
        <w:rFonts w:ascii="Symbol" w:hAnsi="Symbol" w:hint="default"/>
      </w:rPr>
    </w:lvl>
    <w:lvl w:ilvl="4" w:tplc="04150003" w:tentative="1">
      <w:start w:val="1"/>
      <w:numFmt w:val="bullet"/>
      <w:lvlText w:val="o"/>
      <w:lvlJc w:val="left"/>
      <w:pPr>
        <w:ind w:left="3694" w:hanging="360"/>
      </w:pPr>
      <w:rPr>
        <w:rFonts w:ascii="Courier New" w:hAnsi="Courier New" w:cs="Courier New" w:hint="default"/>
      </w:rPr>
    </w:lvl>
    <w:lvl w:ilvl="5" w:tplc="04150005" w:tentative="1">
      <w:start w:val="1"/>
      <w:numFmt w:val="bullet"/>
      <w:lvlText w:val=""/>
      <w:lvlJc w:val="left"/>
      <w:pPr>
        <w:ind w:left="4414" w:hanging="360"/>
      </w:pPr>
      <w:rPr>
        <w:rFonts w:ascii="Wingdings" w:hAnsi="Wingdings" w:hint="default"/>
      </w:rPr>
    </w:lvl>
    <w:lvl w:ilvl="6" w:tplc="04150001" w:tentative="1">
      <w:start w:val="1"/>
      <w:numFmt w:val="bullet"/>
      <w:lvlText w:val=""/>
      <w:lvlJc w:val="left"/>
      <w:pPr>
        <w:ind w:left="5134" w:hanging="360"/>
      </w:pPr>
      <w:rPr>
        <w:rFonts w:ascii="Symbol" w:hAnsi="Symbol" w:hint="default"/>
      </w:rPr>
    </w:lvl>
    <w:lvl w:ilvl="7" w:tplc="04150003" w:tentative="1">
      <w:start w:val="1"/>
      <w:numFmt w:val="bullet"/>
      <w:lvlText w:val="o"/>
      <w:lvlJc w:val="left"/>
      <w:pPr>
        <w:ind w:left="5854" w:hanging="360"/>
      </w:pPr>
      <w:rPr>
        <w:rFonts w:ascii="Courier New" w:hAnsi="Courier New" w:cs="Courier New" w:hint="default"/>
      </w:rPr>
    </w:lvl>
    <w:lvl w:ilvl="8" w:tplc="04150005" w:tentative="1">
      <w:start w:val="1"/>
      <w:numFmt w:val="bullet"/>
      <w:lvlText w:val=""/>
      <w:lvlJc w:val="left"/>
      <w:pPr>
        <w:ind w:left="6574" w:hanging="360"/>
      </w:pPr>
      <w:rPr>
        <w:rFonts w:ascii="Wingdings" w:hAnsi="Wingdings" w:hint="default"/>
      </w:rPr>
    </w:lvl>
  </w:abstractNum>
  <w:abstractNum w:abstractNumId="304" w15:restartNumberingAfterBreak="0">
    <w:nsid w:val="79AA3F0D"/>
    <w:multiLevelType w:val="hybridMultilevel"/>
    <w:tmpl w:val="4624340C"/>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05" w15:restartNumberingAfterBreak="0">
    <w:nsid w:val="7A0617D1"/>
    <w:multiLevelType w:val="multilevel"/>
    <w:tmpl w:val="C6C88C1C"/>
    <w:styleLink w:val="Styl1"/>
    <w:lvl w:ilvl="0">
      <w:start w:val="2"/>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06" w15:restartNumberingAfterBreak="0">
    <w:nsid w:val="7B7B7634"/>
    <w:multiLevelType w:val="hybridMultilevel"/>
    <w:tmpl w:val="18DAC688"/>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7" w15:restartNumberingAfterBreak="0">
    <w:nsid w:val="7BDF639F"/>
    <w:multiLevelType w:val="hybridMultilevel"/>
    <w:tmpl w:val="F35831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8" w15:restartNumberingAfterBreak="0">
    <w:nsid w:val="7D0C7973"/>
    <w:multiLevelType w:val="hybridMultilevel"/>
    <w:tmpl w:val="5C28C47C"/>
    <w:lvl w:ilvl="0" w:tplc="49386A8E">
      <w:start w:val="1"/>
      <w:numFmt w:val="decimal"/>
      <w:lvlText w:val="%1."/>
      <w:lvlJc w:val="left"/>
      <w:pPr>
        <w:ind w:left="720" w:hanging="360"/>
      </w:pPr>
      <w:rPr>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9" w15:restartNumberingAfterBreak="0">
    <w:nsid w:val="7D660462"/>
    <w:multiLevelType w:val="hybridMultilevel"/>
    <w:tmpl w:val="AA58A7D6"/>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0" w15:restartNumberingAfterBreak="0">
    <w:nsid w:val="7D7B1C1D"/>
    <w:multiLevelType w:val="hybridMultilevel"/>
    <w:tmpl w:val="BB621478"/>
    <w:lvl w:ilvl="0" w:tplc="C65E84FE">
      <w:start w:val="1"/>
      <w:numFmt w:val="decimal"/>
      <w:lvlText w:val="%1."/>
      <w:lvlJc w:val="left"/>
      <w:pPr>
        <w:ind w:left="785" w:hanging="360"/>
      </w:pPr>
      <w:rPr>
        <w:rFonts w:cs="Times New Roman" w:hint="default"/>
        <w:b w:val="0"/>
        <w:bCs w:val="0"/>
      </w:rPr>
    </w:lvl>
    <w:lvl w:ilvl="1" w:tplc="04150019">
      <w:start w:val="1"/>
      <w:numFmt w:val="lowerLetter"/>
      <w:lvlText w:val="%2."/>
      <w:lvlJc w:val="left"/>
      <w:pPr>
        <w:ind w:left="1581" w:hanging="360"/>
      </w:pPr>
      <w:rPr>
        <w:rFonts w:cs="Times New Roman"/>
      </w:rPr>
    </w:lvl>
    <w:lvl w:ilvl="2" w:tplc="0415001B">
      <w:start w:val="1"/>
      <w:numFmt w:val="lowerRoman"/>
      <w:lvlText w:val="%3."/>
      <w:lvlJc w:val="right"/>
      <w:pPr>
        <w:ind w:left="2301" w:hanging="180"/>
      </w:pPr>
      <w:rPr>
        <w:rFonts w:cs="Times New Roman"/>
      </w:rPr>
    </w:lvl>
    <w:lvl w:ilvl="3" w:tplc="0415000F">
      <w:start w:val="1"/>
      <w:numFmt w:val="decimal"/>
      <w:lvlText w:val="%4."/>
      <w:lvlJc w:val="left"/>
      <w:pPr>
        <w:ind w:left="3021" w:hanging="360"/>
      </w:pPr>
      <w:rPr>
        <w:rFonts w:cs="Times New Roman"/>
      </w:rPr>
    </w:lvl>
    <w:lvl w:ilvl="4" w:tplc="04150019">
      <w:start w:val="1"/>
      <w:numFmt w:val="lowerLetter"/>
      <w:lvlText w:val="%5."/>
      <w:lvlJc w:val="left"/>
      <w:pPr>
        <w:ind w:left="3741" w:hanging="360"/>
      </w:pPr>
      <w:rPr>
        <w:rFonts w:cs="Times New Roman"/>
      </w:rPr>
    </w:lvl>
    <w:lvl w:ilvl="5" w:tplc="0415001B">
      <w:start w:val="1"/>
      <w:numFmt w:val="lowerRoman"/>
      <w:lvlText w:val="%6."/>
      <w:lvlJc w:val="right"/>
      <w:pPr>
        <w:ind w:left="4461" w:hanging="180"/>
      </w:pPr>
      <w:rPr>
        <w:rFonts w:cs="Times New Roman"/>
      </w:rPr>
    </w:lvl>
    <w:lvl w:ilvl="6" w:tplc="0415000F">
      <w:start w:val="1"/>
      <w:numFmt w:val="decimal"/>
      <w:lvlText w:val="%7."/>
      <w:lvlJc w:val="left"/>
      <w:pPr>
        <w:ind w:left="5181" w:hanging="360"/>
      </w:pPr>
      <w:rPr>
        <w:rFonts w:cs="Times New Roman"/>
      </w:rPr>
    </w:lvl>
    <w:lvl w:ilvl="7" w:tplc="04150019">
      <w:start w:val="1"/>
      <w:numFmt w:val="lowerLetter"/>
      <w:lvlText w:val="%8."/>
      <w:lvlJc w:val="left"/>
      <w:pPr>
        <w:ind w:left="5901" w:hanging="360"/>
      </w:pPr>
      <w:rPr>
        <w:rFonts w:cs="Times New Roman"/>
      </w:rPr>
    </w:lvl>
    <w:lvl w:ilvl="8" w:tplc="0415001B">
      <w:start w:val="1"/>
      <w:numFmt w:val="lowerRoman"/>
      <w:lvlText w:val="%9."/>
      <w:lvlJc w:val="right"/>
      <w:pPr>
        <w:ind w:left="6621" w:hanging="180"/>
      </w:pPr>
      <w:rPr>
        <w:rFonts w:cs="Times New Roman"/>
      </w:rPr>
    </w:lvl>
  </w:abstractNum>
  <w:abstractNum w:abstractNumId="311" w15:restartNumberingAfterBreak="0">
    <w:nsid w:val="7DBA20FF"/>
    <w:multiLevelType w:val="multilevel"/>
    <w:tmpl w:val="0C5C7182"/>
    <w:lvl w:ilvl="0">
      <w:start w:val="1"/>
      <w:numFmt w:val="decimal"/>
      <w:lvlText w:val="%1."/>
      <w:lvlJc w:val="left"/>
      <w:pPr>
        <w:ind w:left="585" w:hanging="585"/>
      </w:pPr>
      <w:rPr>
        <w:rFonts w:hint="default"/>
      </w:rPr>
    </w:lvl>
    <w:lvl w:ilvl="1">
      <w:start w:val="5"/>
      <w:numFmt w:val="decimal"/>
      <w:lvlText w:val="%1.%2."/>
      <w:lvlJc w:val="left"/>
      <w:pPr>
        <w:ind w:left="720" w:hanging="720"/>
      </w:pPr>
      <w:rPr>
        <w:rFonts w:hint="default"/>
      </w:rPr>
    </w:lvl>
    <w:lvl w:ilvl="2">
      <w:start w:val="1"/>
      <w:numFmt w:val="decimal"/>
      <w:lvlText w:val="%1.5.%3."/>
      <w:lvlJc w:val="left"/>
      <w:pPr>
        <w:ind w:left="720" w:hanging="720"/>
      </w:pPr>
      <w:rPr>
        <w:rFonts w:hint="default"/>
      </w:rPr>
    </w:lvl>
    <w:lvl w:ilvl="3">
      <w:start w:val="1"/>
      <w:numFmt w:val="decimal"/>
      <w:lvlText w:val="%1.5.%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2" w15:restartNumberingAfterBreak="0">
    <w:nsid w:val="7E710B26"/>
    <w:multiLevelType w:val="hybridMultilevel"/>
    <w:tmpl w:val="AA4A85E2"/>
    <w:lvl w:ilvl="0" w:tplc="F39A135C">
      <w:start w:val="1"/>
      <w:numFmt w:val="bullet"/>
      <w:lvlText w:val="-"/>
      <w:lvlJc w:val="center"/>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3" w15:restartNumberingAfterBreak="0">
    <w:nsid w:val="7E850E1A"/>
    <w:multiLevelType w:val="hybridMultilevel"/>
    <w:tmpl w:val="661E0D4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4" w15:restartNumberingAfterBreak="0">
    <w:nsid w:val="7E886F49"/>
    <w:multiLevelType w:val="hybridMultilevel"/>
    <w:tmpl w:val="1B2A8808"/>
    <w:lvl w:ilvl="0" w:tplc="04150001">
      <w:start w:val="1"/>
      <w:numFmt w:val="bullet"/>
      <w:lvlText w:val=""/>
      <w:lvlJc w:val="left"/>
      <w:pPr>
        <w:ind w:left="1288" w:hanging="360"/>
      </w:pPr>
      <w:rPr>
        <w:rFonts w:ascii="Symbol" w:hAnsi="Symbol" w:hint="default"/>
      </w:rPr>
    </w:lvl>
    <w:lvl w:ilvl="1" w:tplc="04150003" w:tentative="1">
      <w:start w:val="1"/>
      <w:numFmt w:val="bullet"/>
      <w:lvlText w:val="o"/>
      <w:lvlJc w:val="left"/>
      <w:pPr>
        <w:ind w:left="2008" w:hanging="360"/>
      </w:pPr>
      <w:rPr>
        <w:rFonts w:ascii="Courier New" w:hAnsi="Courier New" w:cs="Courier New" w:hint="default"/>
      </w:rPr>
    </w:lvl>
    <w:lvl w:ilvl="2" w:tplc="04150005" w:tentative="1">
      <w:start w:val="1"/>
      <w:numFmt w:val="bullet"/>
      <w:lvlText w:val=""/>
      <w:lvlJc w:val="left"/>
      <w:pPr>
        <w:ind w:left="2728" w:hanging="360"/>
      </w:pPr>
      <w:rPr>
        <w:rFonts w:ascii="Wingdings" w:hAnsi="Wingdings" w:hint="default"/>
      </w:rPr>
    </w:lvl>
    <w:lvl w:ilvl="3" w:tplc="04150001" w:tentative="1">
      <w:start w:val="1"/>
      <w:numFmt w:val="bullet"/>
      <w:lvlText w:val=""/>
      <w:lvlJc w:val="left"/>
      <w:pPr>
        <w:ind w:left="3448" w:hanging="360"/>
      </w:pPr>
      <w:rPr>
        <w:rFonts w:ascii="Symbol" w:hAnsi="Symbol" w:hint="default"/>
      </w:rPr>
    </w:lvl>
    <w:lvl w:ilvl="4" w:tplc="04150003" w:tentative="1">
      <w:start w:val="1"/>
      <w:numFmt w:val="bullet"/>
      <w:lvlText w:val="o"/>
      <w:lvlJc w:val="left"/>
      <w:pPr>
        <w:ind w:left="4168" w:hanging="360"/>
      </w:pPr>
      <w:rPr>
        <w:rFonts w:ascii="Courier New" w:hAnsi="Courier New" w:cs="Courier New" w:hint="default"/>
      </w:rPr>
    </w:lvl>
    <w:lvl w:ilvl="5" w:tplc="04150005" w:tentative="1">
      <w:start w:val="1"/>
      <w:numFmt w:val="bullet"/>
      <w:lvlText w:val=""/>
      <w:lvlJc w:val="left"/>
      <w:pPr>
        <w:ind w:left="4888" w:hanging="360"/>
      </w:pPr>
      <w:rPr>
        <w:rFonts w:ascii="Wingdings" w:hAnsi="Wingdings" w:hint="default"/>
      </w:rPr>
    </w:lvl>
    <w:lvl w:ilvl="6" w:tplc="04150001" w:tentative="1">
      <w:start w:val="1"/>
      <w:numFmt w:val="bullet"/>
      <w:lvlText w:val=""/>
      <w:lvlJc w:val="left"/>
      <w:pPr>
        <w:ind w:left="5608" w:hanging="360"/>
      </w:pPr>
      <w:rPr>
        <w:rFonts w:ascii="Symbol" w:hAnsi="Symbol" w:hint="default"/>
      </w:rPr>
    </w:lvl>
    <w:lvl w:ilvl="7" w:tplc="04150003" w:tentative="1">
      <w:start w:val="1"/>
      <w:numFmt w:val="bullet"/>
      <w:lvlText w:val="o"/>
      <w:lvlJc w:val="left"/>
      <w:pPr>
        <w:ind w:left="6328" w:hanging="360"/>
      </w:pPr>
      <w:rPr>
        <w:rFonts w:ascii="Courier New" w:hAnsi="Courier New" w:cs="Courier New" w:hint="default"/>
      </w:rPr>
    </w:lvl>
    <w:lvl w:ilvl="8" w:tplc="04150005" w:tentative="1">
      <w:start w:val="1"/>
      <w:numFmt w:val="bullet"/>
      <w:lvlText w:val=""/>
      <w:lvlJc w:val="left"/>
      <w:pPr>
        <w:ind w:left="7048" w:hanging="360"/>
      </w:pPr>
      <w:rPr>
        <w:rFonts w:ascii="Wingdings" w:hAnsi="Wingdings" w:hint="default"/>
      </w:rPr>
    </w:lvl>
  </w:abstractNum>
  <w:abstractNum w:abstractNumId="315" w15:restartNumberingAfterBreak="0">
    <w:nsid w:val="7EDC05F8"/>
    <w:multiLevelType w:val="hybridMultilevel"/>
    <w:tmpl w:val="35B85964"/>
    <w:lvl w:ilvl="0" w:tplc="F39A135C">
      <w:start w:val="1"/>
      <w:numFmt w:val="bullet"/>
      <w:lvlText w:val="-"/>
      <w:lvlJc w:val="center"/>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6" w15:restartNumberingAfterBreak="0">
    <w:nsid w:val="7F146ACB"/>
    <w:multiLevelType w:val="hybridMultilevel"/>
    <w:tmpl w:val="7E82A7C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93"/>
  </w:num>
  <w:num w:numId="2">
    <w:abstractNumId w:val="159"/>
  </w:num>
  <w:num w:numId="3">
    <w:abstractNumId w:val="199"/>
  </w:num>
  <w:num w:numId="4">
    <w:abstractNumId w:val="42"/>
  </w:num>
  <w:num w:numId="5">
    <w:abstractNumId w:val="19"/>
  </w:num>
  <w:num w:numId="6">
    <w:abstractNumId w:val="239"/>
  </w:num>
  <w:num w:numId="7">
    <w:abstractNumId w:val="151"/>
  </w:num>
  <w:num w:numId="8">
    <w:abstractNumId w:val="104"/>
  </w:num>
  <w:num w:numId="9">
    <w:abstractNumId w:val="282"/>
  </w:num>
  <w:num w:numId="10">
    <w:abstractNumId w:val="275"/>
  </w:num>
  <w:num w:numId="11">
    <w:abstractNumId w:val="63"/>
  </w:num>
  <w:num w:numId="12">
    <w:abstractNumId w:val="277"/>
  </w:num>
  <w:num w:numId="13">
    <w:abstractNumId w:val="57"/>
  </w:num>
  <w:num w:numId="14">
    <w:abstractNumId w:val="99"/>
  </w:num>
  <w:num w:numId="15">
    <w:abstractNumId w:val="9"/>
  </w:num>
  <w:num w:numId="16">
    <w:abstractNumId w:val="114"/>
  </w:num>
  <w:num w:numId="17">
    <w:abstractNumId w:val="61"/>
  </w:num>
  <w:num w:numId="18">
    <w:abstractNumId w:val="14"/>
  </w:num>
  <w:num w:numId="19">
    <w:abstractNumId w:val="51"/>
  </w:num>
  <w:num w:numId="20">
    <w:abstractNumId w:val="169"/>
  </w:num>
  <w:num w:numId="21">
    <w:abstractNumId w:val="35"/>
  </w:num>
  <w:num w:numId="22">
    <w:abstractNumId w:val="8"/>
  </w:num>
  <w:num w:numId="23">
    <w:abstractNumId w:val="125"/>
  </w:num>
  <w:num w:numId="24">
    <w:abstractNumId w:val="88"/>
  </w:num>
  <w:num w:numId="25">
    <w:abstractNumId w:val="13"/>
  </w:num>
  <w:num w:numId="26">
    <w:abstractNumId w:val="241"/>
  </w:num>
  <w:num w:numId="27">
    <w:abstractNumId w:val="2"/>
  </w:num>
  <w:num w:numId="28">
    <w:abstractNumId w:val="220"/>
  </w:num>
  <w:num w:numId="29">
    <w:abstractNumId w:val="113"/>
  </w:num>
  <w:num w:numId="30">
    <w:abstractNumId w:val="242"/>
  </w:num>
  <w:num w:numId="31">
    <w:abstractNumId w:val="136"/>
  </w:num>
  <w:num w:numId="32">
    <w:abstractNumId w:val="144"/>
  </w:num>
  <w:num w:numId="33">
    <w:abstractNumId w:val="240"/>
  </w:num>
  <w:num w:numId="34">
    <w:abstractNumId w:val="253"/>
  </w:num>
  <w:num w:numId="35">
    <w:abstractNumId w:val="210"/>
  </w:num>
  <w:num w:numId="36">
    <w:abstractNumId w:val="24"/>
  </w:num>
  <w:num w:numId="37">
    <w:abstractNumId w:val="225"/>
  </w:num>
  <w:num w:numId="38">
    <w:abstractNumId w:val="306"/>
  </w:num>
  <w:num w:numId="39">
    <w:abstractNumId w:val="45"/>
  </w:num>
  <w:num w:numId="40">
    <w:abstractNumId w:val="87"/>
  </w:num>
  <w:num w:numId="41">
    <w:abstractNumId w:val="137"/>
  </w:num>
  <w:num w:numId="42">
    <w:abstractNumId w:val="129"/>
  </w:num>
  <w:num w:numId="43">
    <w:abstractNumId w:val="195"/>
  </w:num>
  <w:num w:numId="44">
    <w:abstractNumId w:val="68"/>
  </w:num>
  <w:num w:numId="45">
    <w:abstractNumId w:val="116"/>
  </w:num>
  <w:num w:numId="46">
    <w:abstractNumId w:val="97"/>
  </w:num>
  <w:num w:numId="47">
    <w:abstractNumId w:val="118"/>
  </w:num>
  <w:num w:numId="48">
    <w:abstractNumId w:val="224"/>
  </w:num>
  <w:num w:numId="49">
    <w:abstractNumId w:val="207"/>
  </w:num>
  <w:num w:numId="50">
    <w:abstractNumId w:val="112"/>
  </w:num>
  <w:num w:numId="51">
    <w:abstractNumId w:val="71"/>
  </w:num>
  <w:num w:numId="52">
    <w:abstractNumId w:val="143"/>
  </w:num>
  <w:num w:numId="53">
    <w:abstractNumId w:val="26"/>
  </w:num>
  <w:num w:numId="54">
    <w:abstractNumId w:val="145"/>
  </w:num>
  <w:num w:numId="55">
    <w:abstractNumId w:val="293"/>
  </w:num>
  <w:num w:numId="56">
    <w:abstractNumId w:val="31"/>
  </w:num>
  <w:num w:numId="57">
    <w:abstractNumId w:val="237"/>
  </w:num>
  <w:num w:numId="58">
    <w:abstractNumId w:val="152"/>
  </w:num>
  <w:num w:numId="59">
    <w:abstractNumId w:val="167"/>
  </w:num>
  <w:num w:numId="60">
    <w:abstractNumId w:val="231"/>
  </w:num>
  <w:num w:numId="61">
    <w:abstractNumId w:val="90"/>
  </w:num>
  <w:num w:numId="62">
    <w:abstractNumId w:val="107"/>
  </w:num>
  <w:num w:numId="63">
    <w:abstractNumId w:val="66"/>
  </w:num>
  <w:num w:numId="64">
    <w:abstractNumId w:val="283"/>
  </w:num>
  <w:num w:numId="65">
    <w:abstractNumId w:val="256"/>
  </w:num>
  <w:num w:numId="66">
    <w:abstractNumId w:val="296"/>
  </w:num>
  <w:num w:numId="67">
    <w:abstractNumId w:val="131"/>
  </w:num>
  <w:num w:numId="68">
    <w:abstractNumId w:val="49"/>
  </w:num>
  <w:num w:numId="69">
    <w:abstractNumId w:val="48"/>
  </w:num>
  <w:num w:numId="70">
    <w:abstractNumId w:val="295"/>
  </w:num>
  <w:num w:numId="71">
    <w:abstractNumId w:val="184"/>
  </w:num>
  <w:num w:numId="72">
    <w:abstractNumId w:val="185"/>
  </w:num>
  <w:num w:numId="73">
    <w:abstractNumId w:val="22"/>
  </w:num>
  <w:num w:numId="74">
    <w:abstractNumId w:val="269"/>
  </w:num>
  <w:num w:numId="75">
    <w:abstractNumId w:val="162"/>
  </w:num>
  <w:num w:numId="76">
    <w:abstractNumId w:val="255"/>
  </w:num>
  <w:num w:numId="77">
    <w:abstractNumId w:val="84"/>
  </w:num>
  <w:num w:numId="78">
    <w:abstractNumId w:val="175"/>
  </w:num>
  <w:num w:numId="79">
    <w:abstractNumId w:val="81"/>
  </w:num>
  <w:num w:numId="80">
    <w:abstractNumId w:val="286"/>
  </w:num>
  <w:num w:numId="81">
    <w:abstractNumId w:val="130"/>
  </w:num>
  <w:num w:numId="82">
    <w:abstractNumId w:val="7"/>
  </w:num>
  <w:num w:numId="83">
    <w:abstractNumId w:val="117"/>
  </w:num>
  <w:num w:numId="84">
    <w:abstractNumId w:val="101"/>
  </w:num>
  <w:num w:numId="85">
    <w:abstractNumId w:val="206"/>
  </w:num>
  <w:num w:numId="86">
    <w:abstractNumId w:val="46"/>
  </w:num>
  <w:num w:numId="87">
    <w:abstractNumId w:val="38"/>
  </w:num>
  <w:num w:numId="88">
    <w:abstractNumId w:val="227"/>
  </w:num>
  <w:num w:numId="89">
    <w:abstractNumId w:val="3"/>
  </w:num>
  <w:num w:numId="90">
    <w:abstractNumId w:val="103"/>
  </w:num>
  <w:num w:numId="91">
    <w:abstractNumId w:val="4"/>
  </w:num>
  <w:num w:numId="92">
    <w:abstractNumId w:val="233"/>
  </w:num>
  <w:num w:numId="93">
    <w:abstractNumId w:val="95"/>
  </w:num>
  <w:num w:numId="94">
    <w:abstractNumId w:val="312"/>
  </w:num>
  <w:num w:numId="95">
    <w:abstractNumId w:val="150"/>
  </w:num>
  <w:num w:numId="96">
    <w:abstractNumId w:val="202"/>
  </w:num>
  <w:num w:numId="97">
    <w:abstractNumId w:val="110"/>
  </w:num>
  <w:num w:numId="98">
    <w:abstractNumId w:val="309"/>
  </w:num>
  <w:num w:numId="99">
    <w:abstractNumId w:val="213"/>
  </w:num>
  <w:num w:numId="100">
    <w:abstractNumId w:val="313"/>
  </w:num>
  <w:num w:numId="101">
    <w:abstractNumId w:val="260"/>
  </w:num>
  <w:num w:numId="102">
    <w:abstractNumId w:val="204"/>
  </w:num>
  <w:num w:numId="103">
    <w:abstractNumId w:val="27"/>
  </w:num>
  <w:num w:numId="104">
    <w:abstractNumId w:val="209"/>
  </w:num>
  <w:num w:numId="105">
    <w:abstractNumId w:val="15"/>
  </w:num>
  <w:num w:numId="106">
    <w:abstractNumId w:val="247"/>
  </w:num>
  <w:num w:numId="107">
    <w:abstractNumId w:val="149"/>
  </w:num>
  <w:num w:numId="108">
    <w:abstractNumId w:val="194"/>
  </w:num>
  <w:num w:numId="109">
    <w:abstractNumId w:val="168"/>
  </w:num>
  <w:num w:numId="110">
    <w:abstractNumId w:val="17"/>
  </w:num>
  <w:num w:numId="111">
    <w:abstractNumId w:val="54"/>
  </w:num>
  <w:num w:numId="112">
    <w:abstractNumId w:val="50"/>
  </w:num>
  <w:num w:numId="113">
    <w:abstractNumId w:val="105"/>
  </w:num>
  <w:num w:numId="114">
    <w:abstractNumId w:val="6"/>
  </w:num>
  <w:num w:numId="115">
    <w:abstractNumId w:val="303"/>
  </w:num>
  <w:num w:numId="116">
    <w:abstractNumId w:val="259"/>
  </w:num>
  <w:num w:numId="117">
    <w:abstractNumId w:val="140"/>
  </w:num>
  <w:num w:numId="118">
    <w:abstractNumId w:val="165"/>
  </w:num>
  <w:num w:numId="119">
    <w:abstractNumId w:val="230"/>
  </w:num>
  <w:num w:numId="120">
    <w:abstractNumId w:val="106"/>
  </w:num>
  <w:num w:numId="121">
    <w:abstractNumId w:val="221"/>
  </w:num>
  <w:num w:numId="122">
    <w:abstractNumId w:val="141"/>
  </w:num>
  <w:num w:numId="123">
    <w:abstractNumId w:val="138"/>
  </w:num>
  <w:num w:numId="124">
    <w:abstractNumId w:val="183"/>
  </w:num>
  <w:num w:numId="125">
    <w:abstractNumId w:val="301"/>
  </w:num>
  <w:num w:numId="126">
    <w:abstractNumId w:val="191"/>
  </w:num>
  <w:num w:numId="127">
    <w:abstractNumId w:val="78"/>
  </w:num>
  <w:num w:numId="128">
    <w:abstractNumId w:val="287"/>
  </w:num>
  <w:num w:numId="129">
    <w:abstractNumId w:val="29"/>
  </w:num>
  <w:num w:numId="130">
    <w:abstractNumId w:val="79"/>
  </w:num>
  <w:num w:numId="131">
    <w:abstractNumId w:val="262"/>
  </w:num>
  <w:num w:numId="132">
    <w:abstractNumId w:val="83"/>
  </w:num>
  <w:num w:numId="133">
    <w:abstractNumId w:val="270"/>
  </w:num>
  <w:num w:numId="134">
    <w:abstractNumId w:val="294"/>
  </w:num>
  <w:num w:numId="135">
    <w:abstractNumId w:val="187"/>
  </w:num>
  <w:num w:numId="136">
    <w:abstractNumId w:val="198"/>
  </w:num>
  <w:num w:numId="137">
    <w:abstractNumId w:val="52"/>
  </w:num>
  <w:num w:numId="138">
    <w:abstractNumId w:val="219"/>
  </w:num>
  <w:num w:numId="139">
    <w:abstractNumId w:val="192"/>
  </w:num>
  <w:num w:numId="140">
    <w:abstractNumId w:val="53"/>
  </w:num>
  <w:num w:numId="141">
    <w:abstractNumId w:val="39"/>
  </w:num>
  <w:num w:numId="142">
    <w:abstractNumId w:val="304"/>
  </w:num>
  <w:num w:numId="143">
    <w:abstractNumId w:val="229"/>
  </w:num>
  <w:num w:numId="144">
    <w:abstractNumId w:val="163"/>
  </w:num>
  <w:num w:numId="145">
    <w:abstractNumId w:val="244"/>
  </w:num>
  <w:num w:numId="146">
    <w:abstractNumId w:val="266"/>
  </w:num>
  <w:num w:numId="147">
    <w:abstractNumId w:val="65"/>
  </w:num>
  <w:num w:numId="148">
    <w:abstractNumId w:val="257"/>
  </w:num>
  <w:num w:numId="149">
    <w:abstractNumId w:val="44"/>
  </w:num>
  <w:num w:numId="150">
    <w:abstractNumId w:val="157"/>
  </w:num>
  <w:num w:numId="151">
    <w:abstractNumId w:val="18"/>
  </w:num>
  <w:num w:numId="152">
    <w:abstractNumId w:val="281"/>
  </w:num>
  <w:num w:numId="153">
    <w:abstractNumId w:val="69"/>
  </w:num>
  <w:num w:numId="154">
    <w:abstractNumId w:val="279"/>
  </w:num>
  <w:num w:numId="155">
    <w:abstractNumId w:val="119"/>
  </w:num>
  <w:num w:numId="156">
    <w:abstractNumId w:val="32"/>
  </w:num>
  <w:num w:numId="157">
    <w:abstractNumId w:val="182"/>
  </w:num>
  <w:num w:numId="158">
    <w:abstractNumId w:val="211"/>
  </w:num>
  <w:num w:numId="159">
    <w:abstractNumId w:val="102"/>
  </w:num>
  <w:num w:numId="160">
    <w:abstractNumId w:val="177"/>
  </w:num>
  <w:num w:numId="161">
    <w:abstractNumId w:val="272"/>
  </w:num>
  <w:num w:numId="162">
    <w:abstractNumId w:val="28"/>
  </w:num>
  <w:num w:numId="163">
    <w:abstractNumId w:val="156"/>
  </w:num>
  <w:num w:numId="164">
    <w:abstractNumId w:val="193"/>
  </w:num>
  <w:num w:numId="165">
    <w:abstractNumId w:val="37"/>
  </w:num>
  <w:num w:numId="166">
    <w:abstractNumId w:val="196"/>
  </w:num>
  <w:num w:numId="167">
    <w:abstractNumId w:val="189"/>
  </w:num>
  <w:num w:numId="168">
    <w:abstractNumId w:val="226"/>
  </w:num>
  <w:num w:numId="169">
    <w:abstractNumId w:val="55"/>
  </w:num>
  <w:num w:numId="170">
    <w:abstractNumId w:val="91"/>
  </w:num>
  <w:num w:numId="171">
    <w:abstractNumId w:val="280"/>
  </w:num>
  <w:num w:numId="172">
    <w:abstractNumId w:val="203"/>
  </w:num>
  <w:num w:numId="173">
    <w:abstractNumId w:val="173"/>
  </w:num>
  <w:num w:numId="174">
    <w:abstractNumId w:val="212"/>
  </w:num>
  <w:num w:numId="175">
    <w:abstractNumId w:val="174"/>
  </w:num>
  <w:num w:numId="176">
    <w:abstractNumId w:val="20"/>
  </w:num>
  <w:num w:numId="177">
    <w:abstractNumId w:val="250"/>
  </w:num>
  <w:num w:numId="178">
    <w:abstractNumId w:val="74"/>
  </w:num>
  <w:num w:numId="179">
    <w:abstractNumId w:val="43"/>
  </w:num>
  <w:num w:numId="180">
    <w:abstractNumId w:val="153"/>
  </w:num>
  <w:num w:numId="181">
    <w:abstractNumId w:val="96"/>
  </w:num>
  <w:num w:numId="182">
    <w:abstractNumId w:val="186"/>
  </w:num>
  <w:num w:numId="183">
    <w:abstractNumId w:val="100"/>
  </w:num>
  <w:num w:numId="184">
    <w:abstractNumId w:val="89"/>
  </w:num>
  <w:num w:numId="185">
    <w:abstractNumId w:val="232"/>
  </w:num>
  <w:num w:numId="186">
    <w:abstractNumId w:val="215"/>
  </w:num>
  <w:num w:numId="187">
    <w:abstractNumId w:val="273"/>
  </w:num>
  <w:num w:numId="188">
    <w:abstractNumId w:val="299"/>
  </w:num>
  <w:num w:numId="189">
    <w:abstractNumId w:val="276"/>
  </w:num>
  <w:num w:numId="190">
    <w:abstractNumId w:val="200"/>
  </w:num>
  <w:num w:numId="191">
    <w:abstractNumId w:val="164"/>
  </w:num>
  <w:num w:numId="192">
    <w:abstractNumId w:val="248"/>
  </w:num>
  <w:num w:numId="193">
    <w:abstractNumId w:val="261"/>
  </w:num>
  <w:num w:numId="194">
    <w:abstractNumId w:val="176"/>
  </w:num>
  <w:num w:numId="195">
    <w:abstractNumId w:val="315"/>
  </w:num>
  <w:num w:numId="196">
    <w:abstractNumId w:val="218"/>
  </w:num>
  <w:num w:numId="197">
    <w:abstractNumId w:val="70"/>
  </w:num>
  <w:num w:numId="198">
    <w:abstractNumId w:val="298"/>
  </w:num>
  <w:num w:numId="199">
    <w:abstractNumId w:val="133"/>
  </w:num>
  <w:num w:numId="200">
    <w:abstractNumId w:val="234"/>
  </w:num>
  <w:num w:numId="201">
    <w:abstractNumId w:val="73"/>
  </w:num>
  <w:num w:numId="202">
    <w:abstractNumId w:val="33"/>
  </w:num>
  <w:num w:numId="203">
    <w:abstractNumId w:val="72"/>
  </w:num>
  <w:num w:numId="204">
    <w:abstractNumId w:val="62"/>
  </w:num>
  <w:num w:numId="205">
    <w:abstractNumId w:val="274"/>
  </w:num>
  <w:num w:numId="206">
    <w:abstractNumId w:val="292"/>
  </w:num>
  <w:num w:numId="207">
    <w:abstractNumId w:val="142"/>
  </w:num>
  <w:num w:numId="208">
    <w:abstractNumId w:val="121"/>
  </w:num>
  <w:num w:numId="209">
    <w:abstractNumId w:val="59"/>
  </w:num>
  <w:num w:numId="210">
    <w:abstractNumId w:val="5"/>
  </w:num>
  <w:num w:numId="211">
    <w:abstractNumId w:val="190"/>
  </w:num>
  <w:num w:numId="212">
    <w:abstractNumId w:val="75"/>
  </w:num>
  <w:num w:numId="213">
    <w:abstractNumId w:val="160"/>
  </w:num>
  <w:num w:numId="214">
    <w:abstractNumId w:val="214"/>
  </w:num>
  <w:num w:numId="215">
    <w:abstractNumId w:val="10"/>
  </w:num>
  <w:num w:numId="216">
    <w:abstractNumId w:val="267"/>
  </w:num>
  <w:num w:numId="217">
    <w:abstractNumId w:val="30"/>
  </w:num>
  <w:num w:numId="218">
    <w:abstractNumId w:val="284"/>
  </w:num>
  <w:num w:numId="219">
    <w:abstractNumId w:val="205"/>
  </w:num>
  <w:num w:numId="220">
    <w:abstractNumId w:val="238"/>
  </w:num>
  <w:num w:numId="221">
    <w:abstractNumId w:val="0"/>
  </w:num>
  <w:num w:numId="222">
    <w:abstractNumId w:val="115"/>
  </w:num>
  <w:num w:numId="223">
    <w:abstractNumId w:val="98"/>
  </w:num>
  <w:num w:numId="224">
    <w:abstractNumId w:val="41"/>
  </w:num>
  <w:num w:numId="225">
    <w:abstractNumId w:val="243"/>
  </w:num>
  <w:num w:numId="226">
    <w:abstractNumId w:val="126"/>
  </w:num>
  <w:num w:numId="227">
    <w:abstractNumId w:val="302"/>
  </w:num>
  <w:num w:numId="228">
    <w:abstractNumId w:val="82"/>
  </w:num>
  <w:num w:numId="229">
    <w:abstractNumId w:val="208"/>
  </w:num>
  <w:num w:numId="230">
    <w:abstractNumId w:val="201"/>
  </w:num>
  <w:num w:numId="231">
    <w:abstractNumId w:val="25"/>
  </w:num>
  <w:num w:numId="232">
    <w:abstractNumId w:val="265"/>
  </w:num>
  <w:num w:numId="233">
    <w:abstractNumId w:val="217"/>
  </w:num>
  <w:num w:numId="234">
    <w:abstractNumId w:val="134"/>
  </w:num>
  <w:num w:numId="235">
    <w:abstractNumId w:val="123"/>
  </w:num>
  <w:num w:numId="236">
    <w:abstractNumId w:val="34"/>
  </w:num>
  <w:num w:numId="237">
    <w:abstractNumId w:val="285"/>
  </w:num>
  <w:num w:numId="238">
    <w:abstractNumId w:val="155"/>
  </w:num>
  <w:num w:numId="239">
    <w:abstractNumId w:val="60"/>
  </w:num>
  <w:num w:numId="240">
    <w:abstractNumId w:val="122"/>
  </w:num>
  <w:num w:numId="241">
    <w:abstractNumId w:val="111"/>
  </w:num>
  <w:num w:numId="242">
    <w:abstractNumId w:val="146"/>
  </w:num>
  <w:num w:numId="243">
    <w:abstractNumId w:val="161"/>
  </w:num>
  <w:num w:numId="244">
    <w:abstractNumId w:val="249"/>
  </w:num>
  <w:num w:numId="245">
    <w:abstractNumId w:val="311"/>
  </w:num>
  <w:num w:numId="246">
    <w:abstractNumId w:val="132"/>
  </w:num>
  <w:num w:numId="247">
    <w:abstractNumId w:val="109"/>
  </w:num>
  <w:num w:numId="248">
    <w:abstractNumId w:val="300"/>
  </w:num>
  <w:num w:numId="249">
    <w:abstractNumId w:val="314"/>
  </w:num>
  <w:num w:numId="250">
    <w:abstractNumId w:val="139"/>
  </w:num>
  <w:num w:numId="251">
    <w:abstractNumId w:val="307"/>
  </w:num>
  <w:num w:numId="252">
    <w:abstractNumId w:val="1"/>
  </w:num>
  <w:num w:numId="253">
    <w:abstractNumId w:val="128"/>
  </w:num>
  <w:num w:numId="254">
    <w:abstractNumId w:val="76"/>
  </w:num>
  <w:num w:numId="255">
    <w:abstractNumId w:val="246"/>
  </w:num>
  <w:num w:numId="256">
    <w:abstractNumId w:val="67"/>
  </w:num>
  <w:num w:numId="257">
    <w:abstractNumId w:val="297"/>
  </w:num>
  <w:num w:numId="258">
    <w:abstractNumId w:val="245"/>
  </w:num>
  <w:num w:numId="259">
    <w:abstractNumId w:val="268"/>
  </w:num>
  <w:num w:numId="260">
    <w:abstractNumId w:val="305"/>
  </w:num>
  <w:num w:numId="261">
    <w:abstractNumId w:val="197"/>
  </w:num>
  <w:num w:numId="262">
    <w:abstractNumId w:val="216"/>
  </w:num>
  <w:num w:numId="263">
    <w:abstractNumId w:val="258"/>
  </w:num>
  <w:num w:numId="264">
    <w:abstractNumId w:val="23"/>
  </w:num>
  <w:num w:numId="265">
    <w:abstractNumId w:val="308"/>
  </w:num>
  <w:num w:numId="266">
    <w:abstractNumId w:val="47"/>
  </w:num>
  <w:num w:numId="267">
    <w:abstractNumId w:val="94"/>
  </w:num>
  <w:num w:numId="268">
    <w:abstractNumId w:val="148"/>
  </w:num>
  <w:num w:numId="269">
    <w:abstractNumId w:val="235"/>
  </w:num>
  <w:num w:numId="270">
    <w:abstractNumId w:val="251"/>
  </w:num>
  <w:num w:numId="271">
    <w:abstractNumId w:val="310"/>
  </w:num>
  <w:num w:numId="272">
    <w:abstractNumId w:val="291"/>
  </w:num>
  <w:num w:numId="273">
    <w:abstractNumId w:val="85"/>
  </w:num>
  <w:num w:numId="274">
    <w:abstractNumId w:val="178"/>
  </w:num>
  <w:num w:numId="275">
    <w:abstractNumId w:val="2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6">
    <w:abstractNumId w:val="172"/>
  </w:num>
  <w:num w:numId="277">
    <w:abstractNumId w:val="252"/>
  </w:num>
  <w:num w:numId="278">
    <w:abstractNumId w:val="171"/>
  </w:num>
  <w:num w:numId="279">
    <w:abstractNumId w:val="166"/>
  </w:num>
  <w:num w:numId="280">
    <w:abstractNumId w:val="181"/>
  </w:num>
  <w:num w:numId="281">
    <w:abstractNumId w:val="92"/>
  </w:num>
  <w:num w:numId="282">
    <w:abstractNumId w:val="124"/>
  </w:num>
  <w:num w:numId="283">
    <w:abstractNumId w:val="58"/>
  </w:num>
  <w:num w:numId="284">
    <w:abstractNumId w:val="86"/>
  </w:num>
  <w:num w:numId="285">
    <w:abstractNumId w:val="64"/>
  </w:num>
  <w:num w:numId="286">
    <w:abstractNumId w:val="170"/>
  </w:num>
  <w:num w:numId="287">
    <w:abstractNumId w:val="16"/>
  </w:num>
  <w:num w:numId="288">
    <w:abstractNumId w:val="135"/>
  </w:num>
  <w:num w:numId="289">
    <w:abstractNumId w:val="263"/>
  </w:num>
  <w:num w:numId="290">
    <w:abstractNumId w:val="180"/>
  </w:num>
  <w:num w:numId="291">
    <w:abstractNumId w:val="188"/>
  </w:num>
  <w:num w:numId="292">
    <w:abstractNumId w:val="108"/>
  </w:num>
  <w:num w:numId="293">
    <w:abstractNumId w:val="179"/>
  </w:num>
  <w:num w:numId="294">
    <w:abstractNumId w:val="77"/>
  </w:num>
  <w:num w:numId="295">
    <w:abstractNumId w:val="290"/>
  </w:num>
  <w:num w:numId="296">
    <w:abstractNumId w:val="223"/>
  </w:num>
  <w:num w:numId="297">
    <w:abstractNumId w:val="254"/>
  </w:num>
  <w:num w:numId="298">
    <w:abstractNumId w:val="154"/>
  </w:num>
  <w:num w:numId="299">
    <w:abstractNumId w:val="236"/>
  </w:num>
  <w:num w:numId="300">
    <w:abstractNumId w:val="40"/>
  </w:num>
  <w:num w:numId="301">
    <w:abstractNumId w:val="21"/>
  </w:num>
  <w:num w:numId="302">
    <w:abstractNumId w:val="316"/>
  </w:num>
  <w:num w:numId="303">
    <w:abstractNumId w:val="56"/>
  </w:num>
  <w:num w:numId="304">
    <w:abstractNumId w:val="228"/>
  </w:num>
  <w:num w:numId="305">
    <w:abstractNumId w:val="288"/>
  </w:num>
  <w:num w:numId="306">
    <w:abstractNumId w:val="278"/>
  </w:num>
  <w:num w:numId="307">
    <w:abstractNumId w:val="120"/>
  </w:num>
  <w:num w:numId="308">
    <w:abstractNumId w:val="158"/>
  </w:num>
  <w:num w:numId="309">
    <w:abstractNumId w:val="289"/>
  </w:num>
  <w:num w:numId="310">
    <w:abstractNumId w:val="271"/>
  </w:num>
  <w:num w:numId="311">
    <w:abstractNumId w:val="264"/>
  </w:num>
  <w:num w:numId="312">
    <w:abstractNumId w:val="80"/>
  </w:num>
  <w:num w:numId="313">
    <w:abstractNumId w:val="12"/>
  </w:num>
  <w:num w:numId="314">
    <w:abstractNumId w:val="11"/>
  </w:num>
  <w:num w:numId="315">
    <w:abstractNumId w:val="127"/>
  </w:num>
  <w:num w:numId="316">
    <w:abstractNumId w:val="147"/>
  </w:num>
  <w:num w:numId="317">
    <w:abstractNumId w:val="36"/>
  </w:num>
  <w:numIdMacAtCleanup w:val="3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227"/>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36F6"/>
    <w:rsid w:val="00000104"/>
    <w:rsid w:val="000003D0"/>
    <w:rsid w:val="00002171"/>
    <w:rsid w:val="0000251C"/>
    <w:rsid w:val="00003F84"/>
    <w:rsid w:val="00004242"/>
    <w:rsid w:val="00004811"/>
    <w:rsid w:val="00005FE2"/>
    <w:rsid w:val="000061A0"/>
    <w:rsid w:val="0000730F"/>
    <w:rsid w:val="00007D06"/>
    <w:rsid w:val="00007FF7"/>
    <w:rsid w:val="00010A79"/>
    <w:rsid w:val="000110C4"/>
    <w:rsid w:val="0001172D"/>
    <w:rsid w:val="000128BF"/>
    <w:rsid w:val="00013134"/>
    <w:rsid w:val="0001387C"/>
    <w:rsid w:val="00013B01"/>
    <w:rsid w:val="00013C69"/>
    <w:rsid w:val="00013DA6"/>
    <w:rsid w:val="00014103"/>
    <w:rsid w:val="000149DD"/>
    <w:rsid w:val="000156A5"/>
    <w:rsid w:val="00015D97"/>
    <w:rsid w:val="00015DE4"/>
    <w:rsid w:val="000163B4"/>
    <w:rsid w:val="00020357"/>
    <w:rsid w:val="00020661"/>
    <w:rsid w:val="00020690"/>
    <w:rsid w:val="00020972"/>
    <w:rsid w:val="00020A6F"/>
    <w:rsid w:val="0002133B"/>
    <w:rsid w:val="000225C0"/>
    <w:rsid w:val="00022C8D"/>
    <w:rsid w:val="0002382F"/>
    <w:rsid w:val="00024831"/>
    <w:rsid w:val="00024B5C"/>
    <w:rsid w:val="00024DA2"/>
    <w:rsid w:val="000257DB"/>
    <w:rsid w:val="00025A22"/>
    <w:rsid w:val="00025D19"/>
    <w:rsid w:val="000263E7"/>
    <w:rsid w:val="000263EF"/>
    <w:rsid w:val="00026A16"/>
    <w:rsid w:val="0002769A"/>
    <w:rsid w:val="00027DD0"/>
    <w:rsid w:val="00027EE5"/>
    <w:rsid w:val="0003009D"/>
    <w:rsid w:val="0003087E"/>
    <w:rsid w:val="00030C15"/>
    <w:rsid w:val="00030FCD"/>
    <w:rsid w:val="00031367"/>
    <w:rsid w:val="00032891"/>
    <w:rsid w:val="00033291"/>
    <w:rsid w:val="00035002"/>
    <w:rsid w:val="00036EAE"/>
    <w:rsid w:val="00037672"/>
    <w:rsid w:val="0004023A"/>
    <w:rsid w:val="00040650"/>
    <w:rsid w:val="000409E8"/>
    <w:rsid w:val="00041AA1"/>
    <w:rsid w:val="00041FFD"/>
    <w:rsid w:val="0004244D"/>
    <w:rsid w:val="00042EBC"/>
    <w:rsid w:val="00043536"/>
    <w:rsid w:val="00043850"/>
    <w:rsid w:val="00044593"/>
    <w:rsid w:val="000446BB"/>
    <w:rsid w:val="00044CE7"/>
    <w:rsid w:val="00045CEE"/>
    <w:rsid w:val="00046A72"/>
    <w:rsid w:val="000470AC"/>
    <w:rsid w:val="000470C4"/>
    <w:rsid w:val="00047C55"/>
    <w:rsid w:val="000508DD"/>
    <w:rsid w:val="0005162E"/>
    <w:rsid w:val="000519C8"/>
    <w:rsid w:val="00052CF6"/>
    <w:rsid w:val="00053706"/>
    <w:rsid w:val="000539CD"/>
    <w:rsid w:val="000539F9"/>
    <w:rsid w:val="00054193"/>
    <w:rsid w:val="00054745"/>
    <w:rsid w:val="00054D37"/>
    <w:rsid w:val="00055240"/>
    <w:rsid w:val="0005628D"/>
    <w:rsid w:val="00057B13"/>
    <w:rsid w:val="00060323"/>
    <w:rsid w:val="00060384"/>
    <w:rsid w:val="000607EA"/>
    <w:rsid w:val="00060A3F"/>
    <w:rsid w:val="00060B8B"/>
    <w:rsid w:val="000611F7"/>
    <w:rsid w:val="000617F7"/>
    <w:rsid w:val="000629E7"/>
    <w:rsid w:val="00062E7C"/>
    <w:rsid w:val="000632B8"/>
    <w:rsid w:val="00063D5A"/>
    <w:rsid w:val="00065A67"/>
    <w:rsid w:val="0006633A"/>
    <w:rsid w:val="00067B1F"/>
    <w:rsid w:val="00067BBB"/>
    <w:rsid w:val="00067BFA"/>
    <w:rsid w:val="0007019C"/>
    <w:rsid w:val="000706C6"/>
    <w:rsid w:val="00070C2E"/>
    <w:rsid w:val="00070D19"/>
    <w:rsid w:val="00070ECC"/>
    <w:rsid w:val="000717DB"/>
    <w:rsid w:val="0007194B"/>
    <w:rsid w:val="00071F04"/>
    <w:rsid w:val="000720A4"/>
    <w:rsid w:val="00072331"/>
    <w:rsid w:val="00072B2A"/>
    <w:rsid w:val="00072DDF"/>
    <w:rsid w:val="000738CF"/>
    <w:rsid w:val="00075917"/>
    <w:rsid w:val="00076484"/>
    <w:rsid w:val="000766BB"/>
    <w:rsid w:val="00076988"/>
    <w:rsid w:val="00076B24"/>
    <w:rsid w:val="000770FD"/>
    <w:rsid w:val="0007711E"/>
    <w:rsid w:val="000776EB"/>
    <w:rsid w:val="0007791F"/>
    <w:rsid w:val="000806EB"/>
    <w:rsid w:val="000808C7"/>
    <w:rsid w:val="00081937"/>
    <w:rsid w:val="0008287A"/>
    <w:rsid w:val="0008332C"/>
    <w:rsid w:val="000838B7"/>
    <w:rsid w:val="00083D7A"/>
    <w:rsid w:val="00083F2B"/>
    <w:rsid w:val="00084C5E"/>
    <w:rsid w:val="00084D0C"/>
    <w:rsid w:val="000855A2"/>
    <w:rsid w:val="000857F5"/>
    <w:rsid w:val="00085EED"/>
    <w:rsid w:val="00086048"/>
    <w:rsid w:val="00086D17"/>
    <w:rsid w:val="00087654"/>
    <w:rsid w:val="0008795D"/>
    <w:rsid w:val="000905F1"/>
    <w:rsid w:val="00090610"/>
    <w:rsid w:val="000910AF"/>
    <w:rsid w:val="00091264"/>
    <w:rsid w:val="000917DE"/>
    <w:rsid w:val="00092081"/>
    <w:rsid w:val="00092A48"/>
    <w:rsid w:val="00092CF0"/>
    <w:rsid w:val="00092E8C"/>
    <w:rsid w:val="00092FBB"/>
    <w:rsid w:val="00093753"/>
    <w:rsid w:val="00093842"/>
    <w:rsid w:val="00093ACA"/>
    <w:rsid w:val="00093EEC"/>
    <w:rsid w:val="0009409D"/>
    <w:rsid w:val="0009448B"/>
    <w:rsid w:val="00094670"/>
    <w:rsid w:val="00094EED"/>
    <w:rsid w:val="00095205"/>
    <w:rsid w:val="0009551C"/>
    <w:rsid w:val="000955F0"/>
    <w:rsid w:val="00095E08"/>
    <w:rsid w:val="000970B7"/>
    <w:rsid w:val="000973A9"/>
    <w:rsid w:val="00097405"/>
    <w:rsid w:val="00097640"/>
    <w:rsid w:val="00097978"/>
    <w:rsid w:val="00097DF7"/>
    <w:rsid w:val="000A03D8"/>
    <w:rsid w:val="000A07B3"/>
    <w:rsid w:val="000A1E33"/>
    <w:rsid w:val="000A2BD2"/>
    <w:rsid w:val="000A2DD9"/>
    <w:rsid w:val="000A35BE"/>
    <w:rsid w:val="000A3B1A"/>
    <w:rsid w:val="000A4921"/>
    <w:rsid w:val="000A6487"/>
    <w:rsid w:val="000A70BA"/>
    <w:rsid w:val="000A71BA"/>
    <w:rsid w:val="000A723C"/>
    <w:rsid w:val="000A745F"/>
    <w:rsid w:val="000A74B4"/>
    <w:rsid w:val="000A76F8"/>
    <w:rsid w:val="000A7C92"/>
    <w:rsid w:val="000A7F03"/>
    <w:rsid w:val="000B0643"/>
    <w:rsid w:val="000B0A64"/>
    <w:rsid w:val="000B1700"/>
    <w:rsid w:val="000B2483"/>
    <w:rsid w:val="000B3DC1"/>
    <w:rsid w:val="000B3E1A"/>
    <w:rsid w:val="000B540F"/>
    <w:rsid w:val="000B5550"/>
    <w:rsid w:val="000B55EA"/>
    <w:rsid w:val="000B5AAC"/>
    <w:rsid w:val="000B6351"/>
    <w:rsid w:val="000B667C"/>
    <w:rsid w:val="000B6A76"/>
    <w:rsid w:val="000B700A"/>
    <w:rsid w:val="000C010D"/>
    <w:rsid w:val="000C056E"/>
    <w:rsid w:val="000C06E0"/>
    <w:rsid w:val="000C162E"/>
    <w:rsid w:val="000C19CC"/>
    <w:rsid w:val="000C3784"/>
    <w:rsid w:val="000C43D9"/>
    <w:rsid w:val="000C47FA"/>
    <w:rsid w:val="000C6002"/>
    <w:rsid w:val="000C67F4"/>
    <w:rsid w:val="000C7065"/>
    <w:rsid w:val="000C7692"/>
    <w:rsid w:val="000D0F02"/>
    <w:rsid w:val="000D10F4"/>
    <w:rsid w:val="000D2451"/>
    <w:rsid w:val="000D26F1"/>
    <w:rsid w:val="000D37C1"/>
    <w:rsid w:val="000D3828"/>
    <w:rsid w:val="000D3DBB"/>
    <w:rsid w:val="000D43AB"/>
    <w:rsid w:val="000D481F"/>
    <w:rsid w:val="000D5044"/>
    <w:rsid w:val="000D504E"/>
    <w:rsid w:val="000D5957"/>
    <w:rsid w:val="000D5E09"/>
    <w:rsid w:val="000D621C"/>
    <w:rsid w:val="000D69C5"/>
    <w:rsid w:val="000D7232"/>
    <w:rsid w:val="000D7C7C"/>
    <w:rsid w:val="000E067D"/>
    <w:rsid w:val="000E08CB"/>
    <w:rsid w:val="000E1E87"/>
    <w:rsid w:val="000E2594"/>
    <w:rsid w:val="000E2713"/>
    <w:rsid w:val="000E31A1"/>
    <w:rsid w:val="000E3501"/>
    <w:rsid w:val="000E419B"/>
    <w:rsid w:val="000E42B4"/>
    <w:rsid w:val="000E4820"/>
    <w:rsid w:val="000E485A"/>
    <w:rsid w:val="000E5639"/>
    <w:rsid w:val="000E5867"/>
    <w:rsid w:val="000E65DF"/>
    <w:rsid w:val="000E65FA"/>
    <w:rsid w:val="000E677C"/>
    <w:rsid w:val="000E6FE9"/>
    <w:rsid w:val="000F0458"/>
    <w:rsid w:val="000F0CDE"/>
    <w:rsid w:val="000F158F"/>
    <w:rsid w:val="000F1A47"/>
    <w:rsid w:val="000F2185"/>
    <w:rsid w:val="000F29AA"/>
    <w:rsid w:val="000F305B"/>
    <w:rsid w:val="000F4462"/>
    <w:rsid w:val="000F4F46"/>
    <w:rsid w:val="000F5184"/>
    <w:rsid w:val="000F575D"/>
    <w:rsid w:val="000F60CB"/>
    <w:rsid w:val="000F637A"/>
    <w:rsid w:val="000F698E"/>
    <w:rsid w:val="000F70AF"/>
    <w:rsid w:val="000F742E"/>
    <w:rsid w:val="000F7F5A"/>
    <w:rsid w:val="000F7FAB"/>
    <w:rsid w:val="00100385"/>
    <w:rsid w:val="0010060F"/>
    <w:rsid w:val="00100906"/>
    <w:rsid w:val="001019FF"/>
    <w:rsid w:val="00101B2A"/>
    <w:rsid w:val="00101BFE"/>
    <w:rsid w:val="00101C24"/>
    <w:rsid w:val="00101D39"/>
    <w:rsid w:val="00102669"/>
    <w:rsid w:val="001026D3"/>
    <w:rsid w:val="00104549"/>
    <w:rsid w:val="00105116"/>
    <w:rsid w:val="001056DA"/>
    <w:rsid w:val="00105885"/>
    <w:rsid w:val="00107163"/>
    <w:rsid w:val="001072F7"/>
    <w:rsid w:val="001074B8"/>
    <w:rsid w:val="00110A5E"/>
    <w:rsid w:val="001111C8"/>
    <w:rsid w:val="00111567"/>
    <w:rsid w:val="001118EA"/>
    <w:rsid w:val="00111AB7"/>
    <w:rsid w:val="00112018"/>
    <w:rsid w:val="00113907"/>
    <w:rsid w:val="00113F4B"/>
    <w:rsid w:val="00114185"/>
    <w:rsid w:val="00114FCA"/>
    <w:rsid w:val="00115DD1"/>
    <w:rsid w:val="00116949"/>
    <w:rsid w:val="001176B1"/>
    <w:rsid w:val="001179ED"/>
    <w:rsid w:val="00117CC4"/>
    <w:rsid w:val="00120CD0"/>
    <w:rsid w:val="0012223F"/>
    <w:rsid w:val="00122C73"/>
    <w:rsid w:val="00122C86"/>
    <w:rsid w:val="00122D76"/>
    <w:rsid w:val="00122E97"/>
    <w:rsid w:val="00123973"/>
    <w:rsid w:val="00123A44"/>
    <w:rsid w:val="00123C58"/>
    <w:rsid w:val="00124A2B"/>
    <w:rsid w:val="00125803"/>
    <w:rsid w:val="00125BF4"/>
    <w:rsid w:val="00125F77"/>
    <w:rsid w:val="00126313"/>
    <w:rsid w:val="00126599"/>
    <w:rsid w:val="00126800"/>
    <w:rsid w:val="00126A59"/>
    <w:rsid w:val="00126EBA"/>
    <w:rsid w:val="00127213"/>
    <w:rsid w:val="0013054E"/>
    <w:rsid w:val="00130577"/>
    <w:rsid w:val="00130E90"/>
    <w:rsid w:val="001312E7"/>
    <w:rsid w:val="00131771"/>
    <w:rsid w:val="001327CE"/>
    <w:rsid w:val="00132ACE"/>
    <w:rsid w:val="00133479"/>
    <w:rsid w:val="001334EA"/>
    <w:rsid w:val="00133756"/>
    <w:rsid w:val="0013389E"/>
    <w:rsid w:val="001338E5"/>
    <w:rsid w:val="00134D68"/>
    <w:rsid w:val="0013724D"/>
    <w:rsid w:val="00137657"/>
    <w:rsid w:val="00137729"/>
    <w:rsid w:val="001404CD"/>
    <w:rsid w:val="001408E1"/>
    <w:rsid w:val="00140C6B"/>
    <w:rsid w:val="00140CEE"/>
    <w:rsid w:val="0014193A"/>
    <w:rsid w:val="00143787"/>
    <w:rsid w:val="00143E9B"/>
    <w:rsid w:val="00144A49"/>
    <w:rsid w:val="0014581E"/>
    <w:rsid w:val="00146880"/>
    <w:rsid w:val="00146A6F"/>
    <w:rsid w:val="00147B0A"/>
    <w:rsid w:val="0015017E"/>
    <w:rsid w:val="001514AA"/>
    <w:rsid w:val="00152494"/>
    <w:rsid w:val="001527B0"/>
    <w:rsid w:val="00152B1E"/>
    <w:rsid w:val="00152D15"/>
    <w:rsid w:val="00152FB7"/>
    <w:rsid w:val="00153291"/>
    <w:rsid w:val="00153941"/>
    <w:rsid w:val="00153F68"/>
    <w:rsid w:val="001544B4"/>
    <w:rsid w:val="00154A24"/>
    <w:rsid w:val="00154AC2"/>
    <w:rsid w:val="00155576"/>
    <w:rsid w:val="00155A54"/>
    <w:rsid w:val="00155ED9"/>
    <w:rsid w:val="00155FBC"/>
    <w:rsid w:val="00157090"/>
    <w:rsid w:val="00157216"/>
    <w:rsid w:val="001600EA"/>
    <w:rsid w:val="00160115"/>
    <w:rsid w:val="00160581"/>
    <w:rsid w:val="001607F8"/>
    <w:rsid w:val="00160883"/>
    <w:rsid w:val="001609A3"/>
    <w:rsid w:val="00160EC0"/>
    <w:rsid w:val="00161051"/>
    <w:rsid w:val="00161258"/>
    <w:rsid w:val="001619A5"/>
    <w:rsid w:val="00161A9A"/>
    <w:rsid w:val="0016255D"/>
    <w:rsid w:val="00162658"/>
    <w:rsid w:val="00162824"/>
    <w:rsid w:val="00162BEA"/>
    <w:rsid w:val="0016313E"/>
    <w:rsid w:val="00163179"/>
    <w:rsid w:val="001636C8"/>
    <w:rsid w:val="00163E33"/>
    <w:rsid w:val="0016456A"/>
    <w:rsid w:val="00165CF9"/>
    <w:rsid w:val="00166399"/>
    <w:rsid w:val="00166713"/>
    <w:rsid w:val="00166CA5"/>
    <w:rsid w:val="00170809"/>
    <w:rsid w:val="00170FAD"/>
    <w:rsid w:val="001716ED"/>
    <w:rsid w:val="001727B8"/>
    <w:rsid w:val="00172A8B"/>
    <w:rsid w:val="00173A93"/>
    <w:rsid w:val="00173AD8"/>
    <w:rsid w:val="0017597D"/>
    <w:rsid w:val="00175BA6"/>
    <w:rsid w:val="00176003"/>
    <w:rsid w:val="00176239"/>
    <w:rsid w:val="001767B2"/>
    <w:rsid w:val="0017728B"/>
    <w:rsid w:val="001773EB"/>
    <w:rsid w:val="00177B08"/>
    <w:rsid w:val="00177E2F"/>
    <w:rsid w:val="00177ECC"/>
    <w:rsid w:val="00180B02"/>
    <w:rsid w:val="00181D14"/>
    <w:rsid w:val="00182421"/>
    <w:rsid w:val="00182A3E"/>
    <w:rsid w:val="001836D2"/>
    <w:rsid w:val="001845CA"/>
    <w:rsid w:val="00184D0C"/>
    <w:rsid w:val="00185106"/>
    <w:rsid w:val="00185F52"/>
    <w:rsid w:val="001866FE"/>
    <w:rsid w:val="00187198"/>
    <w:rsid w:val="0018719E"/>
    <w:rsid w:val="001872C9"/>
    <w:rsid w:val="001873A9"/>
    <w:rsid w:val="001873B6"/>
    <w:rsid w:val="00187D4C"/>
    <w:rsid w:val="001908A6"/>
    <w:rsid w:val="00191E92"/>
    <w:rsid w:val="0019276F"/>
    <w:rsid w:val="001932AA"/>
    <w:rsid w:val="001932E6"/>
    <w:rsid w:val="00194480"/>
    <w:rsid w:val="0019454C"/>
    <w:rsid w:val="00195357"/>
    <w:rsid w:val="00195775"/>
    <w:rsid w:val="00196319"/>
    <w:rsid w:val="00196606"/>
    <w:rsid w:val="00196FBC"/>
    <w:rsid w:val="00197831"/>
    <w:rsid w:val="00197CB3"/>
    <w:rsid w:val="00197D3C"/>
    <w:rsid w:val="00197FCE"/>
    <w:rsid w:val="001A0658"/>
    <w:rsid w:val="001A0804"/>
    <w:rsid w:val="001A137D"/>
    <w:rsid w:val="001A1F35"/>
    <w:rsid w:val="001A23F0"/>
    <w:rsid w:val="001A258C"/>
    <w:rsid w:val="001A3489"/>
    <w:rsid w:val="001A35F2"/>
    <w:rsid w:val="001A43AA"/>
    <w:rsid w:val="001A49D2"/>
    <w:rsid w:val="001A4DE1"/>
    <w:rsid w:val="001A511F"/>
    <w:rsid w:val="001A5713"/>
    <w:rsid w:val="001A62DC"/>
    <w:rsid w:val="001A7B5A"/>
    <w:rsid w:val="001B00C0"/>
    <w:rsid w:val="001B067A"/>
    <w:rsid w:val="001B0D76"/>
    <w:rsid w:val="001B2026"/>
    <w:rsid w:val="001B2043"/>
    <w:rsid w:val="001B29A0"/>
    <w:rsid w:val="001B366C"/>
    <w:rsid w:val="001B3A55"/>
    <w:rsid w:val="001B5270"/>
    <w:rsid w:val="001B564F"/>
    <w:rsid w:val="001B5752"/>
    <w:rsid w:val="001B57A8"/>
    <w:rsid w:val="001B61E9"/>
    <w:rsid w:val="001B63EC"/>
    <w:rsid w:val="001B671E"/>
    <w:rsid w:val="001B6B71"/>
    <w:rsid w:val="001B6FD0"/>
    <w:rsid w:val="001B77FA"/>
    <w:rsid w:val="001B7F0E"/>
    <w:rsid w:val="001C1674"/>
    <w:rsid w:val="001C1680"/>
    <w:rsid w:val="001C1780"/>
    <w:rsid w:val="001C1AB1"/>
    <w:rsid w:val="001C20CD"/>
    <w:rsid w:val="001C26D9"/>
    <w:rsid w:val="001C4018"/>
    <w:rsid w:val="001C4172"/>
    <w:rsid w:val="001C427A"/>
    <w:rsid w:val="001C4B47"/>
    <w:rsid w:val="001C5672"/>
    <w:rsid w:val="001C5963"/>
    <w:rsid w:val="001C5F28"/>
    <w:rsid w:val="001C61EF"/>
    <w:rsid w:val="001C646C"/>
    <w:rsid w:val="001C6473"/>
    <w:rsid w:val="001C7346"/>
    <w:rsid w:val="001C7DB9"/>
    <w:rsid w:val="001D0B46"/>
    <w:rsid w:val="001D20A8"/>
    <w:rsid w:val="001D23BF"/>
    <w:rsid w:val="001D2673"/>
    <w:rsid w:val="001D27EF"/>
    <w:rsid w:val="001D2C51"/>
    <w:rsid w:val="001D3A5B"/>
    <w:rsid w:val="001D48D6"/>
    <w:rsid w:val="001D4A76"/>
    <w:rsid w:val="001D4B64"/>
    <w:rsid w:val="001D5852"/>
    <w:rsid w:val="001D5893"/>
    <w:rsid w:val="001D6415"/>
    <w:rsid w:val="001D7C5C"/>
    <w:rsid w:val="001D7F80"/>
    <w:rsid w:val="001E00EE"/>
    <w:rsid w:val="001E064F"/>
    <w:rsid w:val="001E13EC"/>
    <w:rsid w:val="001E2975"/>
    <w:rsid w:val="001E38E7"/>
    <w:rsid w:val="001E3A41"/>
    <w:rsid w:val="001E46F1"/>
    <w:rsid w:val="001E4EE1"/>
    <w:rsid w:val="001E62EC"/>
    <w:rsid w:val="001E6704"/>
    <w:rsid w:val="001E6C80"/>
    <w:rsid w:val="001E7E0B"/>
    <w:rsid w:val="001F0445"/>
    <w:rsid w:val="001F0452"/>
    <w:rsid w:val="001F064F"/>
    <w:rsid w:val="001F0E0D"/>
    <w:rsid w:val="001F0FAE"/>
    <w:rsid w:val="001F12F3"/>
    <w:rsid w:val="001F2072"/>
    <w:rsid w:val="001F27BD"/>
    <w:rsid w:val="001F2D8F"/>
    <w:rsid w:val="001F3098"/>
    <w:rsid w:val="001F312F"/>
    <w:rsid w:val="001F321D"/>
    <w:rsid w:val="001F3378"/>
    <w:rsid w:val="001F37B8"/>
    <w:rsid w:val="001F4274"/>
    <w:rsid w:val="001F44B0"/>
    <w:rsid w:val="001F472B"/>
    <w:rsid w:val="001F5090"/>
    <w:rsid w:val="001F5617"/>
    <w:rsid w:val="001F60BE"/>
    <w:rsid w:val="001F6624"/>
    <w:rsid w:val="001F6E21"/>
    <w:rsid w:val="001F7F77"/>
    <w:rsid w:val="00201732"/>
    <w:rsid w:val="00201C6F"/>
    <w:rsid w:val="00202559"/>
    <w:rsid w:val="00203637"/>
    <w:rsid w:val="00203B56"/>
    <w:rsid w:val="00204047"/>
    <w:rsid w:val="002040C4"/>
    <w:rsid w:val="0020493B"/>
    <w:rsid w:val="00204F5A"/>
    <w:rsid w:val="002053C1"/>
    <w:rsid w:val="0020577E"/>
    <w:rsid w:val="00205ED2"/>
    <w:rsid w:val="002061CA"/>
    <w:rsid w:val="00207F96"/>
    <w:rsid w:val="002102D3"/>
    <w:rsid w:val="002103F4"/>
    <w:rsid w:val="002106F6"/>
    <w:rsid w:val="00210D79"/>
    <w:rsid w:val="00211173"/>
    <w:rsid w:val="0021156D"/>
    <w:rsid w:val="00211FD6"/>
    <w:rsid w:val="002125F7"/>
    <w:rsid w:val="00215682"/>
    <w:rsid w:val="002161BB"/>
    <w:rsid w:val="00216379"/>
    <w:rsid w:val="0021660B"/>
    <w:rsid w:val="00216C31"/>
    <w:rsid w:val="00216C7B"/>
    <w:rsid w:val="00220E5A"/>
    <w:rsid w:val="00221A85"/>
    <w:rsid w:val="00221D34"/>
    <w:rsid w:val="00221D59"/>
    <w:rsid w:val="00222787"/>
    <w:rsid w:val="00222B84"/>
    <w:rsid w:val="002246ED"/>
    <w:rsid w:val="00226802"/>
    <w:rsid w:val="00226CCE"/>
    <w:rsid w:val="00227805"/>
    <w:rsid w:val="0022791E"/>
    <w:rsid w:val="002306C7"/>
    <w:rsid w:val="00230CC5"/>
    <w:rsid w:val="002311AC"/>
    <w:rsid w:val="002314E2"/>
    <w:rsid w:val="00231799"/>
    <w:rsid w:val="002329B6"/>
    <w:rsid w:val="00232BDF"/>
    <w:rsid w:val="00233687"/>
    <w:rsid w:val="0023391B"/>
    <w:rsid w:val="0023397E"/>
    <w:rsid w:val="00233CFE"/>
    <w:rsid w:val="00233F40"/>
    <w:rsid w:val="0023422C"/>
    <w:rsid w:val="00234499"/>
    <w:rsid w:val="0023461B"/>
    <w:rsid w:val="002358B6"/>
    <w:rsid w:val="002367A7"/>
    <w:rsid w:val="00236D6D"/>
    <w:rsid w:val="0023751C"/>
    <w:rsid w:val="00237B54"/>
    <w:rsid w:val="00237F80"/>
    <w:rsid w:val="00240135"/>
    <w:rsid w:val="002416C6"/>
    <w:rsid w:val="00241837"/>
    <w:rsid w:val="00241AE7"/>
    <w:rsid w:val="002420EA"/>
    <w:rsid w:val="00244674"/>
    <w:rsid w:val="0024555B"/>
    <w:rsid w:val="00245A46"/>
    <w:rsid w:val="00245C86"/>
    <w:rsid w:val="00245CF9"/>
    <w:rsid w:val="00246471"/>
    <w:rsid w:val="00246A54"/>
    <w:rsid w:val="00246D4C"/>
    <w:rsid w:val="002475D1"/>
    <w:rsid w:val="00247829"/>
    <w:rsid w:val="00247D76"/>
    <w:rsid w:val="002505DF"/>
    <w:rsid w:val="002506E8"/>
    <w:rsid w:val="002507BC"/>
    <w:rsid w:val="002507C8"/>
    <w:rsid w:val="00250D5E"/>
    <w:rsid w:val="00250F8C"/>
    <w:rsid w:val="002517BA"/>
    <w:rsid w:val="00252358"/>
    <w:rsid w:val="00252A02"/>
    <w:rsid w:val="00253129"/>
    <w:rsid w:val="00253184"/>
    <w:rsid w:val="0025322D"/>
    <w:rsid w:val="002532A2"/>
    <w:rsid w:val="0025342A"/>
    <w:rsid w:val="00255599"/>
    <w:rsid w:val="00255C8C"/>
    <w:rsid w:val="002571A1"/>
    <w:rsid w:val="0025755F"/>
    <w:rsid w:val="0025796B"/>
    <w:rsid w:val="00260505"/>
    <w:rsid w:val="00260D4B"/>
    <w:rsid w:val="00261A43"/>
    <w:rsid w:val="00261E38"/>
    <w:rsid w:val="00262441"/>
    <w:rsid w:val="002640C3"/>
    <w:rsid w:val="002649B9"/>
    <w:rsid w:val="002660A1"/>
    <w:rsid w:val="0026688D"/>
    <w:rsid w:val="00266942"/>
    <w:rsid w:val="00266A03"/>
    <w:rsid w:val="00267989"/>
    <w:rsid w:val="002704AF"/>
    <w:rsid w:val="00270550"/>
    <w:rsid w:val="002706FA"/>
    <w:rsid w:val="0027144A"/>
    <w:rsid w:val="00273856"/>
    <w:rsid w:val="00274757"/>
    <w:rsid w:val="002750D1"/>
    <w:rsid w:val="0027660F"/>
    <w:rsid w:val="00276BCB"/>
    <w:rsid w:val="00276C3A"/>
    <w:rsid w:val="00277F81"/>
    <w:rsid w:val="0028109B"/>
    <w:rsid w:val="00281DD9"/>
    <w:rsid w:val="00282176"/>
    <w:rsid w:val="00283664"/>
    <w:rsid w:val="00283DB1"/>
    <w:rsid w:val="00283E61"/>
    <w:rsid w:val="002847B8"/>
    <w:rsid w:val="00284B82"/>
    <w:rsid w:val="00284BB2"/>
    <w:rsid w:val="002852F5"/>
    <w:rsid w:val="002853E8"/>
    <w:rsid w:val="002864E0"/>
    <w:rsid w:val="00286E18"/>
    <w:rsid w:val="0028709F"/>
    <w:rsid w:val="00287734"/>
    <w:rsid w:val="0028781B"/>
    <w:rsid w:val="002916FF"/>
    <w:rsid w:val="00293354"/>
    <w:rsid w:val="00293691"/>
    <w:rsid w:val="002938BE"/>
    <w:rsid w:val="00294A9B"/>
    <w:rsid w:val="00295BE7"/>
    <w:rsid w:val="00295D0D"/>
    <w:rsid w:val="002962E0"/>
    <w:rsid w:val="00296CE0"/>
    <w:rsid w:val="002979CC"/>
    <w:rsid w:val="00297FBE"/>
    <w:rsid w:val="002A07D6"/>
    <w:rsid w:val="002A0CE7"/>
    <w:rsid w:val="002A0FCB"/>
    <w:rsid w:val="002A1DE9"/>
    <w:rsid w:val="002A1E4D"/>
    <w:rsid w:val="002A1EBD"/>
    <w:rsid w:val="002A2996"/>
    <w:rsid w:val="002A2B28"/>
    <w:rsid w:val="002A2D7F"/>
    <w:rsid w:val="002A2F34"/>
    <w:rsid w:val="002A349B"/>
    <w:rsid w:val="002A3CBB"/>
    <w:rsid w:val="002A3F9B"/>
    <w:rsid w:val="002A43DC"/>
    <w:rsid w:val="002A509A"/>
    <w:rsid w:val="002A5F8A"/>
    <w:rsid w:val="002A6140"/>
    <w:rsid w:val="002A6791"/>
    <w:rsid w:val="002A7B5C"/>
    <w:rsid w:val="002B0145"/>
    <w:rsid w:val="002B0948"/>
    <w:rsid w:val="002B1001"/>
    <w:rsid w:val="002B21F5"/>
    <w:rsid w:val="002B257D"/>
    <w:rsid w:val="002B2A75"/>
    <w:rsid w:val="002B4BCE"/>
    <w:rsid w:val="002B5A4E"/>
    <w:rsid w:val="002B6C90"/>
    <w:rsid w:val="002C11DD"/>
    <w:rsid w:val="002C193B"/>
    <w:rsid w:val="002C25A9"/>
    <w:rsid w:val="002C3318"/>
    <w:rsid w:val="002C3F3E"/>
    <w:rsid w:val="002C435D"/>
    <w:rsid w:val="002C49F0"/>
    <w:rsid w:val="002C583B"/>
    <w:rsid w:val="002C6E65"/>
    <w:rsid w:val="002C7BED"/>
    <w:rsid w:val="002D0E71"/>
    <w:rsid w:val="002D1290"/>
    <w:rsid w:val="002D23FE"/>
    <w:rsid w:val="002D2AB0"/>
    <w:rsid w:val="002D3958"/>
    <w:rsid w:val="002D3F55"/>
    <w:rsid w:val="002D4502"/>
    <w:rsid w:val="002D4745"/>
    <w:rsid w:val="002D4ECF"/>
    <w:rsid w:val="002D529C"/>
    <w:rsid w:val="002D5970"/>
    <w:rsid w:val="002D5B7E"/>
    <w:rsid w:val="002D5D65"/>
    <w:rsid w:val="002D5E4D"/>
    <w:rsid w:val="002D5E89"/>
    <w:rsid w:val="002D62F9"/>
    <w:rsid w:val="002D7AA1"/>
    <w:rsid w:val="002D7F09"/>
    <w:rsid w:val="002E129A"/>
    <w:rsid w:val="002E1D81"/>
    <w:rsid w:val="002E1E42"/>
    <w:rsid w:val="002E1F9D"/>
    <w:rsid w:val="002E2B64"/>
    <w:rsid w:val="002E2FF1"/>
    <w:rsid w:val="002E30DA"/>
    <w:rsid w:val="002E48D6"/>
    <w:rsid w:val="002E5E69"/>
    <w:rsid w:val="002E5FE2"/>
    <w:rsid w:val="002E6226"/>
    <w:rsid w:val="002E6B6E"/>
    <w:rsid w:val="002E6FDD"/>
    <w:rsid w:val="002E71EA"/>
    <w:rsid w:val="002E73D9"/>
    <w:rsid w:val="002E79C4"/>
    <w:rsid w:val="002E7B5D"/>
    <w:rsid w:val="002F0070"/>
    <w:rsid w:val="002F0AF7"/>
    <w:rsid w:val="002F1566"/>
    <w:rsid w:val="002F3766"/>
    <w:rsid w:val="002F440C"/>
    <w:rsid w:val="002F4BDA"/>
    <w:rsid w:val="002F4DEC"/>
    <w:rsid w:val="002F51EA"/>
    <w:rsid w:val="002F5571"/>
    <w:rsid w:val="002F5A15"/>
    <w:rsid w:val="002F5ED6"/>
    <w:rsid w:val="002F6029"/>
    <w:rsid w:val="002F717B"/>
    <w:rsid w:val="00300140"/>
    <w:rsid w:val="00300169"/>
    <w:rsid w:val="00300E95"/>
    <w:rsid w:val="00301579"/>
    <w:rsid w:val="00301582"/>
    <w:rsid w:val="00301ED9"/>
    <w:rsid w:val="00302A78"/>
    <w:rsid w:val="00302CA0"/>
    <w:rsid w:val="003043EE"/>
    <w:rsid w:val="00304C1E"/>
    <w:rsid w:val="003054FF"/>
    <w:rsid w:val="00305FB1"/>
    <w:rsid w:val="00306E79"/>
    <w:rsid w:val="00307122"/>
    <w:rsid w:val="00307689"/>
    <w:rsid w:val="003077F3"/>
    <w:rsid w:val="003103B2"/>
    <w:rsid w:val="00310A0B"/>
    <w:rsid w:val="00310A76"/>
    <w:rsid w:val="0031216D"/>
    <w:rsid w:val="00312289"/>
    <w:rsid w:val="003127DF"/>
    <w:rsid w:val="003136CB"/>
    <w:rsid w:val="00313D22"/>
    <w:rsid w:val="00313E66"/>
    <w:rsid w:val="003142D7"/>
    <w:rsid w:val="00314450"/>
    <w:rsid w:val="003144F0"/>
    <w:rsid w:val="00314A5A"/>
    <w:rsid w:val="00315385"/>
    <w:rsid w:val="0031555A"/>
    <w:rsid w:val="0031581C"/>
    <w:rsid w:val="00315EA2"/>
    <w:rsid w:val="00316479"/>
    <w:rsid w:val="00316BD2"/>
    <w:rsid w:val="00320017"/>
    <w:rsid w:val="0032014F"/>
    <w:rsid w:val="003201A5"/>
    <w:rsid w:val="00320831"/>
    <w:rsid w:val="00320C96"/>
    <w:rsid w:val="0032180D"/>
    <w:rsid w:val="00321BC7"/>
    <w:rsid w:val="00321D6F"/>
    <w:rsid w:val="003223EA"/>
    <w:rsid w:val="0032261E"/>
    <w:rsid w:val="00322736"/>
    <w:rsid w:val="003227DD"/>
    <w:rsid w:val="0032337A"/>
    <w:rsid w:val="00323DA3"/>
    <w:rsid w:val="00324205"/>
    <w:rsid w:val="00325073"/>
    <w:rsid w:val="00325820"/>
    <w:rsid w:val="00325B57"/>
    <w:rsid w:val="00325B75"/>
    <w:rsid w:val="003262BE"/>
    <w:rsid w:val="0032665F"/>
    <w:rsid w:val="00326FC4"/>
    <w:rsid w:val="00327F82"/>
    <w:rsid w:val="00330EE0"/>
    <w:rsid w:val="00330F20"/>
    <w:rsid w:val="00332545"/>
    <w:rsid w:val="003327BB"/>
    <w:rsid w:val="00333401"/>
    <w:rsid w:val="003343BF"/>
    <w:rsid w:val="00334CAC"/>
    <w:rsid w:val="0033500C"/>
    <w:rsid w:val="003351B8"/>
    <w:rsid w:val="00335EF8"/>
    <w:rsid w:val="0033611E"/>
    <w:rsid w:val="003364A0"/>
    <w:rsid w:val="0033772C"/>
    <w:rsid w:val="00340848"/>
    <w:rsid w:val="0034087A"/>
    <w:rsid w:val="00341DB2"/>
    <w:rsid w:val="003422F6"/>
    <w:rsid w:val="00343FE2"/>
    <w:rsid w:val="0034416E"/>
    <w:rsid w:val="00344B48"/>
    <w:rsid w:val="0034527A"/>
    <w:rsid w:val="00345AA8"/>
    <w:rsid w:val="00345B3D"/>
    <w:rsid w:val="00345B71"/>
    <w:rsid w:val="00345D12"/>
    <w:rsid w:val="00345E9A"/>
    <w:rsid w:val="00346686"/>
    <w:rsid w:val="003467CB"/>
    <w:rsid w:val="00347583"/>
    <w:rsid w:val="00347E3D"/>
    <w:rsid w:val="003500FA"/>
    <w:rsid w:val="00350C6C"/>
    <w:rsid w:val="00350E3E"/>
    <w:rsid w:val="0035115C"/>
    <w:rsid w:val="003516D5"/>
    <w:rsid w:val="00351BBB"/>
    <w:rsid w:val="003521DC"/>
    <w:rsid w:val="00352A82"/>
    <w:rsid w:val="00352B7E"/>
    <w:rsid w:val="00352EFF"/>
    <w:rsid w:val="00354666"/>
    <w:rsid w:val="00354781"/>
    <w:rsid w:val="003548B5"/>
    <w:rsid w:val="003552F4"/>
    <w:rsid w:val="0035594E"/>
    <w:rsid w:val="00356119"/>
    <w:rsid w:val="00356F68"/>
    <w:rsid w:val="00357088"/>
    <w:rsid w:val="00357272"/>
    <w:rsid w:val="003608CA"/>
    <w:rsid w:val="0036172F"/>
    <w:rsid w:val="003623A2"/>
    <w:rsid w:val="00362837"/>
    <w:rsid w:val="003631A7"/>
    <w:rsid w:val="00363FC7"/>
    <w:rsid w:val="00364361"/>
    <w:rsid w:val="00364A51"/>
    <w:rsid w:val="00364B53"/>
    <w:rsid w:val="003653EA"/>
    <w:rsid w:val="00365A6D"/>
    <w:rsid w:val="00366351"/>
    <w:rsid w:val="00366680"/>
    <w:rsid w:val="0036685E"/>
    <w:rsid w:val="00366A90"/>
    <w:rsid w:val="00367ABE"/>
    <w:rsid w:val="003704DF"/>
    <w:rsid w:val="003705B9"/>
    <w:rsid w:val="003706A8"/>
    <w:rsid w:val="003712D3"/>
    <w:rsid w:val="00371469"/>
    <w:rsid w:val="00371EF9"/>
    <w:rsid w:val="00372D6E"/>
    <w:rsid w:val="00373ECC"/>
    <w:rsid w:val="00373F15"/>
    <w:rsid w:val="00374000"/>
    <w:rsid w:val="00374832"/>
    <w:rsid w:val="00374B2D"/>
    <w:rsid w:val="00375352"/>
    <w:rsid w:val="003753BB"/>
    <w:rsid w:val="003754C7"/>
    <w:rsid w:val="00375F59"/>
    <w:rsid w:val="003761F2"/>
    <w:rsid w:val="003762F7"/>
    <w:rsid w:val="0037663E"/>
    <w:rsid w:val="00376D50"/>
    <w:rsid w:val="00376FF9"/>
    <w:rsid w:val="003772B9"/>
    <w:rsid w:val="0038059E"/>
    <w:rsid w:val="00380F2B"/>
    <w:rsid w:val="00381210"/>
    <w:rsid w:val="0038160C"/>
    <w:rsid w:val="003817E3"/>
    <w:rsid w:val="003821D0"/>
    <w:rsid w:val="003822F7"/>
    <w:rsid w:val="00382ECF"/>
    <w:rsid w:val="00383FE4"/>
    <w:rsid w:val="003841ED"/>
    <w:rsid w:val="00384826"/>
    <w:rsid w:val="0038595A"/>
    <w:rsid w:val="0038672D"/>
    <w:rsid w:val="00386DAA"/>
    <w:rsid w:val="00387531"/>
    <w:rsid w:val="00387828"/>
    <w:rsid w:val="00387C2A"/>
    <w:rsid w:val="0039044B"/>
    <w:rsid w:val="003906CE"/>
    <w:rsid w:val="003913C4"/>
    <w:rsid w:val="00391DB3"/>
    <w:rsid w:val="00392A1C"/>
    <w:rsid w:val="00393082"/>
    <w:rsid w:val="00393187"/>
    <w:rsid w:val="00394EF4"/>
    <w:rsid w:val="00395252"/>
    <w:rsid w:val="00396874"/>
    <w:rsid w:val="00396D35"/>
    <w:rsid w:val="003973D3"/>
    <w:rsid w:val="00397479"/>
    <w:rsid w:val="003976F8"/>
    <w:rsid w:val="00397DAA"/>
    <w:rsid w:val="003A0148"/>
    <w:rsid w:val="003A025B"/>
    <w:rsid w:val="003A0717"/>
    <w:rsid w:val="003A0D24"/>
    <w:rsid w:val="003A1A8D"/>
    <w:rsid w:val="003A1CBA"/>
    <w:rsid w:val="003A1DF4"/>
    <w:rsid w:val="003A2335"/>
    <w:rsid w:val="003A42B3"/>
    <w:rsid w:val="003A4A53"/>
    <w:rsid w:val="003A4ACB"/>
    <w:rsid w:val="003A5244"/>
    <w:rsid w:val="003A540F"/>
    <w:rsid w:val="003A56B1"/>
    <w:rsid w:val="003A5C1E"/>
    <w:rsid w:val="003A60D7"/>
    <w:rsid w:val="003A6244"/>
    <w:rsid w:val="003A6769"/>
    <w:rsid w:val="003A6B6D"/>
    <w:rsid w:val="003A7347"/>
    <w:rsid w:val="003B09BE"/>
    <w:rsid w:val="003B1215"/>
    <w:rsid w:val="003B16E7"/>
    <w:rsid w:val="003B1C95"/>
    <w:rsid w:val="003B2315"/>
    <w:rsid w:val="003B27FF"/>
    <w:rsid w:val="003B29F5"/>
    <w:rsid w:val="003B341E"/>
    <w:rsid w:val="003B378C"/>
    <w:rsid w:val="003B3A87"/>
    <w:rsid w:val="003B45C9"/>
    <w:rsid w:val="003B4F15"/>
    <w:rsid w:val="003B5D47"/>
    <w:rsid w:val="003B61C1"/>
    <w:rsid w:val="003B69B3"/>
    <w:rsid w:val="003B6FC1"/>
    <w:rsid w:val="003B7B9A"/>
    <w:rsid w:val="003C00ED"/>
    <w:rsid w:val="003C017F"/>
    <w:rsid w:val="003C0EBB"/>
    <w:rsid w:val="003C116D"/>
    <w:rsid w:val="003C206F"/>
    <w:rsid w:val="003C26FE"/>
    <w:rsid w:val="003C347E"/>
    <w:rsid w:val="003C4548"/>
    <w:rsid w:val="003C485A"/>
    <w:rsid w:val="003C4FEF"/>
    <w:rsid w:val="003C59C5"/>
    <w:rsid w:val="003C5E5B"/>
    <w:rsid w:val="003C640B"/>
    <w:rsid w:val="003C664E"/>
    <w:rsid w:val="003C6EDA"/>
    <w:rsid w:val="003C6F4B"/>
    <w:rsid w:val="003C7A17"/>
    <w:rsid w:val="003D0745"/>
    <w:rsid w:val="003D180C"/>
    <w:rsid w:val="003D1EF1"/>
    <w:rsid w:val="003D21E6"/>
    <w:rsid w:val="003D27F6"/>
    <w:rsid w:val="003D349F"/>
    <w:rsid w:val="003D3A18"/>
    <w:rsid w:val="003D4093"/>
    <w:rsid w:val="003D409D"/>
    <w:rsid w:val="003D425D"/>
    <w:rsid w:val="003D5282"/>
    <w:rsid w:val="003D5BF0"/>
    <w:rsid w:val="003D6690"/>
    <w:rsid w:val="003D73FA"/>
    <w:rsid w:val="003D7E2B"/>
    <w:rsid w:val="003E0BA2"/>
    <w:rsid w:val="003E0DA5"/>
    <w:rsid w:val="003E1890"/>
    <w:rsid w:val="003E1979"/>
    <w:rsid w:val="003E29D5"/>
    <w:rsid w:val="003E3056"/>
    <w:rsid w:val="003E33F7"/>
    <w:rsid w:val="003E3556"/>
    <w:rsid w:val="003E38FE"/>
    <w:rsid w:val="003E3E4B"/>
    <w:rsid w:val="003E3E85"/>
    <w:rsid w:val="003E45DF"/>
    <w:rsid w:val="003E4832"/>
    <w:rsid w:val="003E4CC1"/>
    <w:rsid w:val="003E694E"/>
    <w:rsid w:val="003E6B9E"/>
    <w:rsid w:val="003E73BC"/>
    <w:rsid w:val="003E74EF"/>
    <w:rsid w:val="003F293E"/>
    <w:rsid w:val="003F2BFF"/>
    <w:rsid w:val="003F3609"/>
    <w:rsid w:val="003F3DF9"/>
    <w:rsid w:val="003F3F8F"/>
    <w:rsid w:val="003F4ECB"/>
    <w:rsid w:val="003F4F64"/>
    <w:rsid w:val="003F50D6"/>
    <w:rsid w:val="003F55A6"/>
    <w:rsid w:val="003F60B3"/>
    <w:rsid w:val="003F7B43"/>
    <w:rsid w:val="003F7F61"/>
    <w:rsid w:val="00400666"/>
    <w:rsid w:val="00400910"/>
    <w:rsid w:val="004009FD"/>
    <w:rsid w:val="00400A6B"/>
    <w:rsid w:val="00400B93"/>
    <w:rsid w:val="0040135E"/>
    <w:rsid w:val="004015BE"/>
    <w:rsid w:val="004023EA"/>
    <w:rsid w:val="004023FC"/>
    <w:rsid w:val="00403633"/>
    <w:rsid w:val="00403DFF"/>
    <w:rsid w:val="00404945"/>
    <w:rsid w:val="00404B25"/>
    <w:rsid w:val="00404D7C"/>
    <w:rsid w:val="00405B0F"/>
    <w:rsid w:val="00406ADE"/>
    <w:rsid w:val="00406D52"/>
    <w:rsid w:val="00407604"/>
    <w:rsid w:val="0041094B"/>
    <w:rsid w:val="00411863"/>
    <w:rsid w:val="00411DCD"/>
    <w:rsid w:val="00412128"/>
    <w:rsid w:val="00412A70"/>
    <w:rsid w:val="00412F51"/>
    <w:rsid w:val="00413535"/>
    <w:rsid w:val="00413976"/>
    <w:rsid w:val="00415E10"/>
    <w:rsid w:val="00416A72"/>
    <w:rsid w:val="00416F42"/>
    <w:rsid w:val="004203E3"/>
    <w:rsid w:val="00420B3C"/>
    <w:rsid w:val="004211D4"/>
    <w:rsid w:val="00421848"/>
    <w:rsid w:val="00421CC7"/>
    <w:rsid w:val="00421D65"/>
    <w:rsid w:val="0042281B"/>
    <w:rsid w:val="00422C56"/>
    <w:rsid w:val="00422DE0"/>
    <w:rsid w:val="00423517"/>
    <w:rsid w:val="00424E15"/>
    <w:rsid w:val="004254F9"/>
    <w:rsid w:val="00425ACE"/>
    <w:rsid w:val="0042664C"/>
    <w:rsid w:val="00426BBE"/>
    <w:rsid w:val="004276AE"/>
    <w:rsid w:val="00427779"/>
    <w:rsid w:val="004303DB"/>
    <w:rsid w:val="004308D5"/>
    <w:rsid w:val="00430CFB"/>
    <w:rsid w:val="00430D87"/>
    <w:rsid w:val="00431BC3"/>
    <w:rsid w:val="00431EEB"/>
    <w:rsid w:val="00432E66"/>
    <w:rsid w:val="00432FC0"/>
    <w:rsid w:val="00433236"/>
    <w:rsid w:val="00433523"/>
    <w:rsid w:val="00434B22"/>
    <w:rsid w:val="00434B2E"/>
    <w:rsid w:val="00434C48"/>
    <w:rsid w:val="00434DDD"/>
    <w:rsid w:val="004351FB"/>
    <w:rsid w:val="00435298"/>
    <w:rsid w:val="0043547B"/>
    <w:rsid w:val="00435E61"/>
    <w:rsid w:val="004361E0"/>
    <w:rsid w:val="004377D3"/>
    <w:rsid w:val="00437C2C"/>
    <w:rsid w:val="00437D38"/>
    <w:rsid w:val="0044176B"/>
    <w:rsid w:val="00441DCE"/>
    <w:rsid w:val="004420BC"/>
    <w:rsid w:val="00442F1C"/>
    <w:rsid w:val="004432D2"/>
    <w:rsid w:val="00443421"/>
    <w:rsid w:val="00443928"/>
    <w:rsid w:val="00443F81"/>
    <w:rsid w:val="00444B50"/>
    <w:rsid w:val="0044574F"/>
    <w:rsid w:val="004458D1"/>
    <w:rsid w:val="00446643"/>
    <w:rsid w:val="00446E0C"/>
    <w:rsid w:val="004506DE"/>
    <w:rsid w:val="00450A22"/>
    <w:rsid w:val="00450B1A"/>
    <w:rsid w:val="004513C5"/>
    <w:rsid w:val="0045141D"/>
    <w:rsid w:val="00451554"/>
    <w:rsid w:val="00453350"/>
    <w:rsid w:val="00453E5B"/>
    <w:rsid w:val="00454264"/>
    <w:rsid w:val="004543F0"/>
    <w:rsid w:val="00455327"/>
    <w:rsid w:val="00455CD8"/>
    <w:rsid w:val="00455D33"/>
    <w:rsid w:val="0045643D"/>
    <w:rsid w:val="0045669D"/>
    <w:rsid w:val="004569CD"/>
    <w:rsid w:val="00457465"/>
    <w:rsid w:val="00457BBD"/>
    <w:rsid w:val="0046081A"/>
    <w:rsid w:val="00460A88"/>
    <w:rsid w:val="0046136A"/>
    <w:rsid w:val="00462423"/>
    <w:rsid w:val="0046329C"/>
    <w:rsid w:val="004657A0"/>
    <w:rsid w:val="00466122"/>
    <w:rsid w:val="004661E2"/>
    <w:rsid w:val="00466B9A"/>
    <w:rsid w:val="00466CF0"/>
    <w:rsid w:val="00466F1B"/>
    <w:rsid w:val="004672D0"/>
    <w:rsid w:val="0046768E"/>
    <w:rsid w:val="00467E25"/>
    <w:rsid w:val="0047058F"/>
    <w:rsid w:val="00470846"/>
    <w:rsid w:val="00471221"/>
    <w:rsid w:val="00471919"/>
    <w:rsid w:val="00472238"/>
    <w:rsid w:val="004725F8"/>
    <w:rsid w:val="00472ABF"/>
    <w:rsid w:val="0047330A"/>
    <w:rsid w:val="00473680"/>
    <w:rsid w:val="00473897"/>
    <w:rsid w:val="00473F67"/>
    <w:rsid w:val="00474411"/>
    <w:rsid w:val="004750FD"/>
    <w:rsid w:val="00475513"/>
    <w:rsid w:val="004755EA"/>
    <w:rsid w:val="0047601D"/>
    <w:rsid w:val="004769DC"/>
    <w:rsid w:val="004801EB"/>
    <w:rsid w:val="00480AC7"/>
    <w:rsid w:val="00480CF0"/>
    <w:rsid w:val="0048126B"/>
    <w:rsid w:val="00481B3F"/>
    <w:rsid w:val="00482155"/>
    <w:rsid w:val="00482709"/>
    <w:rsid w:val="00482B88"/>
    <w:rsid w:val="00482DDA"/>
    <w:rsid w:val="0048396F"/>
    <w:rsid w:val="00483A7F"/>
    <w:rsid w:val="00483BB2"/>
    <w:rsid w:val="00483CC2"/>
    <w:rsid w:val="00483E2D"/>
    <w:rsid w:val="00483FCB"/>
    <w:rsid w:val="00484589"/>
    <w:rsid w:val="00484665"/>
    <w:rsid w:val="0048491A"/>
    <w:rsid w:val="00484C3B"/>
    <w:rsid w:val="00484FE9"/>
    <w:rsid w:val="004853D0"/>
    <w:rsid w:val="00485464"/>
    <w:rsid w:val="00485E82"/>
    <w:rsid w:val="00486D5C"/>
    <w:rsid w:val="00487947"/>
    <w:rsid w:val="00490090"/>
    <w:rsid w:val="004903D3"/>
    <w:rsid w:val="00490CEF"/>
    <w:rsid w:val="00490E26"/>
    <w:rsid w:val="00491990"/>
    <w:rsid w:val="00491B10"/>
    <w:rsid w:val="00492AA5"/>
    <w:rsid w:val="00492BBB"/>
    <w:rsid w:val="00494342"/>
    <w:rsid w:val="0049475E"/>
    <w:rsid w:val="00494812"/>
    <w:rsid w:val="00494E99"/>
    <w:rsid w:val="00495798"/>
    <w:rsid w:val="004958F9"/>
    <w:rsid w:val="004959A0"/>
    <w:rsid w:val="00497283"/>
    <w:rsid w:val="004977F0"/>
    <w:rsid w:val="00497E9D"/>
    <w:rsid w:val="004A0168"/>
    <w:rsid w:val="004A0AB9"/>
    <w:rsid w:val="004A0E66"/>
    <w:rsid w:val="004A13E0"/>
    <w:rsid w:val="004A28DC"/>
    <w:rsid w:val="004A29F6"/>
    <w:rsid w:val="004A2F92"/>
    <w:rsid w:val="004A401A"/>
    <w:rsid w:val="004A42EB"/>
    <w:rsid w:val="004A49CD"/>
    <w:rsid w:val="004A5524"/>
    <w:rsid w:val="004A563E"/>
    <w:rsid w:val="004A5933"/>
    <w:rsid w:val="004A600D"/>
    <w:rsid w:val="004A680A"/>
    <w:rsid w:val="004A726E"/>
    <w:rsid w:val="004A7E99"/>
    <w:rsid w:val="004A7E9D"/>
    <w:rsid w:val="004B1498"/>
    <w:rsid w:val="004B21CF"/>
    <w:rsid w:val="004B294B"/>
    <w:rsid w:val="004B2C9B"/>
    <w:rsid w:val="004B38CF"/>
    <w:rsid w:val="004B3F06"/>
    <w:rsid w:val="004B463F"/>
    <w:rsid w:val="004B4979"/>
    <w:rsid w:val="004B4E32"/>
    <w:rsid w:val="004B5394"/>
    <w:rsid w:val="004B6DD0"/>
    <w:rsid w:val="004C0868"/>
    <w:rsid w:val="004C172D"/>
    <w:rsid w:val="004C1920"/>
    <w:rsid w:val="004C197D"/>
    <w:rsid w:val="004C217A"/>
    <w:rsid w:val="004C2317"/>
    <w:rsid w:val="004C270A"/>
    <w:rsid w:val="004C3396"/>
    <w:rsid w:val="004C339C"/>
    <w:rsid w:val="004C34AE"/>
    <w:rsid w:val="004C35EE"/>
    <w:rsid w:val="004C3704"/>
    <w:rsid w:val="004C4232"/>
    <w:rsid w:val="004C519E"/>
    <w:rsid w:val="004C6C05"/>
    <w:rsid w:val="004C6E59"/>
    <w:rsid w:val="004C6FC6"/>
    <w:rsid w:val="004D0429"/>
    <w:rsid w:val="004D1C16"/>
    <w:rsid w:val="004D2CEE"/>
    <w:rsid w:val="004D3456"/>
    <w:rsid w:val="004D41DC"/>
    <w:rsid w:val="004D4248"/>
    <w:rsid w:val="004D4B00"/>
    <w:rsid w:val="004D5104"/>
    <w:rsid w:val="004D511D"/>
    <w:rsid w:val="004D5393"/>
    <w:rsid w:val="004D572D"/>
    <w:rsid w:val="004D638E"/>
    <w:rsid w:val="004D6D83"/>
    <w:rsid w:val="004D7D03"/>
    <w:rsid w:val="004D7EDA"/>
    <w:rsid w:val="004E1322"/>
    <w:rsid w:val="004E245D"/>
    <w:rsid w:val="004E285C"/>
    <w:rsid w:val="004E2F79"/>
    <w:rsid w:val="004E32B1"/>
    <w:rsid w:val="004E408E"/>
    <w:rsid w:val="004E4357"/>
    <w:rsid w:val="004E4947"/>
    <w:rsid w:val="004E4FD3"/>
    <w:rsid w:val="004E5299"/>
    <w:rsid w:val="004E5C07"/>
    <w:rsid w:val="004E63AB"/>
    <w:rsid w:val="004E67D8"/>
    <w:rsid w:val="004E6849"/>
    <w:rsid w:val="004E793C"/>
    <w:rsid w:val="004E7EA9"/>
    <w:rsid w:val="004F072D"/>
    <w:rsid w:val="004F08F2"/>
    <w:rsid w:val="004F1643"/>
    <w:rsid w:val="004F1CFC"/>
    <w:rsid w:val="004F1FFE"/>
    <w:rsid w:val="004F21DA"/>
    <w:rsid w:val="004F4596"/>
    <w:rsid w:val="004F5544"/>
    <w:rsid w:val="004F5705"/>
    <w:rsid w:val="004F5E7C"/>
    <w:rsid w:val="004F60E7"/>
    <w:rsid w:val="004F627B"/>
    <w:rsid w:val="0050047D"/>
    <w:rsid w:val="00500811"/>
    <w:rsid w:val="00500CA0"/>
    <w:rsid w:val="00502E00"/>
    <w:rsid w:val="00503008"/>
    <w:rsid w:val="005030EC"/>
    <w:rsid w:val="00503488"/>
    <w:rsid w:val="00505D83"/>
    <w:rsid w:val="005071BD"/>
    <w:rsid w:val="00510928"/>
    <w:rsid w:val="00510A94"/>
    <w:rsid w:val="00510C34"/>
    <w:rsid w:val="00511A47"/>
    <w:rsid w:val="00511BC6"/>
    <w:rsid w:val="00512D93"/>
    <w:rsid w:val="00512F28"/>
    <w:rsid w:val="00513204"/>
    <w:rsid w:val="00514306"/>
    <w:rsid w:val="005147C4"/>
    <w:rsid w:val="005151A8"/>
    <w:rsid w:val="0051676E"/>
    <w:rsid w:val="00516B15"/>
    <w:rsid w:val="005178BB"/>
    <w:rsid w:val="005212C1"/>
    <w:rsid w:val="00521AF4"/>
    <w:rsid w:val="00521B18"/>
    <w:rsid w:val="00522EF9"/>
    <w:rsid w:val="00522FE5"/>
    <w:rsid w:val="00523573"/>
    <w:rsid w:val="00525002"/>
    <w:rsid w:val="00525322"/>
    <w:rsid w:val="00526A33"/>
    <w:rsid w:val="005277ED"/>
    <w:rsid w:val="00527846"/>
    <w:rsid w:val="005278B9"/>
    <w:rsid w:val="005308EF"/>
    <w:rsid w:val="00530DC8"/>
    <w:rsid w:val="00530E8D"/>
    <w:rsid w:val="005314E1"/>
    <w:rsid w:val="00531C04"/>
    <w:rsid w:val="00531E9A"/>
    <w:rsid w:val="00531F37"/>
    <w:rsid w:val="00532523"/>
    <w:rsid w:val="00532D6C"/>
    <w:rsid w:val="00535478"/>
    <w:rsid w:val="00535919"/>
    <w:rsid w:val="0053649F"/>
    <w:rsid w:val="00536BDC"/>
    <w:rsid w:val="005372B4"/>
    <w:rsid w:val="0053751B"/>
    <w:rsid w:val="005378FB"/>
    <w:rsid w:val="00540179"/>
    <w:rsid w:val="00541015"/>
    <w:rsid w:val="005414B2"/>
    <w:rsid w:val="00541C32"/>
    <w:rsid w:val="00542321"/>
    <w:rsid w:val="0054270B"/>
    <w:rsid w:val="00544943"/>
    <w:rsid w:val="005461D4"/>
    <w:rsid w:val="00546800"/>
    <w:rsid w:val="00546A24"/>
    <w:rsid w:val="00547928"/>
    <w:rsid w:val="0054793A"/>
    <w:rsid w:val="0054797C"/>
    <w:rsid w:val="005503D3"/>
    <w:rsid w:val="00550484"/>
    <w:rsid w:val="005516A2"/>
    <w:rsid w:val="005519D1"/>
    <w:rsid w:val="00551B3E"/>
    <w:rsid w:val="00551C68"/>
    <w:rsid w:val="005520C2"/>
    <w:rsid w:val="0055247D"/>
    <w:rsid w:val="005536B5"/>
    <w:rsid w:val="00553DB5"/>
    <w:rsid w:val="00553DE7"/>
    <w:rsid w:val="00554AC2"/>
    <w:rsid w:val="00554FCC"/>
    <w:rsid w:val="00556139"/>
    <w:rsid w:val="005561A3"/>
    <w:rsid w:val="00556517"/>
    <w:rsid w:val="00556EB0"/>
    <w:rsid w:val="0055728D"/>
    <w:rsid w:val="00560149"/>
    <w:rsid w:val="0056097E"/>
    <w:rsid w:val="00560DF6"/>
    <w:rsid w:val="0056153F"/>
    <w:rsid w:val="005620D2"/>
    <w:rsid w:val="0056211A"/>
    <w:rsid w:val="00562F54"/>
    <w:rsid w:val="005631D3"/>
    <w:rsid w:val="00563827"/>
    <w:rsid w:val="00563B60"/>
    <w:rsid w:val="00564EA9"/>
    <w:rsid w:val="00564F3B"/>
    <w:rsid w:val="00565BF5"/>
    <w:rsid w:val="00566B8E"/>
    <w:rsid w:val="00567430"/>
    <w:rsid w:val="00570029"/>
    <w:rsid w:val="0057073C"/>
    <w:rsid w:val="005707A0"/>
    <w:rsid w:val="005708D2"/>
    <w:rsid w:val="005708F6"/>
    <w:rsid w:val="005709DD"/>
    <w:rsid w:val="00570A30"/>
    <w:rsid w:val="00570F86"/>
    <w:rsid w:val="0057115F"/>
    <w:rsid w:val="00572C9C"/>
    <w:rsid w:val="00573138"/>
    <w:rsid w:val="0057395F"/>
    <w:rsid w:val="00573989"/>
    <w:rsid w:val="00574336"/>
    <w:rsid w:val="00574425"/>
    <w:rsid w:val="0057683B"/>
    <w:rsid w:val="00576EF3"/>
    <w:rsid w:val="0057707A"/>
    <w:rsid w:val="00580D89"/>
    <w:rsid w:val="00580FE7"/>
    <w:rsid w:val="005815F0"/>
    <w:rsid w:val="005819BF"/>
    <w:rsid w:val="00582989"/>
    <w:rsid w:val="00583224"/>
    <w:rsid w:val="00583785"/>
    <w:rsid w:val="005849FE"/>
    <w:rsid w:val="00584B50"/>
    <w:rsid w:val="00584CDD"/>
    <w:rsid w:val="00585AAC"/>
    <w:rsid w:val="00585BBB"/>
    <w:rsid w:val="00585EAF"/>
    <w:rsid w:val="00585F62"/>
    <w:rsid w:val="005867BE"/>
    <w:rsid w:val="00586C75"/>
    <w:rsid w:val="00586CB2"/>
    <w:rsid w:val="00587456"/>
    <w:rsid w:val="00590582"/>
    <w:rsid w:val="00590D96"/>
    <w:rsid w:val="00591366"/>
    <w:rsid w:val="005917A2"/>
    <w:rsid w:val="00591A2F"/>
    <w:rsid w:val="00591C36"/>
    <w:rsid w:val="00592EB0"/>
    <w:rsid w:val="00592FD3"/>
    <w:rsid w:val="0059326F"/>
    <w:rsid w:val="00593547"/>
    <w:rsid w:val="005939BA"/>
    <w:rsid w:val="00593B01"/>
    <w:rsid w:val="00593D4D"/>
    <w:rsid w:val="00594974"/>
    <w:rsid w:val="00594CB9"/>
    <w:rsid w:val="00594E2C"/>
    <w:rsid w:val="0059516E"/>
    <w:rsid w:val="005951EF"/>
    <w:rsid w:val="00596015"/>
    <w:rsid w:val="005961AA"/>
    <w:rsid w:val="005966D5"/>
    <w:rsid w:val="00596DE8"/>
    <w:rsid w:val="00597052"/>
    <w:rsid w:val="00597181"/>
    <w:rsid w:val="00597C7E"/>
    <w:rsid w:val="005A0E63"/>
    <w:rsid w:val="005A106B"/>
    <w:rsid w:val="005A1FC1"/>
    <w:rsid w:val="005A24AD"/>
    <w:rsid w:val="005A27B4"/>
    <w:rsid w:val="005A2C78"/>
    <w:rsid w:val="005A2F38"/>
    <w:rsid w:val="005A3D9B"/>
    <w:rsid w:val="005A3F4B"/>
    <w:rsid w:val="005A4131"/>
    <w:rsid w:val="005A48AD"/>
    <w:rsid w:val="005A49B8"/>
    <w:rsid w:val="005A4AB9"/>
    <w:rsid w:val="005A51E3"/>
    <w:rsid w:val="005A53C3"/>
    <w:rsid w:val="005A53F8"/>
    <w:rsid w:val="005A60A7"/>
    <w:rsid w:val="005A62E5"/>
    <w:rsid w:val="005A663A"/>
    <w:rsid w:val="005A6D70"/>
    <w:rsid w:val="005A7D62"/>
    <w:rsid w:val="005B0D87"/>
    <w:rsid w:val="005B1323"/>
    <w:rsid w:val="005B1A71"/>
    <w:rsid w:val="005B1F7D"/>
    <w:rsid w:val="005B2945"/>
    <w:rsid w:val="005B2C63"/>
    <w:rsid w:val="005B2D92"/>
    <w:rsid w:val="005B31DC"/>
    <w:rsid w:val="005B3433"/>
    <w:rsid w:val="005B3CDE"/>
    <w:rsid w:val="005B405F"/>
    <w:rsid w:val="005B425F"/>
    <w:rsid w:val="005B5426"/>
    <w:rsid w:val="005B5F18"/>
    <w:rsid w:val="005B73E7"/>
    <w:rsid w:val="005B764C"/>
    <w:rsid w:val="005B7915"/>
    <w:rsid w:val="005B7F19"/>
    <w:rsid w:val="005C057C"/>
    <w:rsid w:val="005C395B"/>
    <w:rsid w:val="005C43AA"/>
    <w:rsid w:val="005C493D"/>
    <w:rsid w:val="005C5B06"/>
    <w:rsid w:val="005C6028"/>
    <w:rsid w:val="005C6C73"/>
    <w:rsid w:val="005C73CB"/>
    <w:rsid w:val="005C78DE"/>
    <w:rsid w:val="005C7AF7"/>
    <w:rsid w:val="005D0551"/>
    <w:rsid w:val="005D0680"/>
    <w:rsid w:val="005D0BDA"/>
    <w:rsid w:val="005D2007"/>
    <w:rsid w:val="005D2573"/>
    <w:rsid w:val="005D2719"/>
    <w:rsid w:val="005D3CD4"/>
    <w:rsid w:val="005D4D57"/>
    <w:rsid w:val="005D5017"/>
    <w:rsid w:val="005D5E24"/>
    <w:rsid w:val="005D7070"/>
    <w:rsid w:val="005D75D0"/>
    <w:rsid w:val="005D7B40"/>
    <w:rsid w:val="005D7E47"/>
    <w:rsid w:val="005E06AD"/>
    <w:rsid w:val="005E07CD"/>
    <w:rsid w:val="005E088A"/>
    <w:rsid w:val="005E0C0D"/>
    <w:rsid w:val="005E1ADE"/>
    <w:rsid w:val="005E1BCA"/>
    <w:rsid w:val="005E22A1"/>
    <w:rsid w:val="005E234C"/>
    <w:rsid w:val="005E37DD"/>
    <w:rsid w:val="005E5866"/>
    <w:rsid w:val="005E5AE2"/>
    <w:rsid w:val="005E5F93"/>
    <w:rsid w:val="005E6018"/>
    <w:rsid w:val="005E67AD"/>
    <w:rsid w:val="005E6C16"/>
    <w:rsid w:val="005E7040"/>
    <w:rsid w:val="005E73BD"/>
    <w:rsid w:val="005E779C"/>
    <w:rsid w:val="005E7B18"/>
    <w:rsid w:val="005E7DFF"/>
    <w:rsid w:val="005F0649"/>
    <w:rsid w:val="005F267C"/>
    <w:rsid w:val="005F27A0"/>
    <w:rsid w:val="005F282B"/>
    <w:rsid w:val="005F3F56"/>
    <w:rsid w:val="005F506C"/>
    <w:rsid w:val="005F5683"/>
    <w:rsid w:val="005F5FDE"/>
    <w:rsid w:val="005F645B"/>
    <w:rsid w:val="005F64E2"/>
    <w:rsid w:val="005F6DA3"/>
    <w:rsid w:val="005F7B21"/>
    <w:rsid w:val="005F7D0E"/>
    <w:rsid w:val="006004E2"/>
    <w:rsid w:val="006014D4"/>
    <w:rsid w:val="00601749"/>
    <w:rsid w:val="006020C9"/>
    <w:rsid w:val="0060230F"/>
    <w:rsid w:val="006030B4"/>
    <w:rsid w:val="0060382F"/>
    <w:rsid w:val="0060384D"/>
    <w:rsid w:val="006046F7"/>
    <w:rsid w:val="00604B03"/>
    <w:rsid w:val="006053D1"/>
    <w:rsid w:val="00607888"/>
    <w:rsid w:val="00607D8D"/>
    <w:rsid w:val="00607E31"/>
    <w:rsid w:val="006104BF"/>
    <w:rsid w:val="00610759"/>
    <w:rsid w:val="006109EE"/>
    <w:rsid w:val="0061200B"/>
    <w:rsid w:val="00612481"/>
    <w:rsid w:val="00613027"/>
    <w:rsid w:val="00613F44"/>
    <w:rsid w:val="006155E4"/>
    <w:rsid w:val="00615CA5"/>
    <w:rsid w:val="00615E84"/>
    <w:rsid w:val="0061651D"/>
    <w:rsid w:val="006165B5"/>
    <w:rsid w:val="0061748E"/>
    <w:rsid w:val="00617CCE"/>
    <w:rsid w:val="00617D88"/>
    <w:rsid w:val="00620509"/>
    <w:rsid w:val="00621355"/>
    <w:rsid w:val="0062167C"/>
    <w:rsid w:val="00621D48"/>
    <w:rsid w:val="00621E76"/>
    <w:rsid w:val="0062408E"/>
    <w:rsid w:val="006242E8"/>
    <w:rsid w:val="006246CA"/>
    <w:rsid w:val="00624BBF"/>
    <w:rsid w:val="0062592B"/>
    <w:rsid w:val="00625B0D"/>
    <w:rsid w:val="006263B6"/>
    <w:rsid w:val="0062677D"/>
    <w:rsid w:val="00627053"/>
    <w:rsid w:val="0062709B"/>
    <w:rsid w:val="006278CD"/>
    <w:rsid w:val="00630102"/>
    <w:rsid w:val="0063077C"/>
    <w:rsid w:val="0063172B"/>
    <w:rsid w:val="0063238F"/>
    <w:rsid w:val="0063243C"/>
    <w:rsid w:val="00633268"/>
    <w:rsid w:val="00633482"/>
    <w:rsid w:val="006338F8"/>
    <w:rsid w:val="006349CD"/>
    <w:rsid w:val="00634FBD"/>
    <w:rsid w:val="00635099"/>
    <w:rsid w:val="00635438"/>
    <w:rsid w:val="006358FE"/>
    <w:rsid w:val="00635B0B"/>
    <w:rsid w:val="00635C99"/>
    <w:rsid w:val="006362E7"/>
    <w:rsid w:val="0063748C"/>
    <w:rsid w:val="0064049B"/>
    <w:rsid w:val="00640595"/>
    <w:rsid w:val="00640A11"/>
    <w:rsid w:val="006415B4"/>
    <w:rsid w:val="00641C2A"/>
    <w:rsid w:val="006425C7"/>
    <w:rsid w:val="00642892"/>
    <w:rsid w:val="00643437"/>
    <w:rsid w:val="0064345C"/>
    <w:rsid w:val="00643970"/>
    <w:rsid w:val="00643B66"/>
    <w:rsid w:val="00643F6E"/>
    <w:rsid w:val="00644558"/>
    <w:rsid w:val="0064458E"/>
    <w:rsid w:val="006448CA"/>
    <w:rsid w:val="00644E46"/>
    <w:rsid w:val="00645A54"/>
    <w:rsid w:val="00646230"/>
    <w:rsid w:val="006462B4"/>
    <w:rsid w:val="006472B1"/>
    <w:rsid w:val="00647E8E"/>
    <w:rsid w:val="006508E9"/>
    <w:rsid w:val="00650F59"/>
    <w:rsid w:val="006511CD"/>
    <w:rsid w:val="0065127C"/>
    <w:rsid w:val="00651632"/>
    <w:rsid w:val="00651960"/>
    <w:rsid w:val="006521C4"/>
    <w:rsid w:val="006530AB"/>
    <w:rsid w:val="006537D4"/>
    <w:rsid w:val="0065393C"/>
    <w:rsid w:val="00654344"/>
    <w:rsid w:val="00654BDB"/>
    <w:rsid w:val="0065515D"/>
    <w:rsid w:val="006567FB"/>
    <w:rsid w:val="00656C2C"/>
    <w:rsid w:val="00656CFD"/>
    <w:rsid w:val="006606AC"/>
    <w:rsid w:val="006618F3"/>
    <w:rsid w:val="00662136"/>
    <w:rsid w:val="0066223D"/>
    <w:rsid w:val="00662840"/>
    <w:rsid w:val="00663A90"/>
    <w:rsid w:val="00663C1E"/>
    <w:rsid w:val="00664662"/>
    <w:rsid w:val="0066468C"/>
    <w:rsid w:val="006647B7"/>
    <w:rsid w:val="00664B8F"/>
    <w:rsid w:val="006650D9"/>
    <w:rsid w:val="00665924"/>
    <w:rsid w:val="00666712"/>
    <w:rsid w:val="00666CC1"/>
    <w:rsid w:val="00667E86"/>
    <w:rsid w:val="00670319"/>
    <w:rsid w:val="0067142C"/>
    <w:rsid w:val="00671EF4"/>
    <w:rsid w:val="0067202A"/>
    <w:rsid w:val="00672561"/>
    <w:rsid w:val="00673730"/>
    <w:rsid w:val="0067391B"/>
    <w:rsid w:val="00673FE1"/>
    <w:rsid w:val="006746A0"/>
    <w:rsid w:val="00675546"/>
    <w:rsid w:val="006762FD"/>
    <w:rsid w:val="0067635C"/>
    <w:rsid w:val="006777F8"/>
    <w:rsid w:val="00677843"/>
    <w:rsid w:val="00680885"/>
    <w:rsid w:val="00680A92"/>
    <w:rsid w:val="00681CA2"/>
    <w:rsid w:val="00681D14"/>
    <w:rsid w:val="006821A4"/>
    <w:rsid w:val="00682977"/>
    <w:rsid w:val="00683887"/>
    <w:rsid w:val="006841E3"/>
    <w:rsid w:val="00684AD1"/>
    <w:rsid w:val="00684F3D"/>
    <w:rsid w:val="00685507"/>
    <w:rsid w:val="006856CD"/>
    <w:rsid w:val="0068585D"/>
    <w:rsid w:val="00685BA9"/>
    <w:rsid w:val="00685C49"/>
    <w:rsid w:val="00685EC2"/>
    <w:rsid w:val="00686731"/>
    <w:rsid w:val="00686B69"/>
    <w:rsid w:val="00686B93"/>
    <w:rsid w:val="00686D69"/>
    <w:rsid w:val="0068727F"/>
    <w:rsid w:val="006877A0"/>
    <w:rsid w:val="006877E2"/>
    <w:rsid w:val="0068789F"/>
    <w:rsid w:val="00687BDC"/>
    <w:rsid w:val="006900A2"/>
    <w:rsid w:val="0069074A"/>
    <w:rsid w:val="00691089"/>
    <w:rsid w:val="00691807"/>
    <w:rsid w:val="00691EE6"/>
    <w:rsid w:val="00692105"/>
    <w:rsid w:val="00692599"/>
    <w:rsid w:val="00693E0B"/>
    <w:rsid w:val="00693ECE"/>
    <w:rsid w:val="00693FD7"/>
    <w:rsid w:val="00694A18"/>
    <w:rsid w:val="00696522"/>
    <w:rsid w:val="00696DB9"/>
    <w:rsid w:val="00696DD3"/>
    <w:rsid w:val="00696DED"/>
    <w:rsid w:val="00696E4D"/>
    <w:rsid w:val="0069769A"/>
    <w:rsid w:val="006A0E5B"/>
    <w:rsid w:val="006A2E00"/>
    <w:rsid w:val="006A3D35"/>
    <w:rsid w:val="006A4232"/>
    <w:rsid w:val="006A430D"/>
    <w:rsid w:val="006A44E8"/>
    <w:rsid w:val="006A4814"/>
    <w:rsid w:val="006A4A53"/>
    <w:rsid w:val="006A4C7D"/>
    <w:rsid w:val="006A4F00"/>
    <w:rsid w:val="006A4F99"/>
    <w:rsid w:val="006A50D4"/>
    <w:rsid w:val="006A5AAC"/>
    <w:rsid w:val="006B0084"/>
    <w:rsid w:val="006B0727"/>
    <w:rsid w:val="006B152F"/>
    <w:rsid w:val="006B20F4"/>
    <w:rsid w:val="006B21E4"/>
    <w:rsid w:val="006B2483"/>
    <w:rsid w:val="006B294C"/>
    <w:rsid w:val="006B2FEB"/>
    <w:rsid w:val="006B3242"/>
    <w:rsid w:val="006B38D9"/>
    <w:rsid w:val="006B4575"/>
    <w:rsid w:val="006B46AE"/>
    <w:rsid w:val="006B4F7A"/>
    <w:rsid w:val="006C01AC"/>
    <w:rsid w:val="006C0376"/>
    <w:rsid w:val="006C0B63"/>
    <w:rsid w:val="006C133E"/>
    <w:rsid w:val="006C176F"/>
    <w:rsid w:val="006C1AD6"/>
    <w:rsid w:val="006C1DAA"/>
    <w:rsid w:val="006C257A"/>
    <w:rsid w:val="006C2782"/>
    <w:rsid w:val="006C283F"/>
    <w:rsid w:val="006C2D98"/>
    <w:rsid w:val="006C331B"/>
    <w:rsid w:val="006C4EFE"/>
    <w:rsid w:val="006C5648"/>
    <w:rsid w:val="006C68FD"/>
    <w:rsid w:val="006C6DD5"/>
    <w:rsid w:val="006C736D"/>
    <w:rsid w:val="006C788B"/>
    <w:rsid w:val="006C7DB7"/>
    <w:rsid w:val="006D15BD"/>
    <w:rsid w:val="006D19F3"/>
    <w:rsid w:val="006D1D66"/>
    <w:rsid w:val="006D2A59"/>
    <w:rsid w:val="006D32EE"/>
    <w:rsid w:val="006D3626"/>
    <w:rsid w:val="006D4F61"/>
    <w:rsid w:val="006D55A1"/>
    <w:rsid w:val="006D5C11"/>
    <w:rsid w:val="006D64D1"/>
    <w:rsid w:val="006D6E16"/>
    <w:rsid w:val="006D70C6"/>
    <w:rsid w:val="006D71B8"/>
    <w:rsid w:val="006D7FEB"/>
    <w:rsid w:val="006E035D"/>
    <w:rsid w:val="006E1A5E"/>
    <w:rsid w:val="006E2854"/>
    <w:rsid w:val="006E3464"/>
    <w:rsid w:val="006E374E"/>
    <w:rsid w:val="006E45FC"/>
    <w:rsid w:val="006E52B4"/>
    <w:rsid w:val="006E52EA"/>
    <w:rsid w:val="006E5498"/>
    <w:rsid w:val="006E56D4"/>
    <w:rsid w:val="006E5933"/>
    <w:rsid w:val="006E5AE0"/>
    <w:rsid w:val="006E6B27"/>
    <w:rsid w:val="006E6EB3"/>
    <w:rsid w:val="006E791C"/>
    <w:rsid w:val="006E7B41"/>
    <w:rsid w:val="006F0465"/>
    <w:rsid w:val="006F0955"/>
    <w:rsid w:val="006F12B6"/>
    <w:rsid w:val="006F1ADC"/>
    <w:rsid w:val="006F25E0"/>
    <w:rsid w:val="006F49F9"/>
    <w:rsid w:val="006F4FD2"/>
    <w:rsid w:val="006F5051"/>
    <w:rsid w:val="006F5A15"/>
    <w:rsid w:val="006F63AC"/>
    <w:rsid w:val="006F666F"/>
    <w:rsid w:val="006F6B2F"/>
    <w:rsid w:val="006F7E59"/>
    <w:rsid w:val="00700368"/>
    <w:rsid w:val="007008B1"/>
    <w:rsid w:val="00700C0D"/>
    <w:rsid w:val="00701771"/>
    <w:rsid w:val="00701826"/>
    <w:rsid w:val="00701B8D"/>
    <w:rsid w:val="0070290E"/>
    <w:rsid w:val="0070387A"/>
    <w:rsid w:val="0070506B"/>
    <w:rsid w:val="00707102"/>
    <w:rsid w:val="00710BAC"/>
    <w:rsid w:val="00711A7F"/>
    <w:rsid w:val="0071243E"/>
    <w:rsid w:val="00712835"/>
    <w:rsid w:val="0071284A"/>
    <w:rsid w:val="00712D66"/>
    <w:rsid w:val="00712F03"/>
    <w:rsid w:val="007136F6"/>
    <w:rsid w:val="00713C72"/>
    <w:rsid w:val="007140CD"/>
    <w:rsid w:val="0071443A"/>
    <w:rsid w:val="0071471A"/>
    <w:rsid w:val="00715927"/>
    <w:rsid w:val="00715D0A"/>
    <w:rsid w:val="00715F32"/>
    <w:rsid w:val="007162D6"/>
    <w:rsid w:val="007165E6"/>
    <w:rsid w:val="00716611"/>
    <w:rsid w:val="00717315"/>
    <w:rsid w:val="007200B8"/>
    <w:rsid w:val="007208C9"/>
    <w:rsid w:val="00720AC4"/>
    <w:rsid w:val="00721053"/>
    <w:rsid w:val="00722193"/>
    <w:rsid w:val="007228CC"/>
    <w:rsid w:val="00723843"/>
    <w:rsid w:val="00723A07"/>
    <w:rsid w:val="00723F31"/>
    <w:rsid w:val="00724BB6"/>
    <w:rsid w:val="00724C1A"/>
    <w:rsid w:val="00725FD6"/>
    <w:rsid w:val="00726728"/>
    <w:rsid w:val="00726936"/>
    <w:rsid w:val="00726DBD"/>
    <w:rsid w:val="007274ED"/>
    <w:rsid w:val="0073099E"/>
    <w:rsid w:val="00731084"/>
    <w:rsid w:val="00732002"/>
    <w:rsid w:val="00732703"/>
    <w:rsid w:val="007329B7"/>
    <w:rsid w:val="00732AF5"/>
    <w:rsid w:val="00732E53"/>
    <w:rsid w:val="0073348F"/>
    <w:rsid w:val="00733F27"/>
    <w:rsid w:val="007344CA"/>
    <w:rsid w:val="00734936"/>
    <w:rsid w:val="00735225"/>
    <w:rsid w:val="00735253"/>
    <w:rsid w:val="00735429"/>
    <w:rsid w:val="0073562C"/>
    <w:rsid w:val="00735C7F"/>
    <w:rsid w:val="00735FF6"/>
    <w:rsid w:val="0073699B"/>
    <w:rsid w:val="00736A44"/>
    <w:rsid w:val="0073760B"/>
    <w:rsid w:val="00737B5F"/>
    <w:rsid w:val="00737D1E"/>
    <w:rsid w:val="00740024"/>
    <w:rsid w:val="0074008E"/>
    <w:rsid w:val="007403DE"/>
    <w:rsid w:val="0074149F"/>
    <w:rsid w:val="007414EF"/>
    <w:rsid w:val="007425C0"/>
    <w:rsid w:val="007430AA"/>
    <w:rsid w:val="007440E2"/>
    <w:rsid w:val="007444D2"/>
    <w:rsid w:val="007445CE"/>
    <w:rsid w:val="00745057"/>
    <w:rsid w:val="00745225"/>
    <w:rsid w:val="007453B0"/>
    <w:rsid w:val="0074546A"/>
    <w:rsid w:val="007454F5"/>
    <w:rsid w:val="007462AF"/>
    <w:rsid w:val="007462E4"/>
    <w:rsid w:val="00747FA6"/>
    <w:rsid w:val="007503B8"/>
    <w:rsid w:val="0075221B"/>
    <w:rsid w:val="00752FD5"/>
    <w:rsid w:val="007532A3"/>
    <w:rsid w:val="007536DF"/>
    <w:rsid w:val="00753A5E"/>
    <w:rsid w:val="00755908"/>
    <w:rsid w:val="00755E67"/>
    <w:rsid w:val="00756460"/>
    <w:rsid w:val="007568A3"/>
    <w:rsid w:val="00757BEB"/>
    <w:rsid w:val="007606BF"/>
    <w:rsid w:val="007607F8"/>
    <w:rsid w:val="00760A70"/>
    <w:rsid w:val="00760C1B"/>
    <w:rsid w:val="00760EC7"/>
    <w:rsid w:val="0076218B"/>
    <w:rsid w:val="00762561"/>
    <w:rsid w:val="00762D7D"/>
    <w:rsid w:val="007635BE"/>
    <w:rsid w:val="00763D80"/>
    <w:rsid w:val="00763F5C"/>
    <w:rsid w:val="00764406"/>
    <w:rsid w:val="0076455A"/>
    <w:rsid w:val="007646D1"/>
    <w:rsid w:val="00764C10"/>
    <w:rsid w:val="007651B4"/>
    <w:rsid w:val="00765BF8"/>
    <w:rsid w:val="00765CAC"/>
    <w:rsid w:val="00765ECE"/>
    <w:rsid w:val="007665D5"/>
    <w:rsid w:val="00766D6F"/>
    <w:rsid w:val="00767165"/>
    <w:rsid w:val="007675CF"/>
    <w:rsid w:val="007676DE"/>
    <w:rsid w:val="00767C84"/>
    <w:rsid w:val="00767F5B"/>
    <w:rsid w:val="00770751"/>
    <w:rsid w:val="007709F0"/>
    <w:rsid w:val="00770C57"/>
    <w:rsid w:val="00771CDE"/>
    <w:rsid w:val="00772620"/>
    <w:rsid w:val="007726BC"/>
    <w:rsid w:val="007729B6"/>
    <w:rsid w:val="00772DF1"/>
    <w:rsid w:val="0077371E"/>
    <w:rsid w:val="007745FB"/>
    <w:rsid w:val="0077512C"/>
    <w:rsid w:val="007755DE"/>
    <w:rsid w:val="00775A64"/>
    <w:rsid w:val="00775AF4"/>
    <w:rsid w:val="00776511"/>
    <w:rsid w:val="00776BAF"/>
    <w:rsid w:val="007774A7"/>
    <w:rsid w:val="007802B9"/>
    <w:rsid w:val="00780A85"/>
    <w:rsid w:val="00781304"/>
    <w:rsid w:val="007815EE"/>
    <w:rsid w:val="00781A96"/>
    <w:rsid w:val="007862F6"/>
    <w:rsid w:val="00786CD5"/>
    <w:rsid w:val="0078764A"/>
    <w:rsid w:val="00787A98"/>
    <w:rsid w:val="00787BDE"/>
    <w:rsid w:val="00790DC0"/>
    <w:rsid w:val="007915D2"/>
    <w:rsid w:val="007916F9"/>
    <w:rsid w:val="00793151"/>
    <w:rsid w:val="0079353D"/>
    <w:rsid w:val="00794626"/>
    <w:rsid w:val="00794C03"/>
    <w:rsid w:val="00794FF9"/>
    <w:rsid w:val="0079669C"/>
    <w:rsid w:val="00797358"/>
    <w:rsid w:val="0079736D"/>
    <w:rsid w:val="007A1048"/>
    <w:rsid w:val="007A14BD"/>
    <w:rsid w:val="007A20A8"/>
    <w:rsid w:val="007A228E"/>
    <w:rsid w:val="007A2362"/>
    <w:rsid w:val="007A4859"/>
    <w:rsid w:val="007A5C9B"/>
    <w:rsid w:val="007A6349"/>
    <w:rsid w:val="007A74E8"/>
    <w:rsid w:val="007A7893"/>
    <w:rsid w:val="007B0436"/>
    <w:rsid w:val="007B0825"/>
    <w:rsid w:val="007B0F59"/>
    <w:rsid w:val="007B2069"/>
    <w:rsid w:val="007B29C1"/>
    <w:rsid w:val="007B3515"/>
    <w:rsid w:val="007B3FF8"/>
    <w:rsid w:val="007B41B7"/>
    <w:rsid w:val="007B4351"/>
    <w:rsid w:val="007B4A41"/>
    <w:rsid w:val="007B4AEF"/>
    <w:rsid w:val="007B4CD8"/>
    <w:rsid w:val="007B5B90"/>
    <w:rsid w:val="007B6EFC"/>
    <w:rsid w:val="007B7441"/>
    <w:rsid w:val="007B797F"/>
    <w:rsid w:val="007C013D"/>
    <w:rsid w:val="007C06F6"/>
    <w:rsid w:val="007C099B"/>
    <w:rsid w:val="007C20A6"/>
    <w:rsid w:val="007C24DA"/>
    <w:rsid w:val="007C33C3"/>
    <w:rsid w:val="007C361A"/>
    <w:rsid w:val="007C45F9"/>
    <w:rsid w:val="007C480E"/>
    <w:rsid w:val="007C4FDD"/>
    <w:rsid w:val="007C566C"/>
    <w:rsid w:val="007C58D4"/>
    <w:rsid w:val="007C6660"/>
    <w:rsid w:val="007C6682"/>
    <w:rsid w:val="007C735C"/>
    <w:rsid w:val="007C79F5"/>
    <w:rsid w:val="007D1CB1"/>
    <w:rsid w:val="007D1CCF"/>
    <w:rsid w:val="007D2E0B"/>
    <w:rsid w:val="007D4008"/>
    <w:rsid w:val="007D48D1"/>
    <w:rsid w:val="007D520E"/>
    <w:rsid w:val="007D55F9"/>
    <w:rsid w:val="007D5A30"/>
    <w:rsid w:val="007D5BA7"/>
    <w:rsid w:val="007D6913"/>
    <w:rsid w:val="007D79BA"/>
    <w:rsid w:val="007E00E1"/>
    <w:rsid w:val="007E04D9"/>
    <w:rsid w:val="007E1A41"/>
    <w:rsid w:val="007E25B7"/>
    <w:rsid w:val="007E26DC"/>
    <w:rsid w:val="007E2B3A"/>
    <w:rsid w:val="007E4589"/>
    <w:rsid w:val="007E4E11"/>
    <w:rsid w:val="007E558D"/>
    <w:rsid w:val="007E57C5"/>
    <w:rsid w:val="007E5A73"/>
    <w:rsid w:val="007E6195"/>
    <w:rsid w:val="007E6C36"/>
    <w:rsid w:val="007E78B4"/>
    <w:rsid w:val="007F0F0A"/>
    <w:rsid w:val="007F19D6"/>
    <w:rsid w:val="007F21F4"/>
    <w:rsid w:val="007F309B"/>
    <w:rsid w:val="007F42D0"/>
    <w:rsid w:val="007F50CA"/>
    <w:rsid w:val="007F57D0"/>
    <w:rsid w:val="007F59C9"/>
    <w:rsid w:val="007F6F44"/>
    <w:rsid w:val="007F750D"/>
    <w:rsid w:val="00800642"/>
    <w:rsid w:val="00800B85"/>
    <w:rsid w:val="00800ED1"/>
    <w:rsid w:val="0080158F"/>
    <w:rsid w:val="008035FB"/>
    <w:rsid w:val="008045AA"/>
    <w:rsid w:val="00804D9B"/>
    <w:rsid w:val="00805576"/>
    <w:rsid w:val="0080569A"/>
    <w:rsid w:val="00805909"/>
    <w:rsid w:val="00805FA8"/>
    <w:rsid w:val="00806B72"/>
    <w:rsid w:val="0080794A"/>
    <w:rsid w:val="008124EE"/>
    <w:rsid w:val="00812774"/>
    <w:rsid w:val="00812FF7"/>
    <w:rsid w:val="008134D6"/>
    <w:rsid w:val="0081361A"/>
    <w:rsid w:val="0081383A"/>
    <w:rsid w:val="00814268"/>
    <w:rsid w:val="00814704"/>
    <w:rsid w:val="00814874"/>
    <w:rsid w:val="00814B19"/>
    <w:rsid w:val="00815159"/>
    <w:rsid w:val="008152EE"/>
    <w:rsid w:val="00815493"/>
    <w:rsid w:val="00815AC2"/>
    <w:rsid w:val="008168B9"/>
    <w:rsid w:val="00816B85"/>
    <w:rsid w:val="00816CF9"/>
    <w:rsid w:val="00816F7C"/>
    <w:rsid w:val="00817602"/>
    <w:rsid w:val="00817743"/>
    <w:rsid w:val="008177E4"/>
    <w:rsid w:val="00820512"/>
    <w:rsid w:val="00820FB5"/>
    <w:rsid w:val="00820FF0"/>
    <w:rsid w:val="0082113A"/>
    <w:rsid w:val="008217EA"/>
    <w:rsid w:val="00821F14"/>
    <w:rsid w:val="00822E56"/>
    <w:rsid w:val="0082431F"/>
    <w:rsid w:val="0082487F"/>
    <w:rsid w:val="0082590A"/>
    <w:rsid w:val="008259B3"/>
    <w:rsid w:val="008259D2"/>
    <w:rsid w:val="00825A75"/>
    <w:rsid w:val="00826BFF"/>
    <w:rsid w:val="00826C4B"/>
    <w:rsid w:val="00826C55"/>
    <w:rsid w:val="0082704E"/>
    <w:rsid w:val="0082736E"/>
    <w:rsid w:val="008276D6"/>
    <w:rsid w:val="00830A2C"/>
    <w:rsid w:val="00831423"/>
    <w:rsid w:val="008318A5"/>
    <w:rsid w:val="00832701"/>
    <w:rsid w:val="00833E51"/>
    <w:rsid w:val="00833E77"/>
    <w:rsid w:val="008341A6"/>
    <w:rsid w:val="00834320"/>
    <w:rsid w:val="00834476"/>
    <w:rsid w:val="008345BB"/>
    <w:rsid w:val="008347C0"/>
    <w:rsid w:val="0083558A"/>
    <w:rsid w:val="00835823"/>
    <w:rsid w:val="008358B7"/>
    <w:rsid w:val="0083599A"/>
    <w:rsid w:val="00836205"/>
    <w:rsid w:val="00836A00"/>
    <w:rsid w:val="0084008F"/>
    <w:rsid w:val="00840B2D"/>
    <w:rsid w:val="00841201"/>
    <w:rsid w:val="00841319"/>
    <w:rsid w:val="00841D4B"/>
    <w:rsid w:val="0084246F"/>
    <w:rsid w:val="00842718"/>
    <w:rsid w:val="00842919"/>
    <w:rsid w:val="00842FB8"/>
    <w:rsid w:val="00843C10"/>
    <w:rsid w:val="00844065"/>
    <w:rsid w:val="00844CEF"/>
    <w:rsid w:val="00844F21"/>
    <w:rsid w:val="00845C75"/>
    <w:rsid w:val="00846620"/>
    <w:rsid w:val="00846F58"/>
    <w:rsid w:val="008474E8"/>
    <w:rsid w:val="008479A6"/>
    <w:rsid w:val="00850AC4"/>
    <w:rsid w:val="008511DC"/>
    <w:rsid w:val="008514E4"/>
    <w:rsid w:val="0085155F"/>
    <w:rsid w:val="0085206C"/>
    <w:rsid w:val="0085299A"/>
    <w:rsid w:val="008529EB"/>
    <w:rsid w:val="00853BDD"/>
    <w:rsid w:val="00853DBD"/>
    <w:rsid w:val="008540B6"/>
    <w:rsid w:val="00854162"/>
    <w:rsid w:val="008542CD"/>
    <w:rsid w:val="008543BA"/>
    <w:rsid w:val="00854F01"/>
    <w:rsid w:val="008569B3"/>
    <w:rsid w:val="00856DF9"/>
    <w:rsid w:val="00857354"/>
    <w:rsid w:val="0086081B"/>
    <w:rsid w:val="00860BD6"/>
    <w:rsid w:val="00862845"/>
    <w:rsid w:val="0086321C"/>
    <w:rsid w:val="00863600"/>
    <w:rsid w:val="00863D6E"/>
    <w:rsid w:val="00864152"/>
    <w:rsid w:val="00865576"/>
    <w:rsid w:val="0086563E"/>
    <w:rsid w:val="0086629E"/>
    <w:rsid w:val="00866514"/>
    <w:rsid w:val="008665D9"/>
    <w:rsid w:val="008674A4"/>
    <w:rsid w:val="00870E41"/>
    <w:rsid w:val="00870F15"/>
    <w:rsid w:val="008716C0"/>
    <w:rsid w:val="00872A4F"/>
    <w:rsid w:val="00872BE7"/>
    <w:rsid w:val="00872C28"/>
    <w:rsid w:val="008739B7"/>
    <w:rsid w:val="00873E60"/>
    <w:rsid w:val="00874226"/>
    <w:rsid w:val="00874408"/>
    <w:rsid w:val="00875550"/>
    <w:rsid w:val="00875944"/>
    <w:rsid w:val="00875B4B"/>
    <w:rsid w:val="00875B91"/>
    <w:rsid w:val="008764ED"/>
    <w:rsid w:val="00876605"/>
    <w:rsid w:val="00876892"/>
    <w:rsid w:val="00876922"/>
    <w:rsid w:val="00876A74"/>
    <w:rsid w:val="00876AF5"/>
    <w:rsid w:val="008775E2"/>
    <w:rsid w:val="00880B37"/>
    <w:rsid w:val="0088139E"/>
    <w:rsid w:val="00882E7B"/>
    <w:rsid w:val="008830E0"/>
    <w:rsid w:val="0088360B"/>
    <w:rsid w:val="0088361D"/>
    <w:rsid w:val="00883880"/>
    <w:rsid w:val="00883D8F"/>
    <w:rsid w:val="00883E0D"/>
    <w:rsid w:val="008840E5"/>
    <w:rsid w:val="008852EB"/>
    <w:rsid w:val="008857C1"/>
    <w:rsid w:val="008859E3"/>
    <w:rsid w:val="008869D5"/>
    <w:rsid w:val="00886A8D"/>
    <w:rsid w:val="00890942"/>
    <w:rsid w:val="008916E0"/>
    <w:rsid w:val="0089199D"/>
    <w:rsid w:val="00891F67"/>
    <w:rsid w:val="008928E0"/>
    <w:rsid w:val="0089478E"/>
    <w:rsid w:val="008948D8"/>
    <w:rsid w:val="00894BAE"/>
    <w:rsid w:val="00895069"/>
    <w:rsid w:val="008954B7"/>
    <w:rsid w:val="00895BDF"/>
    <w:rsid w:val="00895C11"/>
    <w:rsid w:val="00895EE3"/>
    <w:rsid w:val="0089702E"/>
    <w:rsid w:val="008972FC"/>
    <w:rsid w:val="00897328"/>
    <w:rsid w:val="008A0290"/>
    <w:rsid w:val="008A04AC"/>
    <w:rsid w:val="008A0529"/>
    <w:rsid w:val="008A2DBF"/>
    <w:rsid w:val="008A30AB"/>
    <w:rsid w:val="008A3131"/>
    <w:rsid w:val="008A521F"/>
    <w:rsid w:val="008A61EE"/>
    <w:rsid w:val="008A6893"/>
    <w:rsid w:val="008A692A"/>
    <w:rsid w:val="008A7510"/>
    <w:rsid w:val="008A751A"/>
    <w:rsid w:val="008A7DD0"/>
    <w:rsid w:val="008A7FF7"/>
    <w:rsid w:val="008B01D0"/>
    <w:rsid w:val="008B0321"/>
    <w:rsid w:val="008B07FE"/>
    <w:rsid w:val="008B0A2E"/>
    <w:rsid w:val="008B14F2"/>
    <w:rsid w:val="008B1FF7"/>
    <w:rsid w:val="008B3041"/>
    <w:rsid w:val="008B3651"/>
    <w:rsid w:val="008B3824"/>
    <w:rsid w:val="008B3FC1"/>
    <w:rsid w:val="008B44B7"/>
    <w:rsid w:val="008B4503"/>
    <w:rsid w:val="008B5DFA"/>
    <w:rsid w:val="008B6AA7"/>
    <w:rsid w:val="008B7490"/>
    <w:rsid w:val="008C014C"/>
    <w:rsid w:val="008C0656"/>
    <w:rsid w:val="008C0C8B"/>
    <w:rsid w:val="008C1191"/>
    <w:rsid w:val="008C1527"/>
    <w:rsid w:val="008C2152"/>
    <w:rsid w:val="008C21A9"/>
    <w:rsid w:val="008C32E5"/>
    <w:rsid w:val="008C335A"/>
    <w:rsid w:val="008C3FD5"/>
    <w:rsid w:val="008C4630"/>
    <w:rsid w:val="008C46B8"/>
    <w:rsid w:val="008C4A61"/>
    <w:rsid w:val="008C50CB"/>
    <w:rsid w:val="008C5794"/>
    <w:rsid w:val="008C6243"/>
    <w:rsid w:val="008C6303"/>
    <w:rsid w:val="008C66DB"/>
    <w:rsid w:val="008C6987"/>
    <w:rsid w:val="008C6C63"/>
    <w:rsid w:val="008C6CFC"/>
    <w:rsid w:val="008C791A"/>
    <w:rsid w:val="008D065C"/>
    <w:rsid w:val="008D0F17"/>
    <w:rsid w:val="008D0F42"/>
    <w:rsid w:val="008D15CC"/>
    <w:rsid w:val="008D236D"/>
    <w:rsid w:val="008D30C3"/>
    <w:rsid w:val="008D3A51"/>
    <w:rsid w:val="008D3E7F"/>
    <w:rsid w:val="008D4055"/>
    <w:rsid w:val="008D46AB"/>
    <w:rsid w:val="008D5D6C"/>
    <w:rsid w:val="008D60DB"/>
    <w:rsid w:val="008D6153"/>
    <w:rsid w:val="008D6222"/>
    <w:rsid w:val="008D65E0"/>
    <w:rsid w:val="008D6644"/>
    <w:rsid w:val="008D6981"/>
    <w:rsid w:val="008D716F"/>
    <w:rsid w:val="008D78BC"/>
    <w:rsid w:val="008D793A"/>
    <w:rsid w:val="008D7D0D"/>
    <w:rsid w:val="008E0E4E"/>
    <w:rsid w:val="008E1D7D"/>
    <w:rsid w:val="008E1DF8"/>
    <w:rsid w:val="008E1FEE"/>
    <w:rsid w:val="008E3892"/>
    <w:rsid w:val="008E3E55"/>
    <w:rsid w:val="008E3FDF"/>
    <w:rsid w:val="008E53E8"/>
    <w:rsid w:val="008E6212"/>
    <w:rsid w:val="008E63EF"/>
    <w:rsid w:val="008E6660"/>
    <w:rsid w:val="008E6B4A"/>
    <w:rsid w:val="008E73BD"/>
    <w:rsid w:val="008E77F3"/>
    <w:rsid w:val="008E78DF"/>
    <w:rsid w:val="008F0F53"/>
    <w:rsid w:val="008F1F63"/>
    <w:rsid w:val="008F2350"/>
    <w:rsid w:val="008F2468"/>
    <w:rsid w:val="008F2803"/>
    <w:rsid w:val="008F2D52"/>
    <w:rsid w:val="008F2EFA"/>
    <w:rsid w:val="008F2FC2"/>
    <w:rsid w:val="008F3E73"/>
    <w:rsid w:val="008F42A8"/>
    <w:rsid w:val="008F4489"/>
    <w:rsid w:val="008F4BCF"/>
    <w:rsid w:val="008F5323"/>
    <w:rsid w:val="008F6E68"/>
    <w:rsid w:val="008F7975"/>
    <w:rsid w:val="008F7F0F"/>
    <w:rsid w:val="008F7FC8"/>
    <w:rsid w:val="0090024A"/>
    <w:rsid w:val="0090145D"/>
    <w:rsid w:val="0090177D"/>
    <w:rsid w:val="00901861"/>
    <w:rsid w:val="00901D09"/>
    <w:rsid w:val="00902160"/>
    <w:rsid w:val="00902612"/>
    <w:rsid w:val="00902BFD"/>
    <w:rsid w:val="009031E7"/>
    <w:rsid w:val="009041D0"/>
    <w:rsid w:val="009048E1"/>
    <w:rsid w:val="00904CB3"/>
    <w:rsid w:val="00906928"/>
    <w:rsid w:val="00907336"/>
    <w:rsid w:val="00907472"/>
    <w:rsid w:val="009107B1"/>
    <w:rsid w:val="00910A04"/>
    <w:rsid w:val="00911B88"/>
    <w:rsid w:val="00911EDB"/>
    <w:rsid w:val="0091243D"/>
    <w:rsid w:val="009126D5"/>
    <w:rsid w:val="00912E31"/>
    <w:rsid w:val="00913590"/>
    <w:rsid w:val="00913848"/>
    <w:rsid w:val="00914288"/>
    <w:rsid w:val="00914992"/>
    <w:rsid w:val="009153C8"/>
    <w:rsid w:val="0091568E"/>
    <w:rsid w:val="0091635D"/>
    <w:rsid w:val="0091656A"/>
    <w:rsid w:val="00917C8E"/>
    <w:rsid w:val="00920475"/>
    <w:rsid w:val="009208E5"/>
    <w:rsid w:val="00920CFC"/>
    <w:rsid w:val="00921149"/>
    <w:rsid w:val="009215A6"/>
    <w:rsid w:val="009219F6"/>
    <w:rsid w:val="00921ED6"/>
    <w:rsid w:val="0092260E"/>
    <w:rsid w:val="00922AA3"/>
    <w:rsid w:val="00923677"/>
    <w:rsid w:val="00924B70"/>
    <w:rsid w:val="00925033"/>
    <w:rsid w:val="00925639"/>
    <w:rsid w:val="0092593C"/>
    <w:rsid w:val="00925C44"/>
    <w:rsid w:val="00925FCC"/>
    <w:rsid w:val="00927329"/>
    <w:rsid w:val="0092755F"/>
    <w:rsid w:val="00931364"/>
    <w:rsid w:val="00931866"/>
    <w:rsid w:val="00931A18"/>
    <w:rsid w:val="00931B8F"/>
    <w:rsid w:val="00931BE0"/>
    <w:rsid w:val="0093204C"/>
    <w:rsid w:val="0093289A"/>
    <w:rsid w:val="00932B3F"/>
    <w:rsid w:val="00932B4E"/>
    <w:rsid w:val="00932D25"/>
    <w:rsid w:val="0093349F"/>
    <w:rsid w:val="00933EEA"/>
    <w:rsid w:val="00934048"/>
    <w:rsid w:val="00934588"/>
    <w:rsid w:val="00934830"/>
    <w:rsid w:val="0093483D"/>
    <w:rsid w:val="009351D1"/>
    <w:rsid w:val="009358CF"/>
    <w:rsid w:val="0093615C"/>
    <w:rsid w:val="009361D5"/>
    <w:rsid w:val="009362B6"/>
    <w:rsid w:val="00936516"/>
    <w:rsid w:val="00937208"/>
    <w:rsid w:val="0093782B"/>
    <w:rsid w:val="00937F63"/>
    <w:rsid w:val="0094049E"/>
    <w:rsid w:val="00940569"/>
    <w:rsid w:val="00941218"/>
    <w:rsid w:val="009421CF"/>
    <w:rsid w:val="0094296B"/>
    <w:rsid w:val="00942A5F"/>
    <w:rsid w:val="009433BC"/>
    <w:rsid w:val="009443F7"/>
    <w:rsid w:val="00944811"/>
    <w:rsid w:val="0094516E"/>
    <w:rsid w:val="009452D9"/>
    <w:rsid w:val="00945B73"/>
    <w:rsid w:val="00946586"/>
    <w:rsid w:val="00946B79"/>
    <w:rsid w:val="00947773"/>
    <w:rsid w:val="00947821"/>
    <w:rsid w:val="00947999"/>
    <w:rsid w:val="00947AC2"/>
    <w:rsid w:val="00947B57"/>
    <w:rsid w:val="00950B3D"/>
    <w:rsid w:val="00951854"/>
    <w:rsid w:val="009527AB"/>
    <w:rsid w:val="0095305C"/>
    <w:rsid w:val="00953351"/>
    <w:rsid w:val="0095350A"/>
    <w:rsid w:val="009548EA"/>
    <w:rsid w:val="00955CDD"/>
    <w:rsid w:val="0095664B"/>
    <w:rsid w:val="00956C5F"/>
    <w:rsid w:val="00957CE8"/>
    <w:rsid w:val="0096002A"/>
    <w:rsid w:val="009609E3"/>
    <w:rsid w:val="00960A1A"/>
    <w:rsid w:val="00962987"/>
    <w:rsid w:val="0096348F"/>
    <w:rsid w:val="00963554"/>
    <w:rsid w:val="00964C3E"/>
    <w:rsid w:val="0096540B"/>
    <w:rsid w:val="00965439"/>
    <w:rsid w:val="00965858"/>
    <w:rsid w:val="00967501"/>
    <w:rsid w:val="0096752F"/>
    <w:rsid w:val="00967E6A"/>
    <w:rsid w:val="0097033D"/>
    <w:rsid w:val="00970437"/>
    <w:rsid w:val="009706CD"/>
    <w:rsid w:val="009707F1"/>
    <w:rsid w:val="00970861"/>
    <w:rsid w:val="00970D9A"/>
    <w:rsid w:val="00970FDA"/>
    <w:rsid w:val="0097150A"/>
    <w:rsid w:val="00971730"/>
    <w:rsid w:val="0097276E"/>
    <w:rsid w:val="0097278B"/>
    <w:rsid w:val="009729AB"/>
    <w:rsid w:val="00973085"/>
    <w:rsid w:val="0097345A"/>
    <w:rsid w:val="0097352D"/>
    <w:rsid w:val="009739AD"/>
    <w:rsid w:val="00973A12"/>
    <w:rsid w:val="00973A5B"/>
    <w:rsid w:val="0097442E"/>
    <w:rsid w:val="0097446B"/>
    <w:rsid w:val="0097474C"/>
    <w:rsid w:val="00974B94"/>
    <w:rsid w:val="00974ED4"/>
    <w:rsid w:val="0097537A"/>
    <w:rsid w:val="00976565"/>
    <w:rsid w:val="0097716D"/>
    <w:rsid w:val="00977705"/>
    <w:rsid w:val="009777B9"/>
    <w:rsid w:val="00977B12"/>
    <w:rsid w:val="00977DD8"/>
    <w:rsid w:val="00977F2D"/>
    <w:rsid w:val="0098063F"/>
    <w:rsid w:val="00980992"/>
    <w:rsid w:val="00982CFE"/>
    <w:rsid w:val="009848C0"/>
    <w:rsid w:val="009848C6"/>
    <w:rsid w:val="00984D81"/>
    <w:rsid w:val="009854E6"/>
    <w:rsid w:val="0098565B"/>
    <w:rsid w:val="00985B1E"/>
    <w:rsid w:val="009860E5"/>
    <w:rsid w:val="00986EC3"/>
    <w:rsid w:val="0099070A"/>
    <w:rsid w:val="00990817"/>
    <w:rsid w:val="00991D80"/>
    <w:rsid w:val="009924AF"/>
    <w:rsid w:val="009932D1"/>
    <w:rsid w:val="00993CE9"/>
    <w:rsid w:val="0099520C"/>
    <w:rsid w:val="009953D7"/>
    <w:rsid w:val="009971BE"/>
    <w:rsid w:val="0099772D"/>
    <w:rsid w:val="009A0E46"/>
    <w:rsid w:val="009A1569"/>
    <w:rsid w:val="009A1A0F"/>
    <w:rsid w:val="009A20B8"/>
    <w:rsid w:val="009A28C3"/>
    <w:rsid w:val="009A2ABF"/>
    <w:rsid w:val="009A2EA9"/>
    <w:rsid w:val="009A2F67"/>
    <w:rsid w:val="009A2F80"/>
    <w:rsid w:val="009A33DC"/>
    <w:rsid w:val="009A3D5E"/>
    <w:rsid w:val="009A41BC"/>
    <w:rsid w:val="009A462E"/>
    <w:rsid w:val="009A467B"/>
    <w:rsid w:val="009A4800"/>
    <w:rsid w:val="009A5492"/>
    <w:rsid w:val="009A58E9"/>
    <w:rsid w:val="009A628D"/>
    <w:rsid w:val="009A6F8F"/>
    <w:rsid w:val="009A7717"/>
    <w:rsid w:val="009A7C88"/>
    <w:rsid w:val="009A7DCC"/>
    <w:rsid w:val="009B0813"/>
    <w:rsid w:val="009B10A1"/>
    <w:rsid w:val="009B1223"/>
    <w:rsid w:val="009B14B3"/>
    <w:rsid w:val="009B18ED"/>
    <w:rsid w:val="009B1D88"/>
    <w:rsid w:val="009B2282"/>
    <w:rsid w:val="009B3067"/>
    <w:rsid w:val="009B32FC"/>
    <w:rsid w:val="009B3B60"/>
    <w:rsid w:val="009B425F"/>
    <w:rsid w:val="009B4FA3"/>
    <w:rsid w:val="009B5216"/>
    <w:rsid w:val="009B541F"/>
    <w:rsid w:val="009B5466"/>
    <w:rsid w:val="009B55B3"/>
    <w:rsid w:val="009B5AA4"/>
    <w:rsid w:val="009B6142"/>
    <w:rsid w:val="009B632C"/>
    <w:rsid w:val="009B6811"/>
    <w:rsid w:val="009B78B9"/>
    <w:rsid w:val="009B78DA"/>
    <w:rsid w:val="009B7BBD"/>
    <w:rsid w:val="009B7CCB"/>
    <w:rsid w:val="009C00D5"/>
    <w:rsid w:val="009C011E"/>
    <w:rsid w:val="009C04B9"/>
    <w:rsid w:val="009C0FCA"/>
    <w:rsid w:val="009C12EF"/>
    <w:rsid w:val="009C392D"/>
    <w:rsid w:val="009C4435"/>
    <w:rsid w:val="009C69D8"/>
    <w:rsid w:val="009C6A18"/>
    <w:rsid w:val="009C6BEF"/>
    <w:rsid w:val="009C6D3C"/>
    <w:rsid w:val="009C7C82"/>
    <w:rsid w:val="009C7CB2"/>
    <w:rsid w:val="009D049C"/>
    <w:rsid w:val="009D0768"/>
    <w:rsid w:val="009D22A0"/>
    <w:rsid w:val="009D2847"/>
    <w:rsid w:val="009D33A8"/>
    <w:rsid w:val="009D346B"/>
    <w:rsid w:val="009D3598"/>
    <w:rsid w:val="009D3918"/>
    <w:rsid w:val="009D3B18"/>
    <w:rsid w:val="009D42B7"/>
    <w:rsid w:val="009D47B7"/>
    <w:rsid w:val="009D47BF"/>
    <w:rsid w:val="009D525C"/>
    <w:rsid w:val="009D5527"/>
    <w:rsid w:val="009D55AE"/>
    <w:rsid w:val="009D59E5"/>
    <w:rsid w:val="009D5F7E"/>
    <w:rsid w:val="009D69C6"/>
    <w:rsid w:val="009D7924"/>
    <w:rsid w:val="009D7E94"/>
    <w:rsid w:val="009D7FF6"/>
    <w:rsid w:val="009E065B"/>
    <w:rsid w:val="009E151E"/>
    <w:rsid w:val="009E181A"/>
    <w:rsid w:val="009E1FEB"/>
    <w:rsid w:val="009E22B7"/>
    <w:rsid w:val="009E2F24"/>
    <w:rsid w:val="009E33A8"/>
    <w:rsid w:val="009E36CA"/>
    <w:rsid w:val="009E3DEF"/>
    <w:rsid w:val="009E572E"/>
    <w:rsid w:val="009E57E8"/>
    <w:rsid w:val="009E66E6"/>
    <w:rsid w:val="009E682F"/>
    <w:rsid w:val="009E7C87"/>
    <w:rsid w:val="009E7EED"/>
    <w:rsid w:val="009F07E3"/>
    <w:rsid w:val="009F0E24"/>
    <w:rsid w:val="009F13EC"/>
    <w:rsid w:val="009F1C2B"/>
    <w:rsid w:val="009F1ECA"/>
    <w:rsid w:val="009F2F44"/>
    <w:rsid w:val="009F3590"/>
    <w:rsid w:val="009F44FA"/>
    <w:rsid w:val="009F45B6"/>
    <w:rsid w:val="009F48CE"/>
    <w:rsid w:val="009F49F8"/>
    <w:rsid w:val="009F5B29"/>
    <w:rsid w:val="009F5FC7"/>
    <w:rsid w:val="009F6D5F"/>
    <w:rsid w:val="009F6FE3"/>
    <w:rsid w:val="009F741D"/>
    <w:rsid w:val="009F79B6"/>
    <w:rsid w:val="00A01DBF"/>
    <w:rsid w:val="00A01E95"/>
    <w:rsid w:val="00A02BD2"/>
    <w:rsid w:val="00A032AA"/>
    <w:rsid w:val="00A03AAA"/>
    <w:rsid w:val="00A04082"/>
    <w:rsid w:val="00A0434A"/>
    <w:rsid w:val="00A04BDC"/>
    <w:rsid w:val="00A05094"/>
    <w:rsid w:val="00A0580F"/>
    <w:rsid w:val="00A05D86"/>
    <w:rsid w:val="00A06196"/>
    <w:rsid w:val="00A06624"/>
    <w:rsid w:val="00A06D5E"/>
    <w:rsid w:val="00A079D5"/>
    <w:rsid w:val="00A102D7"/>
    <w:rsid w:val="00A11561"/>
    <w:rsid w:val="00A12121"/>
    <w:rsid w:val="00A12601"/>
    <w:rsid w:val="00A12DD5"/>
    <w:rsid w:val="00A13583"/>
    <w:rsid w:val="00A13795"/>
    <w:rsid w:val="00A13F29"/>
    <w:rsid w:val="00A14042"/>
    <w:rsid w:val="00A14B16"/>
    <w:rsid w:val="00A14C1B"/>
    <w:rsid w:val="00A1592F"/>
    <w:rsid w:val="00A16A47"/>
    <w:rsid w:val="00A16B5E"/>
    <w:rsid w:val="00A16CF9"/>
    <w:rsid w:val="00A175D3"/>
    <w:rsid w:val="00A17D14"/>
    <w:rsid w:val="00A20125"/>
    <w:rsid w:val="00A20974"/>
    <w:rsid w:val="00A21423"/>
    <w:rsid w:val="00A217F8"/>
    <w:rsid w:val="00A21A63"/>
    <w:rsid w:val="00A21C3B"/>
    <w:rsid w:val="00A22442"/>
    <w:rsid w:val="00A22931"/>
    <w:rsid w:val="00A238A9"/>
    <w:rsid w:val="00A23957"/>
    <w:rsid w:val="00A23A26"/>
    <w:rsid w:val="00A24369"/>
    <w:rsid w:val="00A24767"/>
    <w:rsid w:val="00A253B2"/>
    <w:rsid w:val="00A255D2"/>
    <w:rsid w:val="00A25784"/>
    <w:rsid w:val="00A25FA0"/>
    <w:rsid w:val="00A26349"/>
    <w:rsid w:val="00A266FA"/>
    <w:rsid w:val="00A26BC5"/>
    <w:rsid w:val="00A3124D"/>
    <w:rsid w:val="00A31413"/>
    <w:rsid w:val="00A317BE"/>
    <w:rsid w:val="00A31B34"/>
    <w:rsid w:val="00A31BE8"/>
    <w:rsid w:val="00A31E9F"/>
    <w:rsid w:val="00A323C1"/>
    <w:rsid w:val="00A32E32"/>
    <w:rsid w:val="00A333E9"/>
    <w:rsid w:val="00A33647"/>
    <w:rsid w:val="00A339F0"/>
    <w:rsid w:val="00A33CD6"/>
    <w:rsid w:val="00A3417B"/>
    <w:rsid w:val="00A344DF"/>
    <w:rsid w:val="00A34634"/>
    <w:rsid w:val="00A34BA4"/>
    <w:rsid w:val="00A35C4F"/>
    <w:rsid w:val="00A35CC1"/>
    <w:rsid w:val="00A37D9A"/>
    <w:rsid w:val="00A37E6A"/>
    <w:rsid w:val="00A37E83"/>
    <w:rsid w:val="00A400F3"/>
    <w:rsid w:val="00A40131"/>
    <w:rsid w:val="00A40ADE"/>
    <w:rsid w:val="00A40E45"/>
    <w:rsid w:val="00A41BFC"/>
    <w:rsid w:val="00A42023"/>
    <w:rsid w:val="00A424A1"/>
    <w:rsid w:val="00A4274B"/>
    <w:rsid w:val="00A429C7"/>
    <w:rsid w:val="00A42DE8"/>
    <w:rsid w:val="00A4358D"/>
    <w:rsid w:val="00A447EE"/>
    <w:rsid w:val="00A449A3"/>
    <w:rsid w:val="00A451E9"/>
    <w:rsid w:val="00A45818"/>
    <w:rsid w:val="00A45A11"/>
    <w:rsid w:val="00A45A4E"/>
    <w:rsid w:val="00A45F45"/>
    <w:rsid w:val="00A46AB0"/>
    <w:rsid w:val="00A473AC"/>
    <w:rsid w:val="00A50130"/>
    <w:rsid w:val="00A502E4"/>
    <w:rsid w:val="00A50C3D"/>
    <w:rsid w:val="00A51E4A"/>
    <w:rsid w:val="00A5225F"/>
    <w:rsid w:val="00A52405"/>
    <w:rsid w:val="00A52480"/>
    <w:rsid w:val="00A54BDC"/>
    <w:rsid w:val="00A54C38"/>
    <w:rsid w:val="00A54D87"/>
    <w:rsid w:val="00A569FD"/>
    <w:rsid w:val="00A6031A"/>
    <w:rsid w:val="00A606BC"/>
    <w:rsid w:val="00A61616"/>
    <w:rsid w:val="00A616EA"/>
    <w:rsid w:val="00A618B7"/>
    <w:rsid w:val="00A61BEB"/>
    <w:rsid w:val="00A61EF4"/>
    <w:rsid w:val="00A62691"/>
    <w:rsid w:val="00A6352F"/>
    <w:rsid w:val="00A6431B"/>
    <w:rsid w:val="00A662B1"/>
    <w:rsid w:val="00A668F7"/>
    <w:rsid w:val="00A6699F"/>
    <w:rsid w:val="00A66AFE"/>
    <w:rsid w:val="00A66D6A"/>
    <w:rsid w:val="00A67314"/>
    <w:rsid w:val="00A678B8"/>
    <w:rsid w:val="00A67B43"/>
    <w:rsid w:val="00A70B4D"/>
    <w:rsid w:val="00A70DCF"/>
    <w:rsid w:val="00A70F9E"/>
    <w:rsid w:val="00A71435"/>
    <w:rsid w:val="00A72412"/>
    <w:rsid w:val="00A73D97"/>
    <w:rsid w:val="00A74305"/>
    <w:rsid w:val="00A744AE"/>
    <w:rsid w:val="00A74A19"/>
    <w:rsid w:val="00A74F04"/>
    <w:rsid w:val="00A7571D"/>
    <w:rsid w:val="00A766E4"/>
    <w:rsid w:val="00A77214"/>
    <w:rsid w:val="00A77979"/>
    <w:rsid w:val="00A77A9E"/>
    <w:rsid w:val="00A81883"/>
    <w:rsid w:val="00A8274F"/>
    <w:rsid w:val="00A836F7"/>
    <w:rsid w:val="00A83725"/>
    <w:rsid w:val="00A837BE"/>
    <w:rsid w:val="00A83B26"/>
    <w:rsid w:val="00A83F8F"/>
    <w:rsid w:val="00A845AE"/>
    <w:rsid w:val="00A84FE1"/>
    <w:rsid w:val="00A85691"/>
    <w:rsid w:val="00A85ACF"/>
    <w:rsid w:val="00A85EA6"/>
    <w:rsid w:val="00A8615A"/>
    <w:rsid w:val="00A8637D"/>
    <w:rsid w:val="00A87753"/>
    <w:rsid w:val="00A879B7"/>
    <w:rsid w:val="00A87BB8"/>
    <w:rsid w:val="00A9081B"/>
    <w:rsid w:val="00A91503"/>
    <w:rsid w:val="00A91931"/>
    <w:rsid w:val="00A91E2C"/>
    <w:rsid w:val="00A9217F"/>
    <w:rsid w:val="00A92BAA"/>
    <w:rsid w:val="00A92C30"/>
    <w:rsid w:val="00A936EA"/>
    <w:rsid w:val="00A93831"/>
    <w:rsid w:val="00A9387F"/>
    <w:rsid w:val="00A93AD1"/>
    <w:rsid w:val="00A93D8D"/>
    <w:rsid w:val="00A9406C"/>
    <w:rsid w:val="00A948DB"/>
    <w:rsid w:val="00A94D22"/>
    <w:rsid w:val="00A95073"/>
    <w:rsid w:val="00A95251"/>
    <w:rsid w:val="00A960B2"/>
    <w:rsid w:val="00A96EE2"/>
    <w:rsid w:val="00A9747A"/>
    <w:rsid w:val="00A9775F"/>
    <w:rsid w:val="00A97BC3"/>
    <w:rsid w:val="00A97DF2"/>
    <w:rsid w:val="00A97F43"/>
    <w:rsid w:val="00AA1074"/>
    <w:rsid w:val="00AA118E"/>
    <w:rsid w:val="00AA1322"/>
    <w:rsid w:val="00AA1F1C"/>
    <w:rsid w:val="00AA2177"/>
    <w:rsid w:val="00AA231F"/>
    <w:rsid w:val="00AA23FE"/>
    <w:rsid w:val="00AA25A8"/>
    <w:rsid w:val="00AA25BC"/>
    <w:rsid w:val="00AA262A"/>
    <w:rsid w:val="00AA2833"/>
    <w:rsid w:val="00AA31B0"/>
    <w:rsid w:val="00AA3CD4"/>
    <w:rsid w:val="00AA41CC"/>
    <w:rsid w:val="00AA4F2F"/>
    <w:rsid w:val="00AA514B"/>
    <w:rsid w:val="00AA5B4C"/>
    <w:rsid w:val="00AA70E0"/>
    <w:rsid w:val="00AA738C"/>
    <w:rsid w:val="00AA7467"/>
    <w:rsid w:val="00AA7D32"/>
    <w:rsid w:val="00AB08C7"/>
    <w:rsid w:val="00AB09E1"/>
    <w:rsid w:val="00AB1B16"/>
    <w:rsid w:val="00AB1EBC"/>
    <w:rsid w:val="00AB1F2F"/>
    <w:rsid w:val="00AB28C4"/>
    <w:rsid w:val="00AB2D97"/>
    <w:rsid w:val="00AB404C"/>
    <w:rsid w:val="00AB49AC"/>
    <w:rsid w:val="00AB4D03"/>
    <w:rsid w:val="00AB6582"/>
    <w:rsid w:val="00AB757D"/>
    <w:rsid w:val="00AC0F65"/>
    <w:rsid w:val="00AC1299"/>
    <w:rsid w:val="00AC1485"/>
    <w:rsid w:val="00AC17AB"/>
    <w:rsid w:val="00AC2469"/>
    <w:rsid w:val="00AC2E7F"/>
    <w:rsid w:val="00AC4416"/>
    <w:rsid w:val="00AC57A1"/>
    <w:rsid w:val="00AC6027"/>
    <w:rsid w:val="00AC6D43"/>
    <w:rsid w:val="00AC7C56"/>
    <w:rsid w:val="00AD17E1"/>
    <w:rsid w:val="00AD1823"/>
    <w:rsid w:val="00AD1B18"/>
    <w:rsid w:val="00AD1C73"/>
    <w:rsid w:val="00AD2181"/>
    <w:rsid w:val="00AD247F"/>
    <w:rsid w:val="00AD2923"/>
    <w:rsid w:val="00AD2F1F"/>
    <w:rsid w:val="00AD3531"/>
    <w:rsid w:val="00AD40FC"/>
    <w:rsid w:val="00AD41CE"/>
    <w:rsid w:val="00AD611C"/>
    <w:rsid w:val="00AD6E8B"/>
    <w:rsid w:val="00AD70C5"/>
    <w:rsid w:val="00AD7215"/>
    <w:rsid w:val="00AD7484"/>
    <w:rsid w:val="00AD7A20"/>
    <w:rsid w:val="00AE0EC8"/>
    <w:rsid w:val="00AE10CC"/>
    <w:rsid w:val="00AE200E"/>
    <w:rsid w:val="00AE2BA1"/>
    <w:rsid w:val="00AE2EF2"/>
    <w:rsid w:val="00AE36C9"/>
    <w:rsid w:val="00AE3947"/>
    <w:rsid w:val="00AE4457"/>
    <w:rsid w:val="00AE45D3"/>
    <w:rsid w:val="00AE471F"/>
    <w:rsid w:val="00AE4D6E"/>
    <w:rsid w:val="00AE4ED0"/>
    <w:rsid w:val="00AE61A7"/>
    <w:rsid w:val="00AE6C96"/>
    <w:rsid w:val="00AE73B3"/>
    <w:rsid w:val="00AE7B0A"/>
    <w:rsid w:val="00AE7CC0"/>
    <w:rsid w:val="00AE7CD3"/>
    <w:rsid w:val="00AE7E05"/>
    <w:rsid w:val="00AE7ED5"/>
    <w:rsid w:val="00AF003E"/>
    <w:rsid w:val="00AF11E8"/>
    <w:rsid w:val="00AF2249"/>
    <w:rsid w:val="00AF2477"/>
    <w:rsid w:val="00AF3721"/>
    <w:rsid w:val="00AF39C2"/>
    <w:rsid w:val="00AF40CC"/>
    <w:rsid w:val="00AF41C9"/>
    <w:rsid w:val="00AF4E7C"/>
    <w:rsid w:val="00AF4F3B"/>
    <w:rsid w:val="00AF52BE"/>
    <w:rsid w:val="00AF5FE9"/>
    <w:rsid w:val="00AF728C"/>
    <w:rsid w:val="00AF7EB4"/>
    <w:rsid w:val="00B00AFA"/>
    <w:rsid w:val="00B01412"/>
    <w:rsid w:val="00B01E51"/>
    <w:rsid w:val="00B025DD"/>
    <w:rsid w:val="00B02AC0"/>
    <w:rsid w:val="00B030A6"/>
    <w:rsid w:val="00B0420A"/>
    <w:rsid w:val="00B04431"/>
    <w:rsid w:val="00B045A4"/>
    <w:rsid w:val="00B04BD5"/>
    <w:rsid w:val="00B05304"/>
    <w:rsid w:val="00B060B7"/>
    <w:rsid w:val="00B063C0"/>
    <w:rsid w:val="00B077C7"/>
    <w:rsid w:val="00B078AB"/>
    <w:rsid w:val="00B07B8D"/>
    <w:rsid w:val="00B07C10"/>
    <w:rsid w:val="00B07C14"/>
    <w:rsid w:val="00B10EC9"/>
    <w:rsid w:val="00B11812"/>
    <w:rsid w:val="00B12267"/>
    <w:rsid w:val="00B12E17"/>
    <w:rsid w:val="00B13108"/>
    <w:rsid w:val="00B135AA"/>
    <w:rsid w:val="00B137C1"/>
    <w:rsid w:val="00B148C4"/>
    <w:rsid w:val="00B157EC"/>
    <w:rsid w:val="00B15B19"/>
    <w:rsid w:val="00B16258"/>
    <w:rsid w:val="00B163BE"/>
    <w:rsid w:val="00B171C0"/>
    <w:rsid w:val="00B207DD"/>
    <w:rsid w:val="00B2089D"/>
    <w:rsid w:val="00B20A52"/>
    <w:rsid w:val="00B20A73"/>
    <w:rsid w:val="00B21130"/>
    <w:rsid w:val="00B2165B"/>
    <w:rsid w:val="00B226BF"/>
    <w:rsid w:val="00B233DE"/>
    <w:rsid w:val="00B236E4"/>
    <w:rsid w:val="00B23B3F"/>
    <w:rsid w:val="00B23C74"/>
    <w:rsid w:val="00B245C8"/>
    <w:rsid w:val="00B247CC"/>
    <w:rsid w:val="00B24F56"/>
    <w:rsid w:val="00B254B0"/>
    <w:rsid w:val="00B2585D"/>
    <w:rsid w:val="00B25EFE"/>
    <w:rsid w:val="00B26A64"/>
    <w:rsid w:val="00B271AB"/>
    <w:rsid w:val="00B30876"/>
    <w:rsid w:val="00B3127E"/>
    <w:rsid w:val="00B313B7"/>
    <w:rsid w:val="00B31B0E"/>
    <w:rsid w:val="00B32BE5"/>
    <w:rsid w:val="00B32D1A"/>
    <w:rsid w:val="00B35502"/>
    <w:rsid w:val="00B36E95"/>
    <w:rsid w:val="00B37291"/>
    <w:rsid w:val="00B37B88"/>
    <w:rsid w:val="00B41979"/>
    <w:rsid w:val="00B419EE"/>
    <w:rsid w:val="00B43C5A"/>
    <w:rsid w:val="00B43CA6"/>
    <w:rsid w:val="00B44950"/>
    <w:rsid w:val="00B450F3"/>
    <w:rsid w:val="00B45646"/>
    <w:rsid w:val="00B4572F"/>
    <w:rsid w:val="00B45BD7"/>
    <w:rsid w:val="00B45C55"/>
    <w:rsid w:val="00B464EE"/>
    <w:rsid w:val="00B46C36"/>
    <w:rsid w:val="00B46C7B"/>
    <w:rsid w:val="00B46CF7"/>
    <w:rsid w:val="00B4760E"/>
    <w:rsid w:val="00B501F7"/>
    <w:rsid w:val="00B51946"/>
    <w:rsid w:val="00B51CDF"/>
    <w:rsid w:val="00B52BD0"/>
    <w:rsid w:val="00B52D23"/>
    <w:rsid w:val="00B537D3"/>
    <w:rsid w:val="00B53825"/>
    <w:rsid w:val="00B53916"/>
    <w:rsid w:val="00B54017"/>
    <w:rsid w:val="00B54979"/>
    <w:rsid w:val="00B54D4B"/>
    <w:rsid w:val="00B5543B"/>
    <w:rsid w:val="00B55A43"/>
    <w:rsid w:val="00B569BE"/>
    <w:rsid w:val="00B57541"/>
    <w:rsid w:val="00B57623"/>
    <w:rsid w:val="00B57680"/>
    <w:rsid w:val="00B608A5"/>
    <w:rsid w:val="00B61DCA"/>
    <w:rsid w:val="00B62611"/>
    <w:rsid w:val="00B628A1"/>
    <w:rsid w:val="00B63866"/>
    <w:rsid w:val="00B638B4"/>
    <w:rsid w:val="00B65EEF"/>
    <w:rsid w:val="00B66EF7"/>
    <w:rsid w:val="00B67068"/>
    <w:rsid w:val="00B67A8F"/>
    <w:rsid w:val="00B707A5"/>
    <w:rsid w:val="00B70AF6"/>
    <w:rsid w:val="00B71369"/>
    <w:rsid w:val="00B7351A"/>
    <w:rsid w:val="00B743C4"/>
    <w:rsid w:val="00B74691"/>
    <w:rsid w:val="00B74C34"/>
    <w:rsid w:val="00B74C98"/>
    <w:rsid w:val="00B7632F"/>
    <w:rsid w:val="00B764BD"/>
    <w:rsid w:val="00B774B3"/>
    <w:rsid w:val="00B77C70"/>
    <w:rsid w:val="00B77F2F"/>
    <w:rsid w:val="00B80473"/>
    <w:rsid w:val="00B80D2A"/>
    <w:rsid w:val="00B80D3F"/>
    <w:rsid w:val="00B813AA"/>
    <w:rsid w:val="00B813EC"/>
    <w:rsid w:val="00B81C26"/>
    <w:rsid w:val="00B82071"/>
    <w:rsid w:val="00B82131"/>
    <w:rsid w:val="00B825C2"/>
    <w:rsid w:val="00B8270F"/>
    <w:rsid w:val="00B828FD"/>
    <w:rsid w:val="00B830BA"/>
    <w:rsid w:val="00B83210"/>
    <w:rsid w:val="00B84E62"/>
    <w:rsid w:val="00B853DF"/>
    <w:rsid w:val="00B8599A"/>
    <w:rsid w:val="00B86FB3"/>
    <w:rsid w:val="00B87072"/>
    <w:rsid w:val="00B874B7"/>
    <w:rsid w:val="00B8754E"/>
    <w:rsid w:val="00B877D1"/>
    <w:rsid w:val="00B87B52"/>
    <w:rsid w:val="00B87F89"/>
    <w:rsid w:val="00B90CB4"/>
    <w:rsid w:val="00B90CBC"/>
    <w:rsid w:val="00B911E8"/>
    <w:rsid w:val="00B913AC"/>
    <w:rsid w:val="00B923CD"/>
    <w:rsid w:val="00B929D4"/>
    <w:rsid w:val="00B93246"/>
    <w:rsid w:val="00B938AE"/>
    <w:rsid w:val="00B939C8"/>
    <w:rsid w:val="00B94D65"/>
    <w:rsid w:val="00B95903"/>
    <w:rsid w:val="00B95E4A"/>
    <w:rsid w:val="00B9600B"/>
    <w:rsid w:val="00B97871"/>
    <w:rsid w:val="00B97ABD"/>
    <w:rsid w:val="00B97BA7"/>
    <w:rsid w:val="00B97FE7"/>
    <w:rsid w:val="00BA00A8"/>
    <w:rsid w:val="00BA02E7"/>
    <w:rsid w:val="00BA08AE"/>
    <w:rsid w:val="00BA1193"/>
    <w:rsid w:val="00BA1AF3"/>
    <w:rsid w:val="00BA27BD"/>
    <w:rsid w:val="00BA2D2A"/>
    <w:rsid w:val="00BA2DB3"/>
    <w:rsid w:val="00BA3040"/>
    <w:rsid w:val="00BA3189"/>
    <w:rsid w:val="00BA3209"/>
    <w:rsid w:val="00BA456B"/>
    <w:rsid w:val="00BA4EEA"/>
    <w:rsid w:val="00BA5D2B"/>
    <w:rsid w:val="00BA67F6"/>
    <w:rsid w:val="00BA6E26"/>
    <w:rsid w:val="00BA7A17"/>
    <w:rsid w:val="00BB0089"/>
    <w:rsid w:val="00BB098F"/>
    <w:rsid w:val="00BB0DF5"/>
    <w:rsid w:val="00BB0FD3"/>
    <w:rsid w:val="00BB1AB0"/>
    <w:rsid w:val="00BB1BA2"/>
    <w:rsid w:val="00BB1D3B"/>
    <w:rsid w:val="00BB2181"/>
    <w:rsid w:val="00BB22D8"/>
    <w:rsid w:val="00BB2E6D"/>
    <w:rsid w:val="00BB44EC"/>
    <w:rsid w:val="00BB4976"/>
    <w:rsid w:val="00BB50C9"/>
    <w:rsid w:val="00BB6750"/>
    <w:rsid w:val="00BB6759"/>
    <w:rsid w:val="00BB67BB"/>
    <w:rsid w:val="00BB7954"/>
    <w:rsid w:val="00BB7A27"/>
    <w:rsid w:val="00BB7CA4"/>
    <w:rsid w:val="00BB7F71"/>
    <w:rsid w:val="00BC01A2"/>
    <w:rsid w:val="00BC0E98"/>
    <w:rsid w:val="00BC125E"/>
    <w:rsid w:val="00BC1763"/>
    <w:rsid w:val="00BC2310"/>
    <w:rsid w:val="00BC2840"/>
    <w:rsid w:val="00BC3DC9"/>
    <w:rsid w:val="00BC50EE"/>
    <w:rsid w:val="00BC5249"/>
    <w:rsid w:val="00BC55CB"/>
    <w:rsid w:val="00BC60BB"/>
    <w:rsid w:val="00BC6974"/>
    <w:rsid w:val="00BC7290"/>
    <w:rsid w:val="00BC72F4"/>
    <w:rsid w:val="00BD0A63"/>
    <w:rsid w:val="00BD0B1D"/>
    <w:rsid w:val="00BD0B67"/>
    <w:rsid w:val="00BD10CD"/>
    <w:rsid w:val="00BD1230"/>
    <w:rsid w:val="00BD2A66"/>
    <w:rsid w:val="00BD2EF4"/>
    <w:rsid w:val="00BD30C5"/>
    <w:rsid w:val="00BD3193"/>
    <w:rsid w:val="00BD3B7C"/>
    <w:rsid w:val="00BD3E8B"/>
    <w:rsid w:val="00BD4116"/>
    <w:rsid w:val="00BD4199"/>
    <w:rsid w:val="00BD45BC"/>
    <w:rsid w:val="00BD5C30"/>
    <w:rsid w:val="00BD6ADF"/>
    <w:rsid w:val="00BD7124"/>
    <w:rsid w:val="00BD73E7"/>
    <w:rsid w:val="00BD77B3"/>
    <w:rsid w:val="00BD7E48"/>
    <w:rsid w:val="00BE0952"/>
    <w:rsid w:val="00BE0C48"/>
    <w:rsid w:val="00BE0F19"/>
    <w:rsid w:val="00BE1598"/>
    <w:rsid w:val="00BE1C44"/>
    <w:rsid w:val="00BE2932"/>
    <w:rsid w:val="00BE2E19"/>
    <w:rsid w:val="00BE2E85"/>
    <w:rsid w:val="00BE2F5E"/>
    <w:rsid w:val="00BE438E"/>
    <w:rsid w:val="00BE45C8"/>
    <w:rsid w:val="00BE48DD"/>
    <w:rsid w:val="00BE5618"/>
    <w:rsid w:val="00BE5A18"/>
    <w:rsid w:val="00BE5D0A"/>
    <w:rsid w:val="00BE63FF"/>
    <w:rsid w:val="00BE7077"/>
    <w:rsid w:val="00BE714F"/>
    <w:rsid w:val="00BE7E15"/>
    <w:rsid w:val="00BF027A"/>
    <w:rsid w:val="00BF0299"/>
    <w:rsid w:val="00BF04C4"/>
    <w:rsid w:val="00BF09DD"/>
    <w:rsid w:val="00BF14AC"/>
    <w:rsid w:val="00BF1895"/>
    <w:rsid w:val="00BF1DAA"/>
    <w:rsid w:val="00BF2134"/>
    <w:rsid w:val="00BF2512"/>
    <w:rsid w:val="00BF328C"/>
    <w:rsid w:val="00BF3795"/>
    <w:rsid w:val="00BF385F"/>
    <w:rsid w:val="00BF449B"/>
    <w:rsid w:val="00BF4503"/>
    <w:rsid w:val="00BF4956"/>
    <w:rsid w:val="00BF4D80"/>
    <w:rsid w:val="00BF4F04"/>
    <w:rsid w:val="00BF53CC"/>
    <w:rsid w:val="00BF5C1B"/>
    <w:rsid w:val="00BF5F03"/>
    <w:rsid w:val="00BF63B9"/>
    <w:rsid w:val="00BF7F30"/>
    <w:rsid w:val="00C001AD"/>
    <w:rsid w:val="00C009D5"/>
    <w:rsid w:val="00C00D13"/>
    <w:rsid w:val="00C01BDD"/>
    <w:rsid w:val="00C03B1B"/>
    <w:rsid w:val="00C03D13"/>
    <w:rsid w:val="00C03F49"/>
    <w:rsid w:val="00C0470A"/>
    <w:rsid w:val="00C056B0"/>
    <w:rsid w:val="00C05D0B"/>
    <w:rsid w:val="00C05FC3"/>
    <w:rsid w:val="00C06496"/>
    <w:rsid w:val="00C06D86"/>
    <w:rsid w:val="00C10787"/>
    <w:rsid w:val="00C11270"/>
    <w:rsid w:val="00C1188D"/>
    <w:rsid w:val="00C11CC7"/>
    <w:rsid w:val="00C1214E"/>
    <w:rsid w:val="00C123A9"/>
    <w:rsid w:val="00C127DD"/>
    <w:rsid w:val="00C12D0D"/>
    <w:rsid w:val="00C13E46"/>
    <w:rsid w:val="00C15CFD"/>
    <w:rsid w:val="00C15F81"/>
    <w:rsid w:val="00C16150"/>
    <w:rsid w:val="00C16863"/>
    <w:rsid w:val="00C16B05"/>
    <w:rsid w:val="00C16D63"/>
    <w:rsid w:val="00C173D4"/>
    <w:rsid w:val="00C1742F"/>
    <w:rsid w:val="00C1756B"/>
    <w:rsid w:val="00C176F3"/>
    <w:rsid w:val="00C17C6C"/>
    <w:rsid w:val="00C20C1A"/>
    <w:rsid w:val="00C20F79"/>
    <w:rsid w:val="00C213B7"/>
    <w:rsid w:val="00C22540"/>
    <w:rsid w:val="00C22B66"/>
    <w:rsid w:val="00C22E9C"/>
    <w:rsid w:val="00C232D2"/>
    <w:rsid w:val="00C237ED"/>
    <w:rsid w:val="00C24007"/>
    <w:rsid w:val="00C24E47"/>
    <w:rsid w:val="00C25007"/>
    <w:rsid w:val="00C253C3"/>
    <w:rsid w:val="00C254B2"/>
    <w:rsid w:val="00C26276"/>
    <w:rsid w:val="00C26285"/>
    <w:rsid w:val="00C26919"/>
    <w:rsid w:val="00C2704C"/>
    <w:rsid w:val="00C270FC"/>
    <w:rsid w:val="00C27182"/>
    <w:rsid w:val="00C27291"/>
    <w:rsid w:val="00C274A2"/>
    <w:rsid w:val="00C27D8A"/>
    <w:rsid w:val="00C27E1F"/>
    <w:rsid w:val="00C30474"/>
    <w:rsid w:val="00C305FB"/>
    <w:rsid w:val="00C31D50"/>
    <w:rsid w:val="00C31D8B"/>
    <w:rsid w:val="00C32A98"/>
    <w:rsid w:val="00C34438"/>
    <w:rsid w:val="00C35D50"/>
    <w:rsid w:val="00C36A2E"/>
    <w:rsid w:val="00C375E8"/>
    <w:rsid w:val="00C37D01"/>
    <w:rsid w:val="00C4082F"/>
    <w:rsid w:val="00C40E2A"/>
    <w:rsid w:val="00C41871"/>
    <w:rsid w:val="00C41960"/>
    <w:rsid w:val="00C41CCA"/>
    <w:rsid w:val="00C41F27"/>
    <w:rsid w:val="00C420DF"/>
    <w:rsid w:val="00C42C47"/>
    <w:rsid w:val="00C431C1"/>
    <w:rsid w:val="00C43547"/>
    <w:rsid w:val="00C44250"/>
    <w:rsid w:val="00C44485"/>
    <w:rsid w:val="00C44680"/>
    <w:rsid w:val="00C44A46"/>
    <w:rsid w:val="00C44FF9"/>
    <w:rsid w:val="00C45157"/>
    <w:rsid w:val="00C4547C"/>
    <w:rsid w:val="00C45B14"/>
    <w:rsid w:val="00C45ECD"/>
    <w:rsid w:val="00C46E1C"/>
    <w:rsid w:val="00C47AB5"/>
    <w:rsid w:val="00C5033E"/>
    <w:rsid w:val="00C50353"/>
    <w:rsid w:val="00C506BA"/>
    <w:rsid w:val="00C50E5C"/>
    <w:rsid w:val="00C52184"/>
    <w:rsid w:val="00C52386"/>
    <w:rsid w:val="00C52933"/>
    <w:rsid w:val="00C535F4"/>
    <w:rsid w:val="00C53B36"/>
    <w:rsid w:val="00C53BCF"/>
    <w:rsid w:val="00C53C69"/>
    <w:rsid w:val="00C54195"/>
    <w:rsid w:val="00C54971"/>
    <w:rsid w:val="00C54CC7"/>
    <w:rsid w:val="00C5539D"/>
    <w:rsid w:val="00C55928"/>
    <w:rsid w:val="00C5787C"/>
    <w:rsid w:val="00C60006"/>
    <w:rsid w:val="00C60EAF"/>
    <w:rsid w:val="00C61266"/>
    <w:rsid w:val="00C61576"/>
    <w:rsid w:val="00C6179B"/>
    <w:rsid w:val="00C61B55"/>
    <w:rsid w:val="00C62616"/>
    <w:rsid w:val="00C62881"/>
    <w:rsid w:val="00C63697"/>
    <w:rsid w:val="00C63B09"/>
    <w:rsid w:val="00C63C35"/>
    <w:rsid w:val="00C63EDF"/>
    <w:rsid w:val="00C641A4"/>
    <w:rsid w:val="00C64374"/>
    <w:rsid w:val="00C64983"/>
    <w:rsid w:val="00C65154"/>
    <w:rsid w:val="00C65281"/>
    <w:rsid w:val="00C65E78"/>
    <w:rsid w:val="00C66180"/>
    <w:rsid w:val="00C6680A"/>
    <w:rsid w:val="00C66AAE"/>
    <w:rsid w:val="00C6714F"/>
    <w:rsid w:val="00C67338"/>
    <w:rsid w:val="00C67D4E"/>
    <w:rsid w:val="00C7077D"/>
    <w:rsid w:val="00C71459"/>
    <w:rsid w:val="00C716CB"/>
    <w:rsid w:val="00C729E8"/>
    <w:rsid w:val="00C73F2A"/>
    <w:rsid w:val="00C74157"/>
    <w:rsid w:val="00C74B03"/>
    <w:rsid w:val="00C74F7F"/>
    <w:rsid w:val="00C750E0"/>
    <w:rsid w:val="00C75E6F"/>
    <w:rsid w:val="00C75F78"/>
    <w:rsid w:val="00C7734F"/>
    <w:rsid w:val="00C7779F"/>
    <w:rsid w:val="00C77F4C"/>
    <w:rsid w:val="00C80280"/>
    <w:rsid w:val="00C8069F"/>
    <w:rsid w:val="00C81247"/>
    <w:rsid w:val="00C82614"/>
    <w:rsid w:val="00C8353A"/>
    <w:rsid w:val="00C83C79"/>
    <w:rsid w:val="00C8460D"/>
    <w:rsid w:val="00C85549"/>
    <w:rsid w:val="00C85877"/>
    <w:rsid w:val="00C85964"/>
    <w:rsid w:val="00C85A4F"/>
    <w:rsid w:val="00C86025"/>
    <w:rsid w:val="00C87EBE"/>
    <w:rsid w:val="00C909C1"/>
    <w:rsid w:val="00C90E63"/>
    <w:rsid w:val="00C91146"/>
    <w:rsid w:val="00C92703"/>
    <w:rsid w:val="00C931EF"/>
    <w:rsid w:val="00C9420E"/>
    <w:rsid w:val="00C94E1E"/>
    <w:rsid w:val="00C954C4"/>
    <w:rsid w:val="00C95EFD"/>
    <w:rsid w:val="00C975F2"/>
    <w:rsid w:val="00C97705"/>
    <w:rsid w:val="00C978FF"/>
    <w:rsid w:val="00C97A9F"/>
    <w:rsid w:val="00CA01D4"/>
    <w:rsid w:val="00CA07B9"/>
    <w:rsid w:val="00CA104A"/>
    <w:rsid w:val="00CA254E"/>
    <w:rsid w:val="00CA28B6"/>
    <w:rsid w:val="00CA2B74"/>
    <w:rsid w:val="00CA2BD5"/>
    <w:rsid w:val="00CA33BB"/>
    <w:rsid w:val="00CA38AB"/>
    <w:rsid w:val="00CA3C66"/>
    <w:rsid w:val="00CA4F57"/>
    <w:rsid w:val="00CA6CD0"/>
    <w:rsid w:val="00CA7152"/>
    <w:rsid w:val="00CA724D"/>
    <w:rsid w:val="00CA72DA"/>
    <w:rsid w:val="00CA75C2"/>
    <w:rsid w:val="00CA7BB8"/>
    <w:rsid w:val="00CB0643"/>
    <w:rsid w:val="00CB0CA4"/>
    <w:rsid w:val="00CB1235"/>
    <w:rsid w:val="00CB1DDA"/>
    <w:rsid w:val="00CB230A"/>
    <w:rsid w:val="00CB276D"/>
    <w:rsid w:val="00CB3D94"/>
    <w:rsid w:val="00CB4AA8"/>
    <w:rsid w:val="00CB4AAF"/>
    <w:rsid w:val="00CB50BA"/>
    <w:rsid w:val="00CB54D4"/>
    <w:rsid w:val="00CB55E1"/>
    <w:rsid w:val="00CB5B1D"/>
    <w:rsid w:val="00CB5E94"/>
    <w:rsid w:val="00CB6162"/>
    <w:rsid w:val="00CB62B3"/>
    <w:rsid w:val="00CB6464"/>
    <w:rsid w:val="00CB6553"/>
    <w:rsid w:val="00CB70AD"/>
    <w:rsid w:val="00CB738C"/>
    <w:rsid w:val="00CB7CD3"/>
    <w:rsid w:val="00CB7F4A"/>
    <w:rsid w:val="00CC07E5"/>
    <w:rsid w:val="00CC0C73"/>
    <w:rsid w:val="00CC1F6F"/>
    <w:rsid w:val="00CC22AF"/>
    <w:rsid w:val="00CC28CD"/>
    <w:rsid w:val="00CC2CAA"/>
    <w:rsid w:val="00CC330D"/>
    <w:rsid w:val="00CC359F"/>
    <w:rsid w:val="00CC406A"/>
    <w:rsid w:val="00CC44F7"/>
    <w:rsid w:val="00CC476D"/>
    <w:rsid w:val="00CC494E"/>
    <w:rsid w:val="00CC4AB0"/>
    <w:rsid w:val="00CC51BA"/>
    <w:rsid w:val="00CC5267"/>
    <w:rsid w:val="00CC5320"/>
    <w:rsid w:val="00CC57A1"/>
    <w:rsid w:val="00CC5E36"/>
    <w:rsid w:val="00CC6508"/>
    <w:rsid w:val="00CC695A"/>
    <w:rsid w:val="00CD029C"/>
    <w:rsid w:val="00CD04CF"/>
    <w:rsid w:val="00CD1572"/>
    <w:rsid w:val="00CD182E"/>
    <w:rsid w:val="00CD284C"/>
    <w:rsid w:val="00CD29EF"/>
    <w:rsid w:val="00CD2A27"/>
    <w:rsid w:val="00CD2D3E"/>
    <w:rsid w:val="00CD34FC"/>
    <w:rsid w:val="00CD3789"/>
    <w:rsid w:val="00CD429F"/>
    <w:rsid w:val="00CD4AF2"/>
    <w:rsid w:val="00CD53CB"/>
    <w:rsid w:val="00CD628B"/>
    <w:rsid w:val="00CD74EB"/>
    <w:rsid w:val="00CD74F2"/>
    <w:rsid w:val="00CD7A89"/>
    <w:rsid w:val="00CE23D3"/>
    <w:rsid w:val="00CE249F"/>
    <w:rsid w:val="00CE2547"/>
    <w:rsid w:val="00CE37A4"/>
    <w:rsid w:val="00CE4239"/>
    <w:rsid w:val="00CE4BB5"/>
    <w:rsid w:val="00CE4F17"/>
    <w:rsid w:val="00CE5592"/>
    <w:rsid w:val="00CE57C7"/>
    <w:rsid w:val="00CE7AF4"/>
    <w:rsid w:val="00CF01CD"/>
    <w:rsid w:val="00CF1086"/>
    <w:rsid w:val="00CF1943"/>
    <w:rsid w:val="00CF3FF5"/>
    <w:rsid w:val="00CF4122"/>
    <w:rsid w:val="00CF5B7A"/>
    <w:rsid w:val="00CF5D8A"/>
    <w:rsid w:val="00CF6712"/>
    <w:rsid w:val="00CF67AA"/>
    <w:rsid w:val="00CF6DD4"/>
    <w:rsid w:val="00CF7623"/>
    <w:rsid w:val="00CF76E6"/>
    <w:rsid w:val="00CF7AD6"/>
    <w:rsid w:val="00CF7F30"/>
    <w:rsid w:val="00D00BBE"/>
    <w:rsid w:val="00D0113C"/>
    <w:rsid w:val="00D01B10"/>
    <w:rsid w:val="00D01D5F"/>
    <w:rsid w:val="00D02047"/>
    <w:rsid w:val="00D0208E"/>
    <w:rsid w:val="00D03A89"/>
    <w:rsid w:val="00D03D86"/>
    <w:rsid w:val="00D043EE"/>
    <w:rsid w:val="00D04857"/>
    <w:rsid w:val="00D04867"/>
    <w:rsid w:val="00D049C2"/>
    <w:rsid w:val="00D050B8"/>
    <w:rsid w:val="00D05499"/>
    <w:rsid w:val="00D05595"/>
    <w:rsid w:val="00D07C5E"/>
    <w:rsid w:val="00D07F56"/>
    <w:rsid w:val="00D10168"/>
    <w:rsid w:val="00D1185A"/>
    <w:rsid w:val="00D119D3"/>
    <w:rsid w:val="00D11DD1"/>
    <w:rsid w:val="00D121BE"/>
    <w:rsid w:val="00D12CEB"/>
    <w:rsid w:val="00D13B4F"/>
    <w:rsid w:val="00D13D91"/>
    <w:rsid w:val="00D14AC1"/>
    <w:rsid w:val="00D155B2"/>
    <w:rsid w:val="00D161BD"/>
    <w:rsid w:val="00D16977"/>
    <w:rsid w:val="00D17242"/>
    <w:rsid w:val="00D17D05"/>
    <w:rsid w:val="00D17F13"/>
    <w:rsid w:val="00D209F0"/>
    <w:rsid w:val="00D21761"/>
    <w:rsid w:val="00D22A67"/>
    <w:rsid w:val="00D23264"/>
    <w:rsid w:val="00D232C6"/>
    <w:rsid w:val="00D23D04"/>
    <w:rsid w:val="00D2438F"/>
    <w:rsid w:val="00D24B89"/>
    <w:rsid w:val="00D25037"/>
    <w:rsid w:val="00D256D3"/>
    <w:rsid w:val="00D25CDC"/>
    <w:rsid w:val="00D2626E"/>
    <w:rsid w:val="00D26368"/>
    <w:rsid w:val="00D26960"/>
    <w:rsid w:val="00D26DCD"/>
    <w:rsid w:val="00D278DD"/>
    <w:rsid w:val="00D27B9B"/>
    <w:rsid w:val="00D3006A"/>
    <w:rsid w:val="00D3034C"/>
    <w:rsid w:val="00D305FE"/>
    <w:rsid w:val="00D340A4"/>
    <w:rsid w:val="00D34FBC"/>
    <w:rsid w:val="00D36CB1"/>
    <w:rsid w:val="00D372D3"/>
    <w:rsid w:val="00D3744B"/>
    <w:rsid w:val="00D40430"/>
    <w:rsid w:val="00D40C5D"/>
    <w:rsid w:val="00D41390"/>
    <w:rsid w:val="00D416A7"/>
    <w:rsid w:val="00D41BA1"/>
    <w:rsid w:val="00D41E23"/>
    <w:rsid w:val="00D425FA"/>
    <w:rsid w:val="00D42816"/>
    <w:rsid w:val="00D42A9B"/>
    <w:rsid w:val="00D43B72"/>
    <w:rsid w:val="00D44202"/>
    <w:rsid w:val="00D468F6"/>
    <w:rsid w:val="00D47ABE"/>
    <w:rsid w:val="00D47E0C"/>
    <w:rsid w:val="00D50299"/>
    <w:rsid w:val="00D5057C"/>
    <w:rsid w:val="00D50B2E"/>
    <w:rsid w:val="00D50B59"/>
    <w:rsid w:val="00D51244"/>
    <w:rsid w:val="00D51705"/>
    <w:rsid w:val="00D52241"/>
    <w:rsid w:val="00D52B9E"/>
    <w:rsid w:val="00D52BD3"/>
    <w:rsid w:val="00D5391C"/>
    <w:rsid w:val="00D53F02"/>
    <w:rsid w:val="00D54B34"/>
    <w:rsid w:val="00D54D23"/>
    <w:rsid w:val="00D54DD1"/>
    <w:rsid w:val="00D5566F"/>
    <w:rsid w:val="00D56EEB"/>
    <w:rsid w:val="00D57C6B"/>
    <w:rsid w:val="00D61735"/>
    <w:rsid w:val="00D61FD6"/>
    <w:rsid w:val="00D62159"/>
    <w:rsid w:val="00D62524"/>
    <w:rsid w:val="00D62D8D"/>
    <w:rsid w:val="00D62D9E"/>
    <w:rsid w:val="00D630FD"/>
    <w:rsid w:val="00D639B7"/>
    <w:rsid w:val="00D642D8"/>
    <w:rsid w:val="00D64954"/>
    <w:rsid w:val="00D660BC"/>
    <w:rsid w:val="00D66187"/>
    <w:rsid w:val="00D66540"/>
    <w:rsid w:val="00D66DC0"/>
    <w:rsid w:val="00D67D11"/>
    <w:rsid w:val="00D7011B"/>
    <w:rsid w:val="00D70176"/>
    <w:rsid w:val="00D706BD"/>
    <w:rsid w:val="00D70C66"/>
    <w:rsid w:val="00D710CC"/>
    <w:rsid w:val="00D71306"/>
    <w:rsid w:val="00D72060"/>
    <w:rsid w:val="00D7226B"/>
    <w:rsid w:val="00D7291C"/>
    <w:rsid w:val="00D7362A"/>
    <w:rsid w:val="00D7456A"/>
    <w:rsid w:val="00D74926"/>
    <w:rsid w:val="00D7536D"/>
    <w:rsid w:val="00D75A34"/>
    <w:rsid w:val="00D75E70"/>
    <w:rsid w:val="00D7694B"/>
    <w:rsid w:val="00D77B98"/>
    <w:rsid w:val="00D77E26"/>
    <w:rsid w:val="00D80FB0"/>
    <w:rsid w:val="00D81CFF"/>
    <w:rsid w:val="00D820A6"/>
    <w:rsid w:val="00D82551"/>
    <w:rsid w:val="00D82823"/>
    <w:rsid w:val="00D8285A"/>
    <w:rsid w:val="00D85EB1"/>
    <w:rsid w:val="00D85FF6"/>
    <w:rsid w:val="00D864D9"/>
    <w:rsid w:val="00D872BA"/>
    <w:rsid w:val="00D87524"/>
    <w:rsid w:val="00D9081D"/>
    <w:rsid w:val="00D90B3A"/>
    <w:rsid w:val="00D90C10"/>
    <w:rsid w:val="00D910E7"/>
    <w:rsid w:val="00D910FF"/>
    <w:rsid w:val="00D9129F"/>
    <w:rsid w:val="00D91343"/>
    <w:rsid w:val="00D91739"/>
    <w:rsid w:val="00D91DE6"/>
    <w:rsid w:val="00D91F0D"/>
    <w:rsid w:val="00D9211C"/>
    <w:rsid w:val="00D92298"/>
    <w:rsid w:val="00D92446"/>
    <w:rsid w:val="00D927A4"/>
    <w:rsid w:val="00D94551"/>
    <w:rsid w:val="00D9484D"/>
    <w:rsid w:val="00D94E8A"/>
    <w:rsid w:val="00D9522B"/>
    <w:rsid w:val="00D95355"/>
    <w:rsid w:val="00D95EE1"/>
    <w:rsid w:val="00D96A9C"/>
    <w:rsid w:val="00D97AFE"/>
    <w:rsid w:val="00D97F2B"/>
    <w:rsid w:val="00DA0162"/>
    <w:rsid w:val="00DA02B4"/>
    <w:rsid w:val="00DA14E3"/>
    <w:rsid w:val="00DA1612"/>
    <w:rsid w:val="00DA1BB2"/>
    <w:rsid w:val="00DA21B0"/>
    <w:rsid w:val="00DA2372"/>
    <w:rsid w:val="00DA2692"/>
    <w:rsid w:val="00DA2C51"/>
    <w:rsid w:val="00DA2E50"/>
    <w:rsid w:val="00DA3EBB"/>
    <w:rsid w:val="00DA4537"/>
    <w:rsid w:val="00DA4873"/>
    <w:rsid w:val="00DA4D7E"/>
    <w:rsid w:val="00DA75B1"/>
    <w:rsid w:val="00DA7B48"/>
    <w:rsid w:val="00DB0846"/>
    <w:rsid w:val="00DB12B4"/>
    <w:rsid w:val="00DB1FFD"/>
    <w:rsid w:val="00DB232F"/>
    <w:rsid w:val="00DB2343"/>
    <w:rsid w:val="00DB3F73"/>
    <w:rsid w:val="00DB40E4"/>
    <w:rsid w:val="00DB4261"/>
    <w:rsid w:val="00DB4A79"/>
    <w:rsid w:val="00DB5C1F"/>
    <w:rsid w:val="00DB6EE8"/>
    <w:rsid w:val="00DB70D8"/>
    <w:rsid w:val="00DC0079"/>
    <w:rsid w:val="00DC013A"/>
    <w:rsid w:val="00DC05DB"/>
    <w:rsid w:val="00DC0A65"/>
    <w:rsid w:val="00DC136D"/>
    <w:rsid w:val="00DC162D"/>
    <w:rsid w:val="00DC19A9"/>
    <w:rsid w:val="00DC23F5"/>
    <w:rsid w:val="00DC2C0F"/>
    <w:rsid w:val="00DC2DCD"/>
    <w:rsid w:val="00DC3519"/>
    <w:rsid w:val="00DC35C9"/>
    <w:rsid w:val="00DC45A1"/>
    <w:rsid w:val="00DC48B4"/>
    <w:rsid w:val="00DC4CD3"/>
    <w:rsid w:val="00DC60C0"/>
    <w:rsid w:val="00DC64B7"/>
    <w:rsid w:val="00DC66E5"/>
    <w:rsid w:val="00DC69EA"/>
    <w:rsid w:val="00DC6AA8"/>
    <w:rsid w:val="00DC6D7B"/>
    <w:rsid w:val="00DC709A"/>
    <w:rsid w:val="00DC78A0"/>
    <w:rsid w:val="00DD0DC2"/>
    <w:rsid w:val="00DD17A8"/>
    <w:rsid w:val="00DD1A2C"/>
    <w:rsid w:val="00DD1D17"/>
    <w:rsid w:val="00DD1D57"/>
    <w:rsid w:val="00DD290D"/>
    <w:rsid w:val="00DD37D9"/>
    <w:rsid w:val="00DD3B2B"/>
    <w:rsid w:val="00DD3C8F"/>
    <w:rsid w:val="00DD3D0A"/>
    <w:rsid w:val="00DD44CF"/>
    <w:rsid w:val="00DD46D9"/>
    <w:rsid w:val="00DD4864"/>
    <w:rsid w:val="00DD5E0E"/>
    <w:rsid w:val="00DE0268"/>
    <w:rsid w:val="00DE148B"/>
    <w:rsid w:val="00DE1FED"/>
    <w:rsid w:val="00DE2160"/>
    <w:rsid w:val="00DE397E"/>
    <w:rsid w:val="00DE3F9C"/>
    <w:rsid w:val="00DE4A86"/>
    <w:rsid w:val="00DE4C92"/>
    <w:rsid w:val="00DE4DFB"/>
    <w:rsid w:val="00DE5AB3"/>
    <w:rsid w:val="00DE73AF"/>
    <w:rsid w:val="00DE78CE"/>
    <w:rsid w:val="00DE791E"/>
    <w:rsid w:val="00DE7D98"/>
    <w:rsid w:val="00DF16AE"/>
    <w:rsid w:val="00DF1788"/>
    <w:rsid w:val="00DF22A1"/>
    <w:rsid w:val="00DF27B2"/>
    <w:rsid w:val="00DF334E"/>
    <w:rsid w:val="00DF3530"/>
    <w:rsid w:val="00DF36B1"/>
    <w:rsid w:val="00DF3930"/>
    <w:rsid w:val="00DF3E3C"/>
    <w:rsid w:val="00DF420E"/>
    <w:rsid w:val="00DF5230"/>
    <w:rsid w:val="00DF5B61"/>
    <w:rsid w:val="00DF5CCF"/>
    <w:rsid w:val="00DF6BDF"/>
    <w:rsid w:val="00E00B26"/>
    <w:rsid w:val="00E012BC"/>
    <w:rsid w:val="00E016F8"/>
    <w:rsid w:val="00E01E38"/>
    <w:rsid w:val="00E0240B"/>
    <w:rsid w:val="00E024A2"/>
    <w:rsid w:val="00E027BB"/>
    <w:rsid w:val="00E02DF8"/>
    <w:rsid w:val="00E038A2"/>
    <w:rsid w:val="00E0427C"/>
    <w:rsid w:val="00E04F22"/>
    <w:rsid w:val="00E05355"/>
    <w:rsid w:val="00E055E8"/>
    <w:rsid w:val="00E05C8B"/>
    <w:rsid w:val="00E05D76"/>
    <w:rsid w:val="00E05DDA"/>
    <w:rsid w:val="00E05FF5"/>
    <w:rsid w:val="00E06025"/>
    <w:rsid w:val="00E06056"/>
    <w:rsid w:val="00E06480"/>
    <w:rsid w:val="00E06660"/>
    <w:rsid w:val="00E06715"/>
    <w:rsid w:val="00E07641"/>
    <w:rsid w:val="00E1031C"/>
    <w:rsid w:val="00E10DA6"/>
    <w:rsid w:val="00E110B1"/>
    <w:rsid w:val="00E1143F"/>
    <w:rsid w:val="00E116F5"/>
    <w:rsid w:val="00E129E4"/>
    <w:rsid w:val="00E12A57"/>
    <w:rsid w:val="00E1317D"/>
    <w:rsid w:val="00E13232"/>
    <w:rsid w:val="00E13367"/>
    <w:rsid w:val="00E1396A"/>
    <w:rsid w:val="00E13E9D"/>
    <w:rsid w:val="00E148C1"/>
    <w:rsid w:val="00E14B38"/>
    <w:rsid w:val="00E16B88"/>
    <w:rsid w:val="00E172E3"/>
    <w:rsid w:val="00E175BE"/>
    <w:rsid w:val="00E20361"/>
    <w:rsid w:val="00E219AB"/>
    <w:rsid w:val="00E21ED0"/>
    <w:rsid w:val="00E2238F"/>
    <w:rsid w:val="00E223BF"/>
    <w:rsid w:val="00E22AEB"/>
    <w:rsid w:val="00E22FF8"/>
    <w:rsid w:val="00E24665"/>
    <w:rsid w:val="00E269CC"/>
    <w:rsid w:val="00E26A9E"/>
    <w:rsid w:val="00E2736F"/>
    <w:rsid w:val="00E274D1"/>
    <w:rsid w:val="00E27732"/>
    <w:rsid w:val="00E27808"/>
    <w:rsid w:val="00E30E40"/>
    <w:rsid w:val="00E31086"/>
    <w:rsid w:val="00E31549"/>
    <w:rsid w:val="00E32E83"/>
    <w:rsid w:val="00E33865"/>
    <w:rsid w:val="00E33B3E"/>
    <w:rsid w:val="00E33FF9"/>
    <w:rsid w:val="00E345D1"/>
    <w:rsid w:val="00E35772"/>
    <w:rsid w:val="00E35A21"/>
    <w:rsid w:val="00E36BD9"/>
    <w:rsid w:val="00E37ED7"/>
    <w:rsid w:val="00E42591"/>
    <w:rsid w:val="00E428AB"/>
    <w:rsid w:val="00E4301B"/>
    <w:rsid w:val="00E4342F"/>
    <w:rsid w:val="00E43834"/>
    <w:rsid w:val="00E43F8F"/>
    <w:rsid w:val="00E45A0C"/>
    <w:rsid w:val="00E45C2C"/>
    <w:rsid w:val="00E45D45"/>
    <w:rsid w:val="00E45E34"/>
    <w:rsid w:val="00E4608C"/>
    <w:rsid w:val="00E46749"/>
    <w:rsid w:val="00E46FB9"/>
    <w:rsid w:val="00E472FC"/>
    <w:rsid w:val="00E47A11"/>
    <w:rsid w:val="00E47CDD"/>
    <w:rsid w:val="00E50123"/>
    <w:rsid w:val="00E501EA"/>
    <w:rsid w:val="00E50AC5"/>
    <w:rsid w:val="00E51FA7"/>
    <w:rsid w:val="00E522BD"/>
    <w:rsid w:val="00E53DAE"/>
    <w:rsid w:val="00E54921"/>
    <w:rsid w:val="00E54C18"/>
    <w:rsid w:val="00E54F88"/>
    <w:rsid w:val="00E5524D"/>
    <w:rsid w:val="00E55F13"/>
    <w:rsid w:val="00E560CA"/>
    <w:rsid w:val="00E56DA5"/>
    <w:rsid w:val="00E5714A"/>
    <w:rsid w:val="00E60908"/>
    <w:rsid w:val="00E60F15"/>
    <w:rsid w:val="00E612B3"/>
    <w:rsid w:val="00E626B1"/>
    <w:rsid w:val="00E626EA"/>
    <w:rsid w:val="00E63847"/>
    <w:rsid w:val="00E638FB"/>
    <w:rsid w:val="00E63E11"/>
    <w:rsid w:val="00E64410"/>
    <w:rsid w:val="00E64903"/>
    <w:rsid w:val="00E66345"/>
    <w:rsid w:val="00E6640C"/>
    <w:rsid w:val="00E672FF"/>
    <w:rsid w:val="00E67552"/>
    <w:rsid w:val="00E70E0A"/>
    <w:rsid w:val="00E71EBA"/>
    <w:rsid w:val="00E71F87"/>
    <w:rsid w:val="00E73293"/>
    <w:rsid w:val="00E734E0"/>
    <w:rsid w:val="00E73998"/>
    <w:rsid w:val="00E73B44"/>
    <w:rsid w:val="00E73C1C"/>
    <w:rsid w:val="00E74781"/>
    <w:rsid w:val="00E748BF"/>
    <w:rsid w:val="00E75C38"/>
    <w:rsid w:val="00E75E1B"/>
    <w:rsid w:val="00E77B00"/>
    <w:rsid w:val="00E80087"/>
    <w:rsid w:val="00E8041F"/>
    <w:rsid w:val="00E81159"/>
    <w:rsid w:val="00E81675"/>
    <w:rsid w:val="00E81C11"/>
    <w:rsid w:val="00E82232"/>
    <w:rsid w:val="00E82332"/>
    <w:rsid w:val="00E82B3C"/>
    <w:rsid w:val="00E82B99"/>
    <w:rsid w:val="00E83105"/>
    <w:rsid w:val="00E83799"/>
    <w:rsid w:val="00E83C3A"/>
    <w:rsid w:val="00E83D67"/>
    <w:rsid w:val="00E840E4"/>
    <w:rsid w:val="00E84CFD"/>
    <w:rsid w:val="00E85197"/>
    <w:rsid w:val="00E85C0D"/>
    <w:rsid w:val="00E85D5E"/>
    <w:rsid w:val="00E85EB9"/>
    <w:rsid w:val="00E863FB"/>
    <w:rsid w:val="00E875C3"/>
    <w:rsid w:val="00E87C3D"/>
    <w:rsid w:val="00E900AF"/>
    <w:rsid w:val="00E900BD"/>
    <w:rsid w:val="00E90CF0"/>
    <w:rsid w:val="00E91928"/>
    <w:rsid w:val="00E92036"/>
    <w:rsid w:val="00E93980"/>
    <w:rsid w:val="00E939B6"/>
    <w:rsid w:val="00E93F24"/>
    <w:rsid w:val="00E93F6E"/>
    <w:rsid w:val="00E941C5"/>
    <w:rsid w:val="00E948B2"/>
    <w:rsid w:val="00E94AFC"/>
    <w:rsid w:val="00E94B42"/>
    <w:rsid w:val="00E959F4"/>
    <w:rsid w:val="00E95C21"/>
    <w:rsid w:val="00E96C26"/>
    <w:rsid w:val="00E96C46"/>
    <w:rsid w:val="00E9745E"/>
    <w:rsid w:val="00E97677"/>
    <w:rsid w:val="00EA08D9"/>
    <w:rsid w:val="00EA10A4"/>
    <w:rsid w:val="00EA10AE"/>
    <w:rsid w:val="00EA2000"/>
    <w:rsid w:val="00EA2186"/>
    <w:rsid w:val="00EA3344"/>
    <w:rsid w:val="00EA39C0"/>
    <w:rsid w:val="00EA3C7F"/>
    <w:rsid w:val="00EA45D0"/>
    <w:rsid w:val="00EA4F11"/>
    <w:rsid w:val="00EA5430"/>
    <w:rsid w:val="00EA755F"/>
    <w:rsid w:val="00EA778B"/>
    <w:rsid w:val="00EB00B2"/>
    <w:rsid w:val="00EB06D6"/>
    <w:rsid w:val="00EB098C"/>
    <w:rsid w:val="00EB0D53"/>
    <w:rsid w:val="00EB106E"/>
    <w:rsid w:val="00EB1CA1"/>
    <w:rsid w:val="00EB20D5"/>
    <w:rsid w:val="00EB2266"/>
    <w:rsid w:val="00EB38C6"/>
    <w:rsid w:val="00EB3A0A"/>
    <w:rsid w:val="00EB40B3"/>
    <w:rsid w:val="00EB488E"/>
    <w:rsid w:val="00EB5097"/>
    <w:rsid w:val="00EB50EF"/>
    <w:rsid w:val="00EB5C6C"/>
    <w:rsid w:val="00EB5DAA"/>
    <w:rsid w:val="00EB6005"/>
    <w:rsid w:val="00EB6126"/>
    <w:rsid w:val="00EB6321"/>
    <w:rsid w:val="00EB7F75"/>
    <w:rsid w:val="00EC0AB5"/>
    <w:rsid w:val="00EC143A"/>
    <w:rsid w:val="00EC283E"/>
    <w:rsid w:val="00EC2DF2"/>
    <w:rsid w:val="00EC3354"/>
    <w:rsid w:val="00EC4213"/>
    <w:rsid w:val="00EC4845"/>
    <w:rsid w:val="00EC5A92"/>
    <w:rsid w:val="00EC5C08"/>
    <w:rsid w:val="00EC5E45"/>
    <w:rsid w:val="00EC611A"/>
    <w:rsid w:val="00EC612B"/>
    <w:rsid w:val="00EC6BA8"/>
    <w:rsid w:val="00EC72CF"/>
    <w:rsid w:val="00EC7321"/>
    <w:rsid w:val="00EC75CB"/>
    <w:rsid w:val="00EC79EF"/>
    <w:rsid w:val="00ED0302"/>
    <w:rsid w:val="00ED0F24"/>
    <w:rsid w:val="00ED19B3"/>
    <w:rsid w:val="00ED21AB"/>
    <w:rsid w:val="00ED2B95"/>
    <w:rsid w:val="00ED34A4"/>
    <w:rsid w:val="00ED39FA"/>
    <w:rsid w:val="00ED3B62"/>
    <w:rsid w:val="00ED3BA1"/>
    <w:rsid w:val="00ED4CBE"/>
    <w:rsid w:val="00ED5D4B"/>
    <w:rsid w:val="00ED786A"/>
    <w:rsid w:val="00EE0592"/>
    <w:rsid w:val="00EE1844"/>
    <w:rsid w:val="00EE1923"/>
    <w:rsid w:val="00EE2423"/>
    <w:rsid w:val="00EE3293"/>
    <w:rsid w:val="00EE3FEC"/>
    <w:rsid w:val="00EE4491"/>
    <w:rsid w:val="00EE4793"/>
    <w:rsid w:val="00EE5C83"/>
    <w:rsid w:val="00EE6369"/>
    <w:rsid w:val="00EE65E0"/>
    <w:rsid w:val="00EE6BB0"/>
    <w:rsid w:val="00EF0038"/>
    <w:rsid w:val="00EF0106"/>
    <w:rsid w:val="00EF0812"/>
    <w:rsid w:val="00EF0AA2"/>
    <w:rsid w:val="00EF1532"/>
    <w:rsid w:val="00EF1817"/>
    <w:rsid w:val="00EF1DED"/>
    <w:rsid w:val="00EF272D"/>
    <w:rsid w:val="00EF38A3"/>
    <w:rsid w:val="00EF3945"/>
    <w:rsid w:val="00EF43DC"/>
    <w:rsid w:val="00EF54F5"/>
    <w:rsid w:val="00EF5C86"/>
    <w:rsid w:val="00EF5DA3"/>
    <w:rsid w:val="00EF6FED"/>
    <w:rsid w:val="00EF73D7"/>
    <w:rsid w:val="00EF7901"/>
    <w:rsid w:val="00EF7F20"/>
    <w:rsid w:val="00F00A71"/>
    <w:rsid w:val="00F0104D"/>
    <w:rsid w:val="00F018FC"/>
    <w:rsid w:val="00F019C0"/>
    <w:rsid w:val="00F026DA"/>
    <w:rsid w:val="00F02755"/>
    <w:rsid w:val="00F032CE"/>
    <w:rsid w:val="00F03642"/>
    <w:rsid w:val="00F0408E"/>
    <w:rsid w:val="00F04AFC"/>
    <w:rsid w:val="00F04CDF"/>
    <w:rsid w:val="00F04F91"/>
    <w:rsid w:val="00F054EE"/>
    <w:rsid w:val="00F05A42"/>
    <w:rsid w:val="00F0624C"/>
    <w:rsid w:val="00F06B2C"/>
    <w:rsid w:val="00F06BC8"/>
    <w:rsid w:val="00F070B2"/>
    <w:rsid w:val="00F07AE3"/>
    <w:rsid w:val="00F1012A"/>
    <w:rsid w:val="00F1059D"/>
    <w:rsid w:val="00F108B5"/>
    <w:rsid w:val="00F11C6A"/>
    <w:rsid w:val="00F1202D"/>
    <w:rsid w:val="00F12283"/>
    <w:rsid w:val="00F12302"/>
    <w:rsid w:val="00F12AB6"/>
    <w:rsid w:val="00F12E34"/>
    <w:rsid w:val="00F1303F"/>
    <w:rsid w:val="00F1403C"/>
    <w:rsid w:val="00F14476"/>
    <w:rsid w:val="00F1475C"/>
    <w:rsid w:val="00F14A7F"/>
    <w:rsid w:val="00F14E0B"/>
    <w:rsid w:val="00F15842"/>
    <w:rsid w:val="00F1663D"/>
    <w:rsid w:val="00F16673"/>
    <w:rsid w:val="00F1720F"/>
    <w:rsid w:val="00F20423"/>
    <w:rsid w:val="00F20851"/>
    <w:rsid w:val="00F210D2"/>
    <w:rsid w:val="00F216EA"/>
    <w:rsid w:val="00F21C4A"/>
    <w:rsid w:val="00F21EED"/>
    <w:rsid w:val="00F23730"/>
    <w:rsid w:val="00F23DA7"/>
    <w:rsid w:val="00F24BD6"/>
    <w:rsid w:val="00F24EB2"/>
    <w:rsid w:val="00F25D0E"/>
    <w:rsid w:val="00F26284"/>
    <w:rsid w:val="00F263F2"/>
    <w:rsid w:val="00F26CB3"/>
    <w:rsid w:val="00F27C5F"/>
    <w:rsid w:val="00F30426"/>
    <w:rsid w:val="00F307F0"/>
    <w:rsid w:val="00F30B76"/>
    <w:rsid w:val="00F31AB1"/>
    <w:rsid w:val="00F32A84"/>
    <w:rsid w:val="00F33178"/>
    <w:rsid w:val="00F33698"/>
    <w:rsid w:val="00F33842"/>
    <w:rsid w:val="00F33F01"/>
    <w:rsid w:val="00F346CE"/>
    <w:rsid w:val="00F34753"/>
    <w:rsid w:val="00F34794"/>
    <w:rsid w:val="00F34C85"/>
    <w:rsid w:val="00F35406"/>
    <w:rsid w:val="00F3590D"/>
    <w:rsid w:val="00F35C17"/>
    <w:rsid w:val="00F36275"/>
    <w:rsid w:val="00F36AFD"/>
    <w:rsid w:val="00F36DA8"/>
    <w:rsid w:val="00F370BF"/>
    <w:rsid w:val="00F37C41"/>
    <w:rsid w:val="00F40E01"/>
    <w:rsid w:val="00F41745"/>
    <w:rsid w:val="00F41F7A"/>
    <w:rsid w:val="00F42503"/>
    <w:rsid w:val="00F42835"/>
    <w:rsid w:val="00F434A9"/>
    <w:rsid w:val="00F448D4"/>
    <w:rsid w:val="00F45272"/>
    <w:rsid w:val="00F45E35"/>
    <w:rsid w:val="00F45FD0"/>
    <w:rsid w:val="00F46158"/>
    <w:rsid w:val="00F46AC8"/>
    <w:rsid w:val="00F473D5"/>
    <w:rsid w:val="00F47BBA"/>
    <w:rsid w:val="00F47D47"/>
    <w:rsid w:val="00F5015A"/>
    <w:rsid w:val="00F50A51"/>
    <w:rsid w:val="00F51337"/>
    <w:rsid w:val="00F51562"/>
    <w:rsid w:val="00F51C63"/>
    <w:rsid w:val="00F51D33"/>
    <w:rsid w:val="00F52092"/>
    <w:rsid w:val="00F5236C"/>
    <w:rsid w:val="00F52B3A"/>
    <w:rsid w:val="00F5315C"/>
    <w:rsid w:val="00F532EE"/>
    <w:rsid w:val="00F5374B"/>
    <w:rsid w:val="00F53D3B"/>
    <w:rsid w:val="00F54195"/>
    <w:rsid w:val="00F54ADD"/>
    <w:rsid w:val="00F5508E"/>
    <w:rsid w:val="00F55728"/>
    <w:rsid w:val="00F572BC"/>
    <w:rsid w:val="00F605E5"/>
    <w:rsid w:val="00F609EF"/>
    <w:rsid w:val="00F611CA"/>
    <w:rsid w:val="00F613D7"/>
    <w:rsid w:val="00F61791"/>
    <w:rsid w:val="00F61A36"/>
    <w:rsid w:val="00F61A9B"/>
    <w:rsid w:val="00F61CB8"/>
    <w:rsid w:val="00F61E4C"/>
    <w:rsid w:val="00F62730"/>
    <w:rsid w:val="00F62EEB"/>
    <w:rsid w:val="00F63100"/>
    <w:rsid w:val="00F6360D"/>
    <w:rsid w:val="00F64375"/>
    <w:rsid w:val="00F64C36"/>
    <w:rsid w:val="00F65CA6"/>
    <w:rsid w:val="00F6622C"/>
    <w:rsid w:val="00F66A6A"/>
    <w:rsid w:val="00F66BC6"/>
    <w:rsid w:val="00F67711"/>
    <w:rsid w:val="00F67B2D"/>
    <w:rsid w:val="00F67C02"/>
    <w:rsid w:val="00F70026"/>
    <w:rsid w:val="00F70C16"/>
    <w:rsid w:val="00F70CDF"/>
    <w:rsid w:val="00F70F04"/>
    <w:rsid w:val="00F74621"/>
    <w:rsid w:val="00F756C1"/>
    <w:rsid w:val="00F75BF2"/>
    <w:rsid w:val="00F76EE4"/>
    <w:rsid w:val="00F777B2"/>
    <w:rsid w:val="00F80538"/>
    <w:rsid w:val="00F809C3"/>
    <w:rsid w:val="00F82066"/>
    <w:rsid w:val="00F8235B"/>
    <w:rsid w:val="00F82384"/>
    <w:rsid w:val="00F825F7"/>
    <w:rsid w:val="00F838EB"/>
    <w:rsid w:val="00F85B95"/>
    <w:rsid w:val="00F860D2"/>
    <w:rsid w:val="00F86134"/>
    <w:rsid w:val="00F8690F"/>
    <w:rsid w:val="00F869F4"/>
    <w:rsid w:val="00F86A0D"/>
    <w:rsid w:val="00F87C73"/>
    <w:rsid w:val="00F87C98"/>
    <w:rsid w:val="00F87E1D"/>
    <w:rsid w:val="00F9146C"/>
    <w:rsid w:val="00F948CF"/>
    <w:rsid w:val="00F94BAE"/>
    <w:rsid w:val="00F950C3"/>
    <w:rsid w:val="00F95165"/>
    <w:rsid w:val="00F95253"/>
    <w:rsid w:val="00F9541B"/>
    <w:rsid w:val="00F95A3C"/>
    <w:rsid w:val="00F95E5B"/>
    <w:rsid w:val="00F96014"/>
    <w:rsid w:val="00F9644A"/>
    <w:rsid w:val="00F965DC"/>
    <w:rsid w:val="00F96B4F"/>
    <w:rsid w:val="00F96FBC"/>
    <w:rsid w:val="00F9736D"/>
    <w:rsid w:val="00F9737F"/>
    <w:rsid w:val="00FA0F27"/>
    <w:rsid w:val="00FA0FC1"/>
    <w:rsid w:val="00FA1172"/>
    <w:rsid w:val="00FA141B"/>
    <w:rsid w:val="00FA1CE7"/>
    <w:rsid w:val="00FA2231"/>
    <w:rsid w:val="00FA2BFC"/>
    <w:rsid w:val="00FA3C61"/>
    <w:rsid w:val="00FA444B"/>
    <w:rsid w:val="00FA683C"/>
    <w:rsid w:val="00FB00D5"/>
    <w:rsid w:val="00FB1104"/>
    <w:rsid w:val="00FB2CB0"/>
    <w:rsid w:val="00FB374F"/>
    <w:rsid w:val="00FB40D8"/>
    <w:rsid w:val="00FB454D"/>
    <w:rsid w:val="00FB5237"/>
    <w:rsid w:val="00FB5424"/>
    <w:rsid w:val="00FB55CC"/>
    <w:rsid w:val="00FB5888"/>
    <w:rsid w:val="00FB625D"/>
    <w:rsid w:val="00FB6CEF"/>
    <w:rsid w:val="00FB6EDC"/>
    <w:rsid w:val="00FB70C8"/>
    <w:rsid w:val="00FB720D"/>
    <w:rsid w:val="00FB77AB"/>
    <w:rsid w:val="00FB7905"/>
    <w:rsid w:val="00FC0062"/>
    <w:rsid w:val="00FC2F6B"/>
    <w:rsid w:val="00FC2FC3"/>
    <w:rsid w:val="00FC3036"/>
    <w:rsid w:val="00FC3447"/>
    <w:rsid w:val="00FC4014"/>
    <w:rsid w:val="00FC5C50"/>
    <w:rsid w:val="00FC5E41"/>
    <w:rsid w:val="00FC5FE9"/>
    <w:rsid w:val="00FC6CA4"/>
    <w:rsid w:val="00FC6D95"/>
    <w:rsid w:val="00FC71A4"/>
    <w:rsid w:val="00FC7EA3"/>
    <w:rsid w:val="00FC7F8E"/>
    <w:rsid w:val="00FD19E6"/>
    <w:rsid w:val="00FD1A2B"/>
    <w:rsid w:val="00FD21C3"/>
    <w:rsid w:val="00FD315B"/>
    <w:rsid w:val="00FD3969"/>
    <w:rsid w:val="00FD4339"/>
    <w:rsid w:val="00FD4576"/>
    <w:rsid w:val="00FD5BD9"/>
    <w:rsid w:val="00FD6BF0"/>
    <w:rsid w:val="00FD73C3"/>
    <w:rsid w:val="00FD7A9B"/>
    <w:rsid w:val="00FD7AA7"/>
    <w:rsid w:val="00FD7C64"/>
    <w:rsid w:val="00FE0095"/>
    <w:rsid w:val="00FE12F6"/>
    <w:rsid w:val="00FE16ED"/>
    <w:rsid w:val="00FE1957"/>
    <w:rsid w:val="00FE1FE4"/>
    <w:rsid w:val="00FE3D4A"/>
    <w:rsid w:val="00FE4876"/>
    <w:rsid w:val="00FE49A5"/>
    <w:rsid w:val="00FE54FA"/>
    <w:rsid w:val="00FE650B"/>
    <w:rsid w:val="00FE69D9"/>
    <w:rsid w:val="00FE7743"/>
    <w:rsid w:val="00FE774E"/>
    <w:rsid w:val="00FE7D17"/>
    <w:rsid w:val="00FE7FE8"/>
    <w:rsid w:val="00FF1538"/>
    <w:rsid w:val="00FF1CB3"/>
    <w:rsid w:val="00FF1F04"/>
    <w:rsid w:val="00FF2739"/>
    <w:rsid w:val="00FF2E0D"/>
    <w:rsid w:val="00FF3388"/>
    <w:rsid w:val="00FF358A"/>
    <w:rsid w:val="00FF378A"/>
    <w:rsid w:val="00FF39E4"/>
    <w:rsid w:val="00FF3C03"/>
    <w:rsid w:val="00FF3F24"/>
    <w:rsid w:val="00FF467F"/>
    <w:rsid w:val="00FF5524"/>
    <w:rsid w:val="00FF5CB7"/>
    <w:rsid w:val="00FF744B"/>
    <w:rsid w:val="00FF749C"/>
    <w:rsid w:val="00FF7E4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5E9FCB"/>
  <w15:docId w15:val="{04D5EE15-A61B-4F59-8CF9-4B4C4991C3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3F293E"/>
    <w:rPr>
      <w:rFonts w:ascii="Cambria Math" w:eastAsia="Times New Roman" w:hAnsi="Cambria Math" w:cs="Times New Roman"/>
      <w:sz w:val="24"/>
      <w:szCs w:val="24"/>
      <w:lang w:eastAsia="pl-PL"/>
    </w:rPr>
  </w:style>
  <w:style w:type="paragraph" w:styleId="Nagwek1">
    <w:name w:val="heading 1"/>
    <w:basedOn w:val="Normalny"/>
    <w:next w:val="Normalny"/>
    <w:link w:val="Nagwek1Znak"/>
    <w:uiPriority w:val="9"/>
    <w:qFormat/>
    <w:rsid w:val="007136F6"/>
    <w:pPr>
      <w:keepNext/>
      <w:keepLines/>
      <w:spacing w:line="276" w:lineRule="auto"/>
      <w:contextualSpacing/>
      <w:outlineLvl w:val="0"/>
    </w:pPr>
    <w:rPr>
      <w:rFonts w:ascii="Arial" w:eastAsiaTheme="majorEastAsia" w:hAnsi="Arial" w:cstheme="majorBidi"/>
      <w:sz w:val="44"/>
      <w:szCs w:val="32"/>
    </w:rPr>
  </w:style>
  <w:style w:type="paragraph" w:styleId="Nagwek2">
    <w:name w:val="heading 2"/>
    <w:basedOn w:val="Normalny"/>
    <w:next w:val="Normalny"/>
    <w:link w:val="Nagwek2Znak"/>
    <w:uiPriority w:val="9"/>
    <w:unhideWhenUsed/>
    <w:qFormat/>
    <w:rsid w:val="007136F6"/>
    <w:pPr>
      <w:keepNext/>
      <w:keepLines/>
      <w:spacing w:before="120" w:after="120" w:line="360" w:lineRule="auto"/>
      <w:outlineLvl w:val="1"/>
    </w:pPr>
    <w:rPr>
      <w:rFonts w:ascii="Arial" w:hAnsi="Arial"/>
      <w:b/>
      <w:color w:val="000000" w:themeColor="text1"/>
      <w:sz w:val="28"/>
      <w:szCs w:val="26"/>
    </w:rPr>
  </w:style>
  <w:style w:type="paragraph" w:styleId="Nagwek3">
    <w:name w:val="heading 3"/>
    <w:basedOn w:val="Normalny"/>
    <w:next w:val="Normalny"/>
    <w:link w:val="Nagwek3Znak"/>
    <w:uiPriority w:val="9"/>
    <w:unhideWhenUsed/>
    <w:qFormat/>
    <w:rsid w:val="00685C49"/>
    <w:pPr>
      <w:keepNext/>
      <w:keepLines/>
      <w:spacing w:before="120" w:after="120"/>
      <w:outlineLvl w:val="2"/>
    </w:pPr>
    <w:rPr>
      <w:rFonts w:ascii="Arial" w:eastAsiaTheme="majorEastAsia" w:hAnsi="Arial" w:cstheme="majorBidi"/>
      <w:b/>
      <w:sz w:val="40"/>
    </w:rPr>
  </w:style>
  <w:style w:type="paragraph" w:styleId="Nagwek4">
    <w:name w:val="heading 4"/>
    <w:basedOn w:val="Normalny"/>
    <w:next w:val="Normalny"/>
    <w:link w:val="Nagwek4Znak"/>
    <w:uiPriority w:val="9"/>
    <w:unhideWhenUsed/>
    <w:qFormat/>
    <w:rsid w:val="00685C49"/>
    <w:pPr>
      <w:keepNext/>
      <w:keepLines/>
      <w:spacing w:before="120" w:after="120"/>
      <w:outlineLvl w:val="3"/>
    </w:pPr>
    <w:rPr>
      <w:rFonts w:ascii="Arial" w:eastAsiaTheme="majorEastAsia" w:hAnsi="Arial" w:cstheme="majorBidi"/>
      <w:iCs/>
      <w:sz w:val="36"/>
    </w:rPr>
  </w:style>
  <w:style w:type="paragraph" w:styleId="Nagwek5">
    <w:name w:val="heading 5"/>
    <w:basedOn w:val="Normalny"/>
    <w:next w:val="Normalny"/>
    <w:link w:val="Nagwek5Znak"/>
    <w:uiPriority w:val="9"/>
    <w:unhideWhenUsed/>
    <w:qFormat/>
    <w:rsid w:val="00E016F8"/>
    <w:pPr>
      <w:keepNext/>
      <w:keepLines/>
      <w:spacing w:before="120" w:after="120"/>
      <w:outlineLvl w:val="4"/>
    </w:pPr>
    <w:rPr>
      <w:rFonts w:ascii="Arial" w:eastAsiaTheme="majorEastAsia" w:hAnsi="Arial" w:cstheme="majorBidi"/>
      <w:b/>
      <w:color w:val="000000" w:themeColor="text1"/>
      <w:sz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link w:val="Nagwek2"/>
    <w:uiPriority w:val="9"/>
    <w:rsid w:val="007136F6"/>
    <w:rPr>
      <w:rFonts w:ascii="Arial" w:eastAsia="Times New Roman" w:hAnsi="Arial" w:cs="Times New Roman"/>
      <w:b/>
      <w:color w:val="000000" w:themeColor="text1"/>
      <w:sz w:val="28"/>
      <w:szCs w:val="26"/>
      <w:lang w:eastAsia="pl-PL"/>
    </w:rPr>
  </w:style>
  <w:style w:type="character" w:customStyle="1" w:styleId="Nagwek1Znak">
    <w:name w:val="Nagłówek 1 Znak"/>
    <w:basedOn w:val="Domylnaczcionkaakapitu"/>
    <w:link w:val="Nagwek1"/>
    <w:uiPriority w:val="9"/>
    <w:rsid w:val="007136F6"/>
    <w:rPr>
      <w:rFonts w:ascii="Arial" w:eastAsiaTheme="majorEastAsia" w:hAnsi="Arial" w:cstheme="majorBidi"/>
      <w:sz w:val="44"/>
      <w:szCs w:val="32"/>
      <w:lang w:eastAsia="pl-PL"/>
    </w:rPr>
  </w:style>
  <w:style w:type="paragraph" w:styleId="Akapitzlist">
    <w:name w:val="List Paragraph"/>
    <w:aliases w:val="Numerowanie,List Paragraph,Akapit z listą BS,BulletC,Obiekt,List Paragraph1,Akapit z listą31,normalny tekst,Akapit z listą11,Wyliczanie,Akapit z listą3,Punktator,Kolorowa lista — akcent 11,Normal,Normalny2,Akapit z listą32,Signature"/>
    <w:basedOn w:val="Normalny"/>
    <w:link w:val="AkapitzlistZnak"/>
    <w:uiPriority w:val="34"/>
    <w:qFormat/>
    <w:rsid w:val="007136F6"/>
    <w:pPr>
      <w:ind w:left="720"/>
      <w:contextualSpacing/>
    </w:pPr>
  </w:style>
  <w:style w:type="character" w:styleId="Odwoaniedokomentarza">
    <w:name w:val="annotation reference"/>
    <w:basedOn w:val="Domylnaczcionkaakapitu"/>
    <w:uiPriority w:val="99"/>
    <w:unhideWhenUsed/>
    <w:qFormat/>
    <w:rsid w:val="006004E2"/>
    <w:rPr>
      <w:sz w:val="16"/>
      <w:szCs w:val="16"/>
    </w:rPr>
  </w:style>
  <w:style w:type="paragraph" w:styleId="Tekstkomentarza">
    <w:name w:val="annotation text"/>
    <w:basedOn w:val="Normalny"/>
    <w:link w:val="TekstkomentarzaZnak"/>
    <w:uiPriority w:val="99"/>
    <w:unhideWhenUsed/>
    <w:qFormat/>
    <w:rsid w:val="006004E2"/>
    <w:rPr>
      <w:sz w:val="20"/>
      <w:szCs w:val="20"/>
    </w:rPr>
  </w:style>
  <w:style w:type="character" w:customStyle="1" w:styleId="TekstkomentarzaZnak">
    <w:name w:val="Tekst komentarza Znak"/>
    <w:basedOn w:val="Domylnaczcionkaakapitu"/>
    <w:link w:val="Tekstkomentarza"/>
    <w:uiPriority w:val="99"/>
    <w:qFormat/>
    <w:rsid w:val="006004E2"/>
    <w:rPr>
      <w:rFonts w:ascii="Cambria Math" w:eastAsia="Times New Roman" w:hAnsi="Cambria Math" w:cs="Times New Roman"/>
      <w:sz w:val="20"/>
      <w:szCs w:val="20"/>
      <w:lang w:eastAsia="pl-PL"/>
    </w:rPr>
  </w:style>
  <w:style w:type="paragraph" w:styleId="Tekstprzypisudolnego">
    <w:name w:val="footnote text"/>
    <w:aliases w:val="Podrozdział,Footnote,Podrozdzia3,Przypis,-E Fuﬂnotentext,Fuﬂnotentext Ursprung,Fußnotentext Ursprung,-E Fußnotentext,single space,FOOTNOTES,fn,Fußnote,przypis,Tekst przypisu,Tekst przypisu Znak Znak Znak Znak,Znak, Znak,o"/>
    <w:basedOn w:val="Normalny"/>
    <w:link w:val="TekstprzypisudolnegoZnak"/>
    <w:uiPriority w:val="99"/>
    <w:unhideWhenUsed/>
    <w:qFormat/>
    <w:rsid w:val="006004E2"/>
    <w:rPr>
      <w:sz w:val="20"/>
      <w:szCs w:val="20"/>
    </w:rPr>
  </w:style>
  <w:style w:type="character" w:customStyle="1" w:styleId="TekstprzypisudolnegoZnak">
    <w:name w:val="Tekst przypisu dolnego Znak"/>
    <w:aliases w:val="Podrozdział Znak,Footnote Znak,Podrozdzia3 Znak,Przypis Znak,-E Fuﬂnotentext Znak,Fuﬂnotentext Ursprung Znak,Fußnotentext Ursprung Znak,-E Fußnotentext Znak,single space Znak,FOOTNOTES Znak,fn Znak,Fußnote Znak,przypis Znak"/>
    <w:basedOn w:val="Domylnaczcionkaakapitu"/>
    <w:link w:val="Tekstprzypisudolnego"/>
    <w:uiPriority w:val="99"/>
    <w:qFormat/>
    <w:rsid w:val="006004E2"/>
    <w:rPr>
      <w:rFonts w:ascii="Cambria Math" w:eastAsia="Times New Roman" w:hAnsi="Cambria Math" w:cs="Times New Roman"/>
      <w:sz w:val="20"/>
      <w:szCs w:val="20"/>
      <w:lang w:eastAsia="pl-PL"/>
    </w:rPr>
  </w:style>
  <w:style w:type="character" w:styleId="Odwoanieprzypisudolnego">
    <w:name w:val="footnote reference"/>
    <w:aliases w:val="Footnote Reference Number,Odwołanie przypisu,EN Footnote Reference,Times 10 Point,Exposant 3 Point,Footnote symbol,Footnote reference number,note TESI,stylish,Odwołanie przypisu1,Odwołanie przypisu2,SUPERS,number,ftref,Ref"/>
    <w:basedOn w:val="Domylnaczcionkaakapitu"/>
    <w:uiPriority w:val="99"/>
    <w:unhideWhenUsed/>
    <w:qFormat/>
    <w:rsid w:val="006004E2"/>
    <w:rPr>
      <w:vertAlign w:val="superscript"/>
    </w:rPr>
  </w:style>
  <w:style w:type="character" w:customStyle="1" w:styleId="AkapitzlistZnak">
    <w:name w:val="Akapit z listą Znak"/>
    <w:aliases w:val="Numerowanie Znak,List Paragraph Znak,Akapit z listą BS Znak,BulletC Znak,Obiekt Znak,List Paragraph1 Znak,Akapit z listą31 Znak,normalny tekst Znak,Akapit z listą11 Znak,Wyliczanie Znak,Akapit z listą3 Znak,Punktator Znak,Normal Znak"/>
    <w:link w:val="Akapitzlist"/>
    <w:uiPriority w:val="34"/>
    <w:qFormat/>
    <w:locked/>
    <w:rsid w:val="006004E2"/>
    <w:rPr>
      <w:rFonts w:ascii="Cambria Math" w:eastAsia="Times New Roman" w:hAnsi="Cambria Math" w:cs="Times New Roman"/>
      <w:sz w:val="24"/>
      <w:szCs w:val="24"/>
      <w:lang w:eastAsia="pl-PL"/>
    </w:rPr>
  </w:style>
  <w:style w:type="paragraph" w:styleId="Tekstdymka">
    <w:name w:val="Balloon Text"/>
    <w:basedOn w:val="Normalny"/>
    <w:link w:val="TekstdymkaZnak"/>
    <w:uiPriority w:val="99"/>
    <w:semiHidden/>
    <w:unhideWhenUsed/>
    <w:rsid w:val="006004E2"/>
    <w:rPr>
      <w:rFonts w:ascii="Segoe UI" w:hAnsi="Segoe UI" w:cs="Segoe UI"/>
      <w:sz w:val="18"/>
      <w:szCs w:val="18"/>
    </w:rPr>
  </w:style>
  <w:style w:type="character" w:customStyle="1" w:styleId="TekstdymkaZnak">
    <w:name w:val="Tekst dymka Znak"/>
    <w:basedOn w:val="Domylnaczcionkaakapitu"/>
    <w:link w:val="Tekstdymka"/>
    <w:uiPriority w:val="99"/>
    <w:semiHidden/>
    <w:rsid w:val="006004E2"/>
    <w:rPr>
      <w:rFonts w:ascii="Segoe UI" w:eastAsia="Times New Roman" w:hAnsi="Segoe UI" w:cs="Segoe UI"/>
      <w:sz w:val="18"/>
      <w:szCs w:val="18"/>
      <w:lang w:eastAsia="pl-PL"/>
    </w:rPr>
  </w:style>
  <w:style w:type="paragraph" w:styleId="Tematkomentarza">
    <w:name w:val="annotation subject"/>
    <w:basedOn w:val="Tekstkomentarza"/>
    <w:next w:val="Tekstkomentarza"/>
    <w:link w:val="TematkomentarzaZnak"/>
    <w:uiPriority w:val="99"/>
    <w:semiHidden/>
    <w:unhideWhenUsed/>
    <w:rsid w:val="006004E2"/>
    <w:rPr>
      <w:b/>
      <w:bCs/>
    </w:rPr>
  </w:style>
  <w:style w:type="character" w:customStyle="1" w:styleId="TematkomentarzaZnak">
    <w:name w:val="Temat komentarza Znak"/>
    <w:basedOn w:val="TekstkomentarzaZnak"/>
    <w:link w:val="Tematkomentarza"/>
    <w:uiPriority w:val="99"/>
    <w:semiHidden/>
    <w:rsid w:val="006004E2"/>
    <w:rPr>
      <w:rFonts w:ascii="Cambria Math" w:eastAsia="Times New Roman" w:hAnsi="Cambria Math" w:cs="Times New Roman"/>
      <w:b/>
      <w:bCs/>
      <w:sz w:val="20"/>
      <w:szCs w:val="20"/>
      <w:lang w:eastAsia="pl-PL"/>
    </w:rPr>
  </w:style>
  <w:style w:type="paragraph" w:styleId="Nagwek">
    <w:name w:val="header"/>
    <w:basedOn w:val="Normalny"/>
    <w:link w:val="NagwekZnak"/>
    <w:uiPriority w:val="99"/>
    <w:unhideWhenUsed/>
    <w:rsid w:val="00F66BC6"/>
    <w:pPr>
      <w:tabs>
        <w:tab w:val="center" w:pos="4536"/>
        <w:tab w:val="right" w:pos="9072"/>
      </w:tabs>
    </w:pPr>
  </w:style>
  <w:style w:type="character" w:customStyle="1" w:styleId="NagwekZnak">
    <w:name w:val="Nagłówek Znak"/>
    <w:basedOn w:val="Domylnaczcionkaakapitu"/>
    <w:link w:val="Nagwek"/>
    <w:uiPriority w:val="99"/>
    <w:rsid w:val="00F66BC6"/>
    <w:rPr>
      <w:rFonts w:ascii="Cambria Math" w:eastAsia="Times New Roman" w:hAnsi="Cambria Math" w:cs="Times New Roman"/>
      <w:sz w:val="24"/>
      <w:szCs w:val="24"/>
      <w:lang w:eastAsia="pl-PL"/>
    </w:rPr>
  </w:style>
  <w:style w:type="paragraph" w:styleId="Stopka">
    <w:name w:val="footer"/>
    <w:basedOn w:val="Normalny"/>
    <w:link w:val="StopkaZnak"/>
    <w:uiPriority w:val="99"/>
    <w:unhideWhenUsed/>
    <w:rsid w:val="00F66BC6"/>
    <w:pPr>
      <w:tabs>
        <w:tab w:val="center" w:pos="4536"/>
        <w:tab w:val="right" w:pos="9072"/>
      </w:tabs>
    </w:pPr>
  </w:style>
  <w:style w:type="character" w:customStyle="1" w:styleId="StopkaZnak">
    <w:name w:val="Stopka Znak"/>
    <w:basedOn w:val="Domylnaczcionkaakapitu"/>
    <w:link w:val="Stopka"/>
    <w:uiPriority w:val="99"/>
    <w:rsid w:val="00F66BC6"/>
    <w:rPr>
      <w:rFonts w:ascii="Cambria Math" w:eastAsia="Times New Roman" w:hAnsi="Cambria Math" w:cs="Times New Roman"/>
      <w:sz w:val="24"/>
      <w:szCs w:val="24"/>
      <w:lang w:eastAsia="pl-PL"/>
    </w:rPr>
  </w:style>
  <w:style w:type="character" w:customStyle="1" w:styleId="Nagwek3Znak">
    <w:name w:val="Nagłówek 3 Znak"/>
    <w:basedOn w:val="Domylnaczcionkaakapitu"/>
    <w:link w:val="Nagwek3"/>
    <w:uiPriority w:val="9"/>
    <w:rsid w:val="00685C49"/>
    <w:rPr>
      <w:rFonts w:ascii="Arial" w:eastAsiaTheme="majorEastAsia" w:hAnsi="Arial" w:cstheme="majorBidi"/>
      <w:b/>
      <w:sz w:val="40"/>
      <w:szCs w:val="24"/>
      <w:lang w:eastAsia="pl-PL"/>
    </w:rPr>
  </w:style>
  <w:style w:type="character" w:customStyle="1" w:styleId="Nagwek4Znak">
    <w:name w:val="Nagłówek 4 Znak"/>
    <w:basedOn w:val="Domylnaczcionkaakapitu"/>
    <w:link w:val="Nagwek4"/>
    <w:uiPriority w:val="9"/>
    <w:rsid w:val="00685C49"/>
    <w:rPr>
      <w:rFonts w:ascii="Arial" w:eastAsiaTheme="majorEastAsia" w:hAnsi="Arial" w:cstheme="majorBidi"/>
      <w:iCs/>
      <w:sz w:val="36"/>
      <w:szCs w:val="24"/>
      <w:lang w:eastAsia="pl-PL"/>
    </w:rPr>
  </w:style>
  <w:style w:type="character" w:customStyle="1" w:styleId="Nagwek5Znak">
    <w:name w:val="Nagłówek 5 Znak"/>
    <w:basedOn w:val="Domylnaczcionkaakapitu"/>
    <w:link w:val="Nagwek5"/>
    <w:uiPriority w:val="9"/>
    <w:rsid w:val="00E016F8"/>
    <w:rPr>
      <w:rFonts w:ascii="Arial" w:eastAsiaTheme="majorEastAsia" w:hAnsi="Arial" w:cstheme="majorBidi"/>
      <w:b/>
      <w:color w:val="000000" w:themeColor="text1"/>
      <w:sz w:val="28"/>
      <w:szCs w:val="24"/>
      <w:lang w:eastAsia="pl-PL"/>
    </w:rPr>
  </w:style>
  <w:style w:type="paragraph" w:styleId="Legenda">
    <w:name w:val="caption"/>
    <w:aliases w:val="Ryciny"/>
    <w:basedOn w:val="Normalny"/>
    <w:next w:val="Normalny"/>
    <w:uiPriority w:val="99"/>
    <w:unhideWhenUsed/>
    <w:qFormat/>
    <w:rsid w:val="003A4A53"/>
    <w:pPr>
      <w:spacing w:after="200"/>
    </w:pPr>
    <w:rPr>
      <w:i/>
      <w:iCs/>
      <w:color w:val="44546A" w:themeColor="text2"/>
      <w:sz w:val="18"/>
      <w:szCs w:val="18"/>
    </w:rPr>
  </w:style>
  <w:style w:type="paragraph" w:styleId="Spisilustracji">
    <w:name w:val="table of figures"/>
    <w:basedOn w:val="Normalny"/>
    <w:next w:val="Normalny"/>
    <w:uiPriority w:val="99"/>
    <w:unhideWhenUsed/>
    <w:rsid w:val="00A1592F"/>
  </w:style>
  <w:style w:type="character" w:styleId="Hipercze">
    <w:name w:val="Hyperlink"/>
    <w:basedOn w:val="Domylnaczcionkaakapitu"/>
    <w:uiPriority w:val="99"/>
    <w:unhideWhenUsed/>
    <w:rsid w:val="00A1592F"/>
    <w:rPr>
      <w:color w:val="0563C1" w:themeColor="hyperlink"/>
      <w:u w:val="single"/>
    </w:rPr>
  </w:style>
  <w:style w:type="table" w:styleId="Tabela-Siatka">
    <w:name w:val="Table Grid"/>
    <w:basedOn w:val="Standardowy"/>
    <w:uiPriority w:val="39"/>
    <w:rsid w:val="00450B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basedOn w:val="Domylnaczcionkaakapitu"/>
    <w:uiPriority w:val="99"/>
    <w:semiHidden/>
    <w:unhideWhenUsed/>
    <w:rsid w:val="00BD7E48"/>
    <w:rPr>
      <w:color w:val="954F72" w:themeColor="followedHyperlink"/>
      <w:u w:val="single"/>
    </w:rPr>
  </w:style>
  <w:style w:type="paragraph" w:styleId="Nagwekspisutreci">
    <w:name w:val="TOC Heading"/>
    <w:basedOn w:val="Nagwek1"/>
    <w:next w:val="Normalny"/>
    <w:uiPriority w:val="39"/>
    <w:unhideWhenUsed/>
    <w:qFormat/>
    <w:rsid w:val="000C47FA"/>
    <w:pPr>
      <w:spacing w:before="240" w:after="0" w:line="259" w:lineRule="auto"/>
      <w:contextualSpacing w:val="0"/>
      <w:outlineLvl w:val="9"/>
    </w:pPr>
    <w:rPr>
      <w:rFonts w:asciiTheme="majorHAnsi" w:hAnsiTheme="majorHAnsi"/>
      <w:color w:val="2E74B5" w:themeColor="accent1" w:themeShade="BF"/>
      <w:sz w:val="32"/>
    </w:rPr>
  </w:style>
  <w:style w:type="paragraph" w:styleId="Spistreci1">
    <w:name w:val="toc 1"/>
    <w:basedOn w:val="Normalny"/>
    <w:next w:val="Normalny"/>
    <w:autoRedefine/>
    <w:uiPriority w:val="39"/>
    <w:unhideWhenUsed/>
    <w:rsid w:val="00A35C4F"/>
    <w:pPr>
      <w:tabs>
        <w:tab w:val="left" w:pos="284"/>
        <w:tab w:val="left" w:pos="709"/>
        <w:tab w:val="right" w:leader="dot" w:pos="9062"/>
      </w:tabs>
      <w:spacing w:after="100"/>
    </w:pPr>
    <w:rPr>
      <w:rFonts w:ascii="Arial" w:hAnsi="Arial" w:cs="Arial"/>
      <w:noProof/>
      <w:sz w:val="22"/>
      <w:szCs w:val="22"/>
    </w:rPr>
  </w:style>
  <w:style w:type="paragraph" w:styleId="Spistreci2">
    <w:name w:val="toc 2"/>
    <w:basedOn w:val="Normalny"/>
    <w:next w:val="Normalny"/>
    <w:autoRedefine/>
    <w:uiPriority w:val="39"/>
    <w:unhideWhenUsed/>
    <w:rsid w:val="000B1700"/>
    <w:pPr>
      <w:tabs>
        <w:tab w:val="left" w:pos="709"/>
        <w:tab w:val="right" w:leader="dot" w:pos="9062"/>
      </w:tabs>
      <w:spacing w:after="100"/>
      <w:ind w:left="993" w:hanging="567"/>
    </w:pPr>
    <w:rPr>
      <w:rFonts w:ascii="Arial" w:hAnsi="Arial" w:cs="Arial"/>
      <w:noProof/>
      <w:sz w:val="22"/>
      <w:szCs w:val="22"/>
    </w:rPr>
  </w:style>
  <w:style w:type="paragraph" w:styleId="Spistreci3">
    <w:name w:val="toc 3"/>
    <w:basedOn w:val="Normalny"/>
    <w:next w:val="Normalny"/>
    <w:autoRedefine/>
    <w:uiPriority w:val="39"/>
    <w:unhideWhenUsed/>
    <w:rsid w:val="00986EC3"/>
    <w:pPr>
      <w:tabs>
        <w:tab w:val="left" w:pos="1134"/>
        <w:tab w:val="right" w:leader="dot" w:pos="9062"/>
      </w:tabs>
      <w:spacing w:after="100"/>
      <w:ind w:left="709"/>
    </w:pPr>
    <w:rPr>
      <w:rFonts w:ascii="Arial" w:hAnsi="Arial" w:cs="Arial"/>
      <w:b/>
      <w:bCs/>
      <w:noProof/>
      <w:sz w:val="22"/>
      <w:szCs w:val="22"/>
    </w:rPr>
  </w:style>
  <w:style w:type="paragraph" w:styleId="Spistreci4">
    <w:name w:val="toc 4"/>
    <w:basedOn w:val="Normalny"/>
    <w:next w:val="Normalny"/>
    <w:autoRedefine/>
    <w:uiPriority w:val="39"/>
    <w:unhideWhenUsed/>
    <w:rsid w:val="008B6AA7"/>
    <w:pPr>
      <w:tabs>
        <w:tab w:val="left" w:pos="1320"/>
        <w:tab w:val="right" w:leader="dot" w:pos="9062"/>
      </w:tabs>
      <w:spacing w:after="100" w:line="276" w:lineRule="auto"/>
      <w:ind w:left="993" w:hanging="273"/>
    </w:pPr>
    <w:rPr>
      <w:rFonts w:ascii="Arial" w:hAnsi="Arial" w:cs="Arial"/>
      <w:noProof/>
      <w:sz w:val="22"/>
      <w:szCs w:val="22"/>
    </w:rPr>
  </w:style>
  <w:style w:type="paragraph" w:styleId="Spistreci5">
    <w:name w:val="toc 5"/>
    <w:basedOn w:val="Normalny"/>
    <w:next w:val="Normalny"/>
    <w:autoRedefine/>
    <w:uiPriority w:val="39"/>
    <w:unhideWhenUsed/>
    <w:rsid w:val="00076988"/>
    <w:pPr>
      <w:tabs>
        <w:tab w:val="left" w:pos="1560"/>
        <w:tab w:val="right" w:leader="dot" w:pos="9062"/>
      </w:tabs>
      <w:spacing w:after="100"/>
      <w:ind w:left="993" w:hanging="33"/>
    </w:pPr>
  </w:style>
  <w:style w:type="paragraph" w:customStyle="1" w:styleId="Default">
    <w:name w:val="Default"/>
    <w:qFormat/>
    <w:rsid w:val="00E900AF"/>
    <w:pPr>
      <w:autoSpaceDE w:val="0"/>
      <w:autoSpaceDN w:val="0"/>
      <w:adjustRightInd w:val="0"/>
      <w:spacing w:after="0" w:line="240" w:lineRule="auto"/>
    </w:pPr>
    <w:rPr>
      <w:rFonts w:ascii="Arial" w:eastAsia="Times New Roman" w:hAnsi="Arial" w:cs="Arial"/>
      <w:color w:val="000000"/>
      <w:sz w:val="24"/>
      <w:szCs w:val="24"/>
      <w:lang w:eastAsia="pl-PL"/>
    </w:rPr>
  </w:style>
  <w:style w:type="character" w:styleId="Pogrubienie">
    <w:name w:val="Strong"/>
    <w:basedOn w:val="Domylnaczcionkaakapitu"/>
    <w:uiPriority w:val="22"/>
    <w:qFormat/>
    <w:rsid w:val="0019454C"/>
    <w:rPr>
      <w:b/>
      <w:bCs/>
    </w:rPr>
  </w:style>
  <w:style w:type="paragraph" w:styleId="NormalnyWeb">
    <w:name w:val="Normal (Web)"/>
    <w:basedOn w:val="Normalny"/>
    <w:uiPriority w:val="99"/>
    <w:unhideWhenUsed/>
    <w:rsid w:val="00EC143A"/>
    <w:pPr>
      <w:spacing w:before="100" w:beforeAutospacing="1" w:after="100" w:afterAutospacing="1" w:line="240" w:lineRule="auto"/>
    </w:pPr>
    <w:rPr>
      <w:rFonts w:ascii="Times New Roman" w:hAnsi="Times New Roman"/>
    </w:rPr>
  </w:style>
  <w:style w:type="character" w:styleId="Odwoanieprzypisukocowego">
    <w:name w:val="endnote reference"/>
    <w:basedOn w:val="Domylnaczcionkaakapitu"/>
    <w:uiPriority w:val="99"/>
    <w:semiHidden/>
    <w:unhideWhenUsed/>
    <w:rsid w:val="009E36CA"/>
    <w:rPr>
      <w:vertAlign w:val="superscript"/>
    </w:rPr>
  </w:style>
  <w:style w:type="paragraph" w:styleId="Tekstprzypisukocowego">
    <w:name w:val="endnote text"/>
    <w:basedOn w:val="Normalny"/>
    <w:link w:val="TekstprzypisukocowegoZnak"/>
    <w:uiPriority w:val="99"/>
    <w:semiHidden/>
    <w:unhideWhenUsed/>
    <w:rsid w:val="00F70CDF"/>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70CDF"/>
    <w:rPr>
      <w:rFonts w:ascii="Cambria Math" w:eastAsia="Times New Roman" w:hAnsi="Cambria Math" w:cs="Times New Roman"/>
      <w:sz w:val="20"/>
      <w:szCs w:val="20"/>
      <w:lang w:eastAsia="pl-PL"/>
    </w:rPr>
  </w:style>
  <w:style w:type="paragraph" w:styleId="Poprawka">
    <w:name w:val="Revision"/>
    <w:hidden/>
    <w:uiPriority w:val="99"/>
    <w:semiHidden/>
    <w:rsid w:val="008D4055"/>
    <w:pPr>
      <w:spacing w:after="0" w:line="240" w:lineRule="auto"/>
    </w:pPr>
    <w:rPr>
      <w:rFonts w:ascii="Cambria Math" w:eastAsia="Times New Roman" w:hAnsi="Cambria Math" w:cs="Times New Roman"/>
      <w:sz w:val="24"/>
      <w:szCs w:val="24"/>
      <w:lang w:eastAsia="pl-PL"/>
    </w:rPr>
  </w:style>
  <w:style w:type="character" w:customStyle="1" w:styleId="Nierozpoznanawzmianka1">
    <w:name w:val="Nierozpoznana wzmianka1"/>
    <w:basedOn w:val="Domylnaczcionkaakapitu"/>
    <w:uiPriority w:val="99"/>
    <w:semiHidden/>
    <w:unhideWhenUsed/>
    <w:rsid w:val="00643970"/>
    <w:rPr>
      <w:color w:val="605E5C"/>
      <w:shd w:val="clear" w:color="auto" w:fill="E1DFDD"/>
    </w:rPr>
  </w:style>
  <w:style w:type="paragraph" w:styleId="Bezodstpw">
    <w:name w:val="No Spacing"/>
    <w:aliases w:val="WYKRES"/>
    <w:link w:val="BezodstpwZnak"/>
    <w:uiPriority w:val="1"/>
    <w:qFormat/>
    <w:rsid w:val="0019276F"/>
    <w:pPr>
      <w:spacing w:after="0" w:line="240" w:lineRule="auto"/>
      <w:ind w:firstLine="709"/>
      <w:contextualSpacing/>
      <w:jc w:val="both"/>
    </w:pPr>
    <w:rPr>
      <w:rFonts w:ascii="Times New Roman" w:hAnsi="Times New Roman"/>
      <w:sz w:val="24"/>
    </w:rPr>
  </w:style>
  <w:style w:type="character" w:customStyle="1" w:styleId="BezodstpwZnak">
    <w:name w:val="Bez odstępów Znak"/>
    <w:aliases w:val="WYKRES Znak"/>
    <w:link w:val="Bezodstpw"/>
    <w:uiPriority w:val="1"/>
    <w:rsid w:val="0019276F"/>
    <w:rPr>
      <w:rFonts w:ascii="Times New Roman" w:hAnsi="Times New Roman"/>
      <w:sz w:val="24"/>
    </w:rPr>
  </w:style>
  <w:style w:type="character" w:customStyle="1" w:styleId="Nierozpoznanawzmianka2">
    <w:name w:val="Nierozpoznana wzmianka2"/>
    <w:basedOn w:val="Domylnaczcionkaakapitu"/>
    <w:uiPriority w:val="99"/>
    <w:semiHidden/>
    <w:unhideWhenUsed/>
    <w:rsid w:val="00351BBB"/>
    <w:rPr>
      <w:color w:val="605E5C"/>
      <w:shd w:val="clear" w:color="auto" w:fill="E1DFDD"/>
    </w:rPr>
  </w:style>
  <w:style w:type="numbering" w:customStyle="1" w:styleId="Styl1">
    <w:name w:val="Styl1"/>
    <w:uiPriority w:val="99"/>
    <w:rsid w:val="00834476"/>
    <w:pPr>
      <w:numPr>
        <w:numId w:val="260"/>
      </w:numPr>
    </w:pPr>
  </w:style>
  <w:style w:type="paragraph" w:customStyle="1" w:styleId="Adresatkolejnewiersze">
    <w:name w:val="Adresat kolejne wiersze"/>
    <w:basedOn w:val="Normalny"/>
    <w:rsid w:val="004569CD"/>
    <w:pPr>
      <w:tabs>
        <w:tab w:val="left" w:pos="4253"/>
      </w:tabs>
      <w:spacing w:after="0" w:line="240" w:lineRule="auto"/>
      <w:ind w:left="4253"/>
      <w:jc w:val="both"/>
    </w:pPr>
    <w:rPr>
      <w:rFonts w:ascii="Arial" w:hAnsi="Arial"/>
      <w:b/>
      <w:szCs w:val="20"/>
    </w:rPr>
  </w:style>
  <w:style w:type="character" w:customStyle="1" w:styleId="Nierozpoznanawzmianka3">
    <w:name w:val="Nierozpoznana wzmianka3"/>
    <w:basedOn w:val="Domylnaczcionkaakapitu"/>
    <w:uiPriority w:val="99"/>
    <w:semiHidden/>
    <w:unhideWhenUsed/>
    <w:rsid w:val="003E0BA2"/>
    <w:rPr>
      <w:color w:val="605E5C"/>
      <w:shd w:val="clear" w:color="auto" w:fill="E1DFDD"/>
    </w:rPr>
  </w:style>
  <w:style w:type="character" w:customStyle="1" w:styleId="markedcontent">
    <w:name w:val="markedcontent"/>
    <w:basedOn w:val="Domylnaczcionkaakapitu"/>
    <w:rsid w:val="0094049E"/>
  </w:style>
  <w:style w:type="paragraph" w:customStyle="1" w:styleId="xmsonormal">
    <w:name w:val="x_msonormal"/>
    <w:basedOn w:val="Normalny"/>
    <w:rsid w:val="00E24665"/>
    <w:pPr>
      <w:spacing w:after="0" w:line="240" w:lineRule="auto"/>
    </w:pPr>
    <w:rPr>
      <w:rFonts w:ascii="Calibri" w:eastAsiaTheme="minorHAnsi" w:hAnsi="Calibri" w:cs="Calibri"/>
      <w:sz w:val="22"/>
      <w:szCs w:val="22"/>
    </w:rPr>
  </w:style>
  <w:style w:type="character" w:customStyle="1" w:styleId="Nierozpoznanawzmianka4">
    <w:name w:val="Nierozpoznana wzmianka4"/>
    <w:basedOn w:val="Domylnaczcionkaakapitu"/>
    <w:uiPriority w:val="99"/>
    <w:semiHidden/>
    <w:unhideWhenUsed/>
    <w:rsid w:val="008347C0"/>
    <w:rPr>
      <w:color w:val="605E5C"/>
      <w:shd w:val="clear" w:color="auto" w:fill="E1DFDD"/>
    </w:rPr>
  </w:style>
  <w:style w:type="table" w:customStyle="1" w:styleId="Tabela-Siatka1">
    <w:name w:val="Tabela - Siatka1"/>
    <w:basedOn w:val="Standardowy"/>
    <w:next w:val="Tabela-Siatka"/>
    <w:uiPriority w:val="59"/>
    <w:rsid w:val="00723F3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ghlight">
    <w:name w:val="highlight"/>
    <w:basedOn w:val="Domylnaczcionkaakapitu"/>
    <w:rsid w:val="00027EE5"/>
  </w:style>
  <w:style w:type="table" w:customStyle="1" w:styleId="Tabela-Siatka2">
    <w:name w:val="Tabela - Siatka2"/>
    <w:basedOn w:val="Standardowy"/>
    <w:next w:val="Tabela-Siatka"/>
    <w:uiPriority w:val="59"/>
    <w:rsid w:val="009348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5">
    <w:name w:val="Nierozpoznana wzmianka5"/>
    <w:basedOn w:val="Domylnaczcionkaakapitu"/>
    <w:uiPriority w:val="99"/>
    <w:semiHidden/>
    <w:unhideWhenUsed/>
    <w:rsid w:val="00A93D8D"/>
    <w:rPr>
      <w:color w:val="605E5C"/>
      <w:shd w:val="clear" w:color="auto" w:fill="E1DFDD"/>
    </w:rPr>
  </w:style>
  <w:style w:type="character" w:customStyle="1" w:styleId="Nierozpoznanawzmianka6">
    <w:name w:val="Nierozpoznana wzmianka6"/>
    <w:basedOn w:val="Domylnaczcionkaakapitu"/>
    <w:uiPriority w:val="99"/>
    <w:semiHidden/>
    <w:unhideWhenUsed/>
    <w:rsid w:val="00DE4A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203194">
      <w:bodyDiv w:val="1"/>
      <w:marLeft w:val="0"/>
      <w:marRight w:val="0"/>
      <w:marTop w:val="0"/>
      <w:marBottom w:val="0"/>
      <w:divBdr>
        <w:top w:val="none" w:sz="0" w:space="0" w:color="auto"/>
        <w:left w:val="none" w:sz="0" w:space="0" w:color="auto"/>
        <w:bottom w:val="none" w:sz="0" w:space="0" w:color="auto"/>
        <w:right w:val="none" w:sz="0" w:space="0" w:color="auto"/>
      </w:divBdr>
      <w:divsChild>
        <w:div w:id="2084638401">
          <w:marLeft w:val="547"/>
          <w:marRight w:val="0"/>
          <w:marTop w:val="0"/>
          <w:marBottom w:val="0"/>
          <w:divBdr>
            <w:top w:val="none" w:sz="0" w:space="0" w:color="auto"/>
            <w:left w:val="none" w:sz="0" w:space="0" w:color="auto"/>
            <w:bottom w:val="none" w:sz="0" w:space="0" w:color="auto"/>
            <w:right w:val="none" w:sz="0" w:space="0" w:color="auto"/>
          </w:divBdr>
        </w:div>
      </w:divsChild>
    </w:div>
    <w:div w:id="58331015">
      <w:bodyDiv w:val="1"/>
      <w:marLeft w:val="0"/>
      <w:marRight w:val="0"/>
      <w:marTop w:val="0"/>
      <w:marBottom w:val="0"/>
      <w:divBdr>
        <w:top w:val="none" w:sz="0" w:space="0" w:color="auto"/>
        <w:left w:val="none" w:sz="0" w:space="0" w:color="auto"/>
        <w:bottom w:val="none" w:sz="0" w:space="0" w:color="auto"/>
        <w:right w:val="none" w:sz="0" w:space="0" w:color="auto"/>
      </w:divBdr>
      <w:divsChild>
        <w:div w:id="183638088">
          <w:marLeft w:val="0"/>
          <w:marRight w:val="0"/>
          <w:marTop w:val="0"/>
          <w:marBottom w:val="0"/>
          <w:divBdr>
            <w:top w:val="none" w:sz="0" w:space="0" w:color="auto"/>
            <w:left w:val="none" w:sz="0" w:space="0" w:color="auto"/>
            <w:bottom w:val="none" w:sz="0" w:space="0" w:color="auto"/>
            <w:right w:val="none" w:sz="0" w:space="0" w:color="auto"/>
          </w:divBdr>
        </w:div>
        <w:div w:id="208033456">
          <w:marLeft w:val="0"/>
          <w:marRight w:val="0"/>
          <w:marTop w:val="0"/>
          <w:marBottom w:val="0"/>
          <w:divBdr>
            <w:top w:val="none" w:sz="0" w:space="0" w:color="auto"/>
            <w:left w:val="none" w:sz="0" w:space="0" w:color="auto"/>
            <w:bottom w:val="none" w:sz="0" w:space="0" w:color="auto"/>
            <w:right w:val="none" w:sz="0" w:space="0" w:color="auto"/>
          </w:divBdr>
        </w:div>
        <w:div w:id="256986900">
          <w:marLeft w:val="0"/>
          <w:marRight w:val="0"/>
          <w:marTop w:val="0"/>
          <w:marBottom w:val="0"/>
          <w:divBdr>
            <w:top w:val="none" w:sz="0" w:space="0" w:color="auto"/>
            <w:left w:val="none" w:sz="0" w:space="0" w:color="auto"/>
            <w:bottom w:val="none" w:sz="0" w:space="0" w:color="auto"/>
            <w:right w:val="none" w:sz="0" w:space="0" w:color="auto"/>
          </w:divBdr>
        </w:div>
        <w:div w:id="985086069">
          <w:marLeft w:val="0"/>
          <w:marRight w:val="0"/>
          <w:marTop w:val="0"/>
          <w:marBottom w:val="0"/>
          <w:divBdr>
            <w:top w:val="none" w:sz="0" w:space="0" w:color="auto"/>
            <w:left w:val="none" w:sz="0" w:space="0" w:color="auto"/>
            <w:bottom w:val="none" w:sz="0" w:space="0" w:color="auto"/>
            <w:right w:val="none" w:sz="0" w:space="0" w:color="auto"/>
          </w:divBdr>
        </w:div>
        <w:div w:id="1648120488">
          <w:marLeft w:val="0"/>
          <w:marRight w:val="0"/>
          <w:marTop w:val="0"/>
          <w:marBottom w:val="0"/>
          <w:divBdr>
            <w:top w:val="none" w:sz="0" w:space="0" w:color="auto"/>
            <w:left w:val="none" w:sz="0" w:space="0" w:color="auto"/>
            <w:bottom w:val="none" w:sz="0" w:space="0" w:color="auto"/>
            <w:right w:val="none" w:sz="0" w:space="0" w:color="auto"/>
          </w:divBdr>
        </w:div>
        <w:div w:id="1965193908">
          <w:marLeft w:val="0"/>
          <w:marRight w:val="0"/>
          <w:marTop w:val="0"/>
          <w:marBottom w:val="0"/>
          <w:divBdr>
            <w:top w:val="none" w:sz="0" w:space="0" w:color="auto"/>
            <w:left w:val="none" w:sz="0" w:space="0" w:color="auto"/>
            <w:bottom w:val="none" w:sz="0" w:space="0" w:color="auto"/>
            <w:right w:val="none" w:sz="0" w:space="0" w:color="auto"/>
          </w:divBdr>
        </w:div>
      </w:divsChild>
    </w:div>
    <w:div w:id="59406007">
      <w:bodyDiv w:val="1"/>
      <w:marLeft w:val="0"/>
      <w:marRight w:val="0"/>
      <w:marTop w:val="0"/>
      <w:marBottom w:val="0"/>
      <w:divBdr>
        <w:top w:val="none" w:sz="0" w:space="0" w:color="auto"/>
        <w:left w:val="none" w:sz="0" w:space="0" w:color="auto"/>
        <w:bottom w:val="none" w:sz="0" w:space="0" w:color="auto"/>
        <w:right w:val="none" w:sz="0" w:space="0" w:color="auto"/>
      </w:divBdr>
    </w:div>
    <w:div w:id="59645189">
      <w:bodyDiv w:val="1"/>
      <w:marLeft w:val="0"/>
      <w:marRight w:val="0"/>
      <w:marTop w:val="0"/>
      <w:marBottom w:val="0"/>
      <w:divBdr>
        <w:top w:val="none" w:sz="0" w:space="0" w:color="auto"/>
        <w:left w:val="none" w:sz="0" w:space="0" w:color="auto"/>
        <w:bottom w:val="none" w:sz="0" w:space="0" w:color="auto"/>
        <w:right w:val="none" w:sz="0" w:space="0" w:color="auto"/>
      </w:divBdr>
    </w:div>
    <w:div w:id="69081505">
      <w:bodyDiv w:val="1"/>
      <w:marLeft w:val="0"/>
      <w:marRight w:val="0"/>
      <w:marTop w:val="0"/>
      <w:marBottom w:val="0"/>
      <w:divBdr>
        <w:top w:val="none" w:sz="0" w:space="0" w:color="auto"/>
        <w:left w:val="none" w:sz="0" w:space="0" w:color="auto"/>
        <w:bottom w:val="none" w:sz="0" w:space="0" w:color="auto"/>
        <w:right w:val="none" w:sz="0" w:space="0" w:color="auto"/>
      </w:divBdr>
    </w:div>
    <w:div w:id="109666777">
      <w:bodyDiv w:val="1"/>
      <w:marLeft w:val="0"/>
      <w:marRight w:val="0"/>
      <w:marTop w:val="0"/>
      <w:marBottom w:val="0"/>
      <w:divBdr>
        <w:top w:val="none" w:sz="0" w:space="0" w:color="auto"/>
        <w:left w:val="none" w:sz="0" w:space="0" w:color="auto"/>
        <w:bottom w:val="none" w:sz="0" w:space="0" w:color="auto"/>
        <w:right w:val="none" w:sz="0" w:space="0" w:color="auto"/>
      </w:divBdr>
    </w:div>
    <w:div w:id="119804198">
      <w:bodyDiv w:val="1"/>
      <w:marLeft w:val="0"/>
      <w:marRight w:val="0"/>
      <w:marTop w:val="0"/>
      <w:marBottom w:val="0"/>
      <w:divBdr>
        <w:top w:val="none" w:sz="0" w:space="0" w:color="auto"/>
        <w:left w:val="none" w:sz="0" w:space="0" w:color="auto"/>
        <w:bottom w:val="none" w:sz="0" w:space="0" w:color="auto"/>
        <w:right w:val="none" w:sz="0" w:space="0" w:color="auto"/>
      </w:divBdr>
    </w:div>
    <w:div w:id="132869930">
      <w:bodyDiv w:val="1"/>
      <w:marLeft w:val="0"/>
      <w:marRight w:val="0"/>
      <w:marTop w:val="0"/>
      <w:marBottom w:val="0"/>
      <w:divBdr>
        <w:top w:val="none" w:sz="0" w:space="0" w:color="auto"/>
        <w:left w:val="none" w:sz="0" w:space="0" w:color="auto"/>
        <w:bottom w:val="none" w:sz="0" w:space="0" w:color="auto"/>
        <w:right w:val="none" w:sz="0" w:space="0" w:color="auto"/>
      </w:divBdr>
    </w:div>
    <w:div w:id="133766564">
      <w:bodyDiv w:val="1"/>
      <w:marLeft w:val="0"/>
      <w:marRight w:val="0"/>
      <w:marTop w:val="0"/>
      <w:marBottom w:val="0"/>
      <w:divBdr>
        <w:top w:val="none" w:sz="0" w:space="0" w:color="auto"/>
        <w:left w:val="none" w:sz="0" w:space="0" w:color="auto"/>
        <w:bottom w:val="none" w:sz="0" w:space="0" w:color="auto"/>
        <w:right w:val="none" w:sz="0" w:space="0" w:color="auto"/>
      </w:divBdr>
    </w:div>
    <w:div w:id="174730492">
      <w:bodyDiv w:val="1"/>
      <w:marLeft w:val="0"/>
      <w:marRight w:val="0"/>
      <w:marTop w:val="0"/>
      <w:marBottom w:val="0"/>
      <w:divBdr>
        <w:top w:val="none" w:sz="0" w:space="0" w:color="auto"/>
        <w:left w:val="none" w:sz="0" w:space="0" w:color="auto"/>
        <w:bottom w:val="none" w:sz="0" w:space="0" w:color="auto"/>
        <w:right w:val="none" w:sz="0" w:space="0" w:color="auto"/>
      </w:divBdr>
    </w:div>
    <w:div w:id="180247432">
      <w:bodyDiv w:val="1"/>
      <w:marLeft w:val="0"/>
      <w:marRight w:val="0"/>
      <w:marTop w:val="0"/>
      <w:marBottom w:val="0"/>
      <w:divBdr>
        <w:top w:val="none" w:sz="0" w:space="0" w:color="auto"/>
        <w:left w:val="none" w:sz="0" w:space="0" w:color="auto"/>
        <w:bottom w:val="none" w:sz="0" w:space="0" w:color="auto"/>
        <w:right w:val="none" w:sz="0" w:space="0" w:color="auto"/>
      </w:divBdr>
    </w:div>
    <w:div w:id="206990253">
      <w:bodyDiv w:val="1"/>
      <w:marLeft w:val="0"/>
      <w:marRight w:val="0"/>
      <w:marTop w:val="0"/>
      <w:marBottom w:val="0"/>
      <w:divBdr>
        <w:top w:val="none" w:sz="0" w:space="0" w:color="auto"/>
        <w:left w:val="none" w:sz="0" w:space="0" w:color="auto"/>
        <w:bottom w:val="none" w:sz="0" w:space="0" w:color="auto"/>
        <w:right w:val="none" w:sz="0" w:space="0" w:color="auto"/>
      </w:divBdr>
    </w:div>
    <w:div w:id="241260597">
      <w:bodyDiv w:val="1"/>
      <w:marLeft w:val="0"/>
      <w:marRight w:val="0"/>
      <w:marTop w:val="0"/>
      <w:marBottom w:val="0"/>
      <w:divBdr>
        <w:top w:val="none" w:sz="0" w:space="0" w:color="auto"/>
        <w:left w:val="none" w:sz="0" w:space="0" w:color="auto"/>
        <w:bottom w:val="none" w:sz="0" w:space="0" w:color="auto"/>
        <w:right w:val="none" w:sz="0" w:space="0" w:color="auto"/>
      </w:divBdr>
    </w:div>
    <w:div w:id="273636139">
      <w:bodyDiv w:val="1"/>
      <w:marLeft w:val="0"/>
      <w:marRight w:val="0"/>
      <w:marTop w:val="0"/>
      <w:marBottom w:val="0"/>
      <w:divBdr>
        <w:top w:val="none" w:sz="0" w:space="0" w:color="auto"/>
        <w:left w:val="none" w:sz="0" w:space="0" w:color="auto"/>
        <w:bottom w:val="none" w:sz="0" w:space="0" w:color="auto"/>
        <w:right w:val="none" w:sz="0" w:space="0" w:color="auto"/>
      </w:divBdr>
    </w:div>
    <w:div w:id="276255238">
      <w:bodyDiv w:val="1"/>
      <w:marLeft w:val="0"/>
      <w:marRight w:val="0"/>
      <w:marTop w:val="0"/>
      <w:marBottom w:val="0"/>
      <w:divBdr>
        <w:top w:val="none" w:sz="0" w:space="0" w:color="auto"/>
        <w:left w:val="none" w:sz="0" w:space="0" w:color="auto"/>
        <w:bottom w:val="none" w:sz="0" w:space="0" w:color="auto"/>
        <w:right w:val="none" w:sz="0" w:space="0" w:color="auto"/>
      </w:divBdr>
    </w:div>
    <w:div w:id="282225557">
      <w:bodyDiv w:val="1"/>
      <w:marLeft w:val="0"/>
      <w:marRight w:val="0"/>
      <w:marTop w:val="0"/>
      <w:marBottom w:val="0"/>
      <w:divBdr>
        <w:top w:val="none" w:sz="0" w:space="0" w:color="auto"/>
        <w:left w:val="none" w:sz="0" w:space="0" w:color="auto"/>
        <w:bottom w:val="none" w:sz="0" w:space="0" w:color="auto"/>
        <w:right w:val="none" w:sz="0" w:space="0" w:color="auto"/>
      </w:divBdr>
    </w:div>
    <w:div w:id="348995773">
      <w:bodyDiv w:val="1"/>
      <w:marLeft w:val="0"/>
      <w:marRight w:val="0"/>
      <w:marTop w:val="0"/>
      <w:marBottom w:val="0"/>
      <w:divBdr>
        <w:top w:val="none" w:sz="0" w:space="0" w:color="auto"/>
        <w:left w:val="none" w:sz="0" w:space="0" w:color="auto"/>
        <w:bottom w:val="none" w:sz="0" w:space="0" w:color="auto"/>
        <w:right w:val="none" w:sz="0" w:space="0" w:color="auto"/>
      </w:divBdr>
    </w:div>
    <w:div w:id="379087347">
      <w:bodyDiv w:val="1"/>
      <w:marLeft w:val="0"/>
      <w:marRight w:val="0"/>
      <w:marTop w:val="0"/>
      <w:marBottom w:val="0"/>
      <w:divBdr>
        <w:top w:val="none" w:sz="0" w:space="0" w:color="auto"/>
        <w:left w:val="none" w:sz="0" w:space="0" w:color="auto"/>
        <w:bottom w:val="none" w:sz="0" w:space="0" w:color="auto"/>
        <w:right w:val="none" w:sz="0" w:space="0" w:color="auto"/>
      </w:divBdr>
    </w:div>
    <w:div w:id="391736645">
      <w:bodyDiv w:val="1"/>
      <w:marLeft w:val="0"/>
      <w:marRight w:val="0"/>
      <w:marTop w:val="0"/>
      <w:marBottom w:val="0"/>
      <w:divBdr>
        <w:top w:val="none" w:sz="0" w:space="0" w:color="auto"/>
        <w:left w:val="none" w:sz="0" w:space="0" w:color="auto"/>
        <w:bottom w:val="none" w:sz="0" w:space="0" w:color="auto"/>
        <w:right w:val="none" w:sz="0" w:space="0" w:color="auto"/>
      </w:divBdr>
    </w:div>
    <w:div w:id="400325953">
      <w:bodyDiv w:val="1"/>
      <w:marLeft w:val="0"/>
      <w:marRight w:val="0"/>
      <w:marTop w:val="0"/>
      <w:marBottom w:val="0"/>
      <w:divBdr>
        <w:top w:val="none" w:sz="0" w:space="0" w:color="auto"/>
        <w:left w:val="none" w:sz="0" w:space="0" w:color="auto"/>
        <w:bottom w:val="none" w:sz="0" w:space="0" w:color="auto"/>
        <w:right w:val="none" w:sz="0" w:space="0" w:color="auto"/>
      </w:divBdr>
    </w:div>
    <w:div w:id="405808217">
      <w:bodyDiv w:val="1"/>
      <w:marLeft w:val="0"/>
      <w:marRight w:val="0"/>
      <w:marTop w:val="0"/>
      <w:marBottom w:val="0"/>
      <w:divBdr>
        <w:top w:val="none" w:sz="0" w:space="0" w:color="auto"/>
        <w:left w:val="none" w:sz="0" w:space="0" w:color="auto"/>
        <w:bottom w:val="none" w:sz="0" w:space="0" w:color="auto"/>
        <w:right w:val="none" w:sz="0" w:space="0" w:color="auto"/>
      </w:divBdr>
    </w:div>
    <w:div w:id="408506913">
      <w:bodyDiv w:val="1"/>
      <w:marLeft w:val="0"/>
      <w:marRight w:val="0"/>
      <w:marTop w:val="0"/>
      <w:marBottom w:val="0"/>
      <w:divBdr>
        <w:top w:val="none" w:sz="0" w:space="0" w:color="auto"/>
        <w:left w:val="none" w:sz="0" w:space="0" w:color="auto"/>
        <w:bottom w:val="none" w:sz="0" w:space="0" w:color="auto"/>
        <w:right w:val="none" w:sz="0" w:space="0" w:color="auto"/>
      </w:divBdr>
    </w:div>
    <w:div w:id="470906067">
      <w:bodyDiv w:val="1"/>
      <w:marLeft w:val="0"/>
      <w:marRight w:val="0"/>
      <w:marTop w:val="0"/>
      <w:marBottom w:val="0"/>
      <w:divBdr>
        <w:top w:val="none" w:sz="0" w:space="0" w:color="auto"/>
        <w:left w:val="none" w:sz="0" w:space="0" w:color="auto"/>
        <w:bottom w:val="none" w:sz="0" w:space="0" w:color="auto"/>
        <w:right w:val="none" w:sz="0" w:space="0" w:color="auto"/>
      </w:divBdr>
    </w:div>
    <w:div w:id="521821730">
      <w:bodyDiv w:val="1"/>
      <w:marLeft w:val="0"/>
      <w:marRight w:val="0"/>
      <w:marTop w:val="0"/>
      <w:marBottom w:val="0"/>
      <w:divBdr>
        <w:top w:val="none" w:sz="0" w:space="0" w:color="auto"/>
        <w:left w:val="none" w:sz="0" w:space="0" w:color="auto"/>
        <w:bottom w:val="none" w:sz="0" w:space="0" w:color="auto"/>
        <w:right w:val="none" w:sz="0" w:space="0" w:color="auto"/>
      </w:divBdr>
    </w:div>
    <w:div w:id="528493526">
      <w:bodyDiv w:val="1"/>
      <w:marLeft w:val="0"/>
      <w:marRight w:val="0"/>
      <w:marTop w:val="0"/>
      <w:marBottom w:val="0"/>
      <w:divBdr>
        <w:top w:val="none" w:sz="0" w:space="0" w:color="auto"/>
        <w:left w:val="none" w:sz="0" w:space="0" w:color="auto"/>
        <w:bottom w:val="none" w:sz="0" w:space="0" w:color="auto"/>
        <w:right w:val="none" w:sz="0" w:space="0" w:color="auto"/>
      </w:divBdr>
    </w:div>
    <w:div w:id="589705782">
      <w:bodyDiv w:val="1"/>
      <w:marLeft w:val="0"/>
      <w:marRight w:val="0"/>
      <w:marTop w:val="0"/>
      <w:marBottom w:val="0"/>
      <w:divBdr>
        <w:top w:val="none" w:sz="0" w:space="0" w:color="auto"/>
        <w:left w:val="none" w:sz="0" w:space="0" w:color="auto"/>
        <w:bottom w:val="none" w:sz="0" w:space="0" w:color="auto"/>
        <w:right w:val="none" w:sz="0" w:space="0" w:color="auto"/>
      </w:divBdr>
    </w:div>
    <w:div w:id="637078726">
      <w:bodyDiv w:val="1"/>
      <w:marLeft w:val="0"/>
      <w:marRight w:val="0"/>
      <w:marTop w:val="0"/>
      <w:marBottom w:val="0"/>
      <w:divBdr>
        <w:top w:val="none" w:sz="0" w:space="0" w:color="auto"/>
        <w:left w:val="none" w:sz="0" w:space="0" w:color="auto"/>
        <w:bottom w:val="none" w:sz="0" w:space="0" w:color="auto"/>
        <w:right w:val="none" w:sz="0" w:space="0" w:color="auto"/>
      </w:divBdr>
    </w:div>
    <w:div w:id="708066397">
      <w:bodyDiv w:val="1"/>
      <w:marLeft w:val="0"/>
      <w:marRight w:val="0"/>
      <w:marTop w:val="0"/>
      <w:marBottom w:val="0"/>
      <w:divBdr>
        <w:top w:val="none" w:sz="0" w:space="0" w:color="auto"/>
        <w:left w:val="none" w:sz="0" w:space="0" w:color="auto"/>
        <w:bottom w:val="none" w:sz="0" w:space="0" w:color="auto"/>
        <w:right w:val="none" w:sz="0" w:space="0" w:color="auto"/>
      </w:divBdr>
    </w:div>
    <w:div w:id="724448178">
      <w:bodyDiv w:val="1"/>
      <w:marLeft w:val="0"/>
      <w:marRight w:val="0"/>
      <w:marTop w:val="0"/>
      <w:marBottom w:val="0"/>
      <w:divBdr>
        <w:top w:val="none" w:sz="0" w:space="0" w:color="auto"/>
        <w:left w:val="none" w:sz="0" w:space="0" w:color="auto"/>
        <w:bottom w:val="none" w:sz="0" w:space="0" w:color="auto"/>
        <w:right w:val="none" w:sz="0" w:space="0" w:color="auto"/>
      </w:divBdr>
    </w:div>
    <w:div w:id="782771884">
      <w:bodyDiv w:val="1"/>
      <w:marLeft w:val="0"/>
      <w:marRight w:val="0"/>
      <w:marTop w:val="0"/>
      <w:marBottom w:val="0"/>
      <w:divBdr>
        <w:top w:val="none" w:sz="0" w:space="0" w:color="auto"/>
        <w:left w:val="none" w:sz="0" w:space="0" w:color="auto"/>
        <w:bottom w:val="none" w:sz="0" w:space="0" w:color="auto"/>
        <w:right w:val="none" w:sz="0" w:space="0" w:color="auto"/>
      </w:divBdr>
    </w:div>
    <w:div w:id="821822201">
      <w:bodyDiv w:val="1"/>
      <w:marLeft w:val="0"/>
      <w:marRight w:val="0"/>
      <w:marTop w:val="0"/>
      <w:marBottom w:val="0"/>
      <w:divBdr>
        <w:top w:val="none" w:sz="0" w:space="0" w:color="auto"/>
        <w:left w:val="none" w:sz="0" w:space="0" w:color="auto"/>
        <w:bottom w:val="none" w:sz="0" w:space="0" w:color="auto"/>
        <w:right w:val="none" w:sz="0" w:space="0" w:color="auto"/>
      </w:divBdr>
    </w:div>
    <w:div w:id="824472869">
      <w:bodyDiv w:val="1"/>
      <w:marLeft w:val="0"/>
      <w:marRight w:val="0"/>
      <w:marTop w:val="0"/>
      <w:marBottom w:val="0"/>
      <w:divBdr>
        <w:top w:val="none" w:sz="0" w:space="0" w:color="auto"/>
        <w:left w:val="none" w:sz="0" w:space="0" w:color="auto"/>
        <w:bottom w:val="none" w:sz="0" w:space="0" w:color="auto"/>
        <w:right w:val="none" w:sz="0" w:space="0" w:color="auto"/>
      </w:divBdr>
    </w:div>
    <w:div w:id="873275445">
      <w:bodyDiv w:val="1"/>
      <w:marLeft w:val="0"/>
      <w:marRight w:val="0"/>
      <w:marTop w:val="0"/>
      <w:marBottom w:val="0"/>
      <w:divBdr>
        <w:top w:val="none" w:sz="0" w:space="0" w:color="auto"/>
        <w:left w:val="none" w:sz="0" w:space="0" w:color="auto"/>
        <w:bottom w:val="none" w:sz="0" w:space="0" w:color="auto"/>
        <w:right w:val="none" w:sz="0" w:space="0" w:color="auto"/>
      </w:divBdr>
    </w:div>
    <w:div w:id="934903077">
      <w:bodyDiv w:val="1"/>
      <w:marLeft w:val="0"/>
      <w:marRight w:val="0"/>
      <w:marTop w:val="0"/>
      <w:marBottom w:val="0"/>
      <w:divBdr>
        <w:top w:val="none" w:sz="0" w:space="0" w:color="auto"/>
        <w:left w:val="none" w:sz="0" w:space="0" w:color="auto"/>
        <w:bottom w:val="none" w:sz="0" w:space="0" w:color="auto"/>
        <w:right w:val="none" w:sz="0" w:space="0" w:color="auto"/>
      </w:divBdr>
    </w:div>
    <w:div w:id="1065834508">
      <w:bodyDiv w:val="1"/>
      <w:marLeft w:val="0"/>
      <w:marRight w:val="0"/>
      <w:marTop w:val="0"/>
      <w:marBottom w:val="0"/>
      <w:divBdr>
        <w:top w:val="none" w:sz="0" w:space="0" w:color="auto"/>
        <w:left w:val="none" w:sz="0" w:space="0" w:color="auto"/>
        <w:bottom w:val="none" w:sz="0" w:space="0" w:color="auto"/>
        <w:right w:val="none" w:sz="0" w:space="0" w:color="auto"/>
      </w:divBdr>
    </w:div>
    <w:div w:id="1077436914">
      <w:bodyDiv w:val="1"/>
      <w:marLeft w:val="0"/>
      <w:marRight w:val="0"/>
      <w:marTop w:val="0"/>
      <w:marBottom w:val="0"/>
      <w:divBdr>
        <w:top w:val="none" w:sz="0" w:space="0" w:color="auto"/>
        <w:left w:val="none" w:sz="0" w:space="0" w:color="auto"/>
        <w:bottom w:val="none" w:sz="0" w:space="0" w:color="auto"/>
        <w:right w:val="none" w:sz="0" w:space="0" w:color="auto"/>
      </w:divBdr>
    </w:div>
    <w:div w:id="1134324171">
      <w:bodyDiv w:val="1"/>
      <w:marLeft w:val="0"/>
      <w:marRight w:val="0"/>
      <w:marTop w:val="0"/>
      <w:marBottom w:val="0"/>
      <w:divBdr>
        <w:top w:val="none" w:sz="0" w:space="0" w:color="auto"/>
        <w:left w:val="none" w:sz="0" w:space="0" w:color="auto"/>
        <w:bottom w:val="none" w:sz="0" w:space="0" w:color="auto"/>
        <w:right w:val="none" w:sz="0" w:space="0" w:color="auto"/>
      </w:divBdr>
    </w:div>
    <w:div w:id="1137918214">
      <w:bodyDiv w:val="1"/>
      <w:marLeft w:val="0"/>
      <w:marRight w:val="0"/>
      <w:marTop w:val="0"/>
      <w:marBottom w:val="0"/>
      <w:divBdr>
        <w:top w:val="none" w:sz="0" w:space="0" w:color="auto"/>
        <w:left w:val="none" w:sz="0" w:space="0" w:color="auto"/>
        <w:bottom w:val="none" w:sz="0" w:space="0" w:color="auto"/>
        <w:right w:val="none" w:sz="0" w:space="0" w:color="auto"/>
      </w:divBdr>
    </w:div>
    <w:div w:id="1152329661">
      <w:bodyDiv w:val="1"/>
      <w:marLeft w:val="0"/>
      <w:marRight w:val="0"/>
      <w:marTop w:val="0"/>
      <w:marBottom w:val="0"/>
      <w:divBdr>
        <w:top w:val="none" w:sz="0" w:space="0" w:color="auto"/>
        <w:left w:val="none" w:sz="0" w:space="0" w:color="auto"/>
        <w:bottom w:val="none" w:sz="0" w:space="0" w:color="auto"/>
        <w:right w:val="none" w:sz="0" w:space="0" w:color="auto"/>
      </w:divBdr>
    </w:div>
    <w:div w:id="1168447206">
      <w:bodyDiv w:val="1"/>
      <w:marLeft w:val="0"/>
      <w:marRight w:val="0"/>
      <w:marTop w:val="0"/>
      <w:marBottom w:val="0"/>
      <w:divBdr>
        <w:top w:val="none" w:sz="0" w:space="0" w:color="auto"/>
        <w:left w:val="none" w:sz="0" w:space="0" w:color="auto"/>
        <w:bottom w:val="none" w:sz="0" w:space="0" w:color="auto"/>
        <w:right w:val="none" w:sz="0" w:space="0" w:color="auto"/>
      </w:divBdr>
    </w:div>
    <w:div w:id="1189101230">
      <w:bodyDiv w:val="1"/>
      <w:marLeft w:val="0"/>
      <w:marRight w:val="0"/>
      <w:marTop w:val="0"/>
      <w:marBottom w:val="0"/>
      <w:divBdr>
        <w:top w:val="none" w:sz="0" w:space="0" w:color="auto"/>
        <w:left w:val="none" w:sz="0" w:space="0" w:color="auto"/>
        <w:bottom w:val="none" w:sz="0" w:space="0" w:color="auto"/>
        <w:right w:val="none" w:sz="0" w:space="0" w:color="auto"/>
      </w:divBdr>
    </w:div>
    <w:div w:id="1191182605">
      <w:bodyDiv w:val="1"/>
      <w:marLeft w:val="0"/>
      <w:marRight w:val="0"/>
      <w:marTop w:val="0"/>
      <w:marBottom w:val="0"/>
      <w:divBdr>
        <w:top w:val="none" w:sz="0" w:space="0" w:color="auto"/>
        <w:left w:val="none" w:sz="0" w:space="0" w:color="auto"/>
        <w:bottom w:val="none" w:sz="0" w:space="0" w:color="auto"/>
        <w:right w:val="none" w:sz="0" w:space="0" w:color="auto"/>
      </w:divBdr>
    </w:div>
    <w:div w:id="1200586125">
      <w:bodyDiv w:val="1"/>
      <w:marLeft w:val="0"/>
      <w:marRight w:val="0"/>
      <w:marTop w:val="0"/>
      <w:marBottom w:val="0"/>
      <w:divBdr>
        <w:top w:val="none" w:sz="0" w:space="0" w:color="auto"/>
        <w:left w:val="none" w:sz="0" w:space="0" w:color="auto"/>
        <w:bottom w:val="none" w:sz="0" w:space="0" w:color="auto"/>
        <w:right w:val="none" w:sz="0" w:space="0" w:color="auto"/>
      </w:divBdr>
    </w:div>
    <w:div w:id="1273434672">
      <w:bodyDiv w:val="1"/>
      <w:marLeft w:val="0"/>
      <w:marRight w:val="0"/>
      <w:marTop w:val="0"/>
      <w:marBottom w:val="0"/>
      <w:divBdr>
        <w:top w:val="none" w:sz="0" w:space="0" w:color="auto"/>
        <w:left w:val="none" w:sz="0" w:space="0" w:color="auto"/>
        <w:bottom w:val="none" w:sz="0" w:space="0" w:color="auto"/>
        <w:right w:val="none" w:sz="0" w:space="0" w:color="auto"/>
      </w:divBdr>
    </w:div>
    <w:div w:id="1288706032">
      <w:bodyDiv w:val="1"/>
      <w:marLeft w:val="0"/>
      <w:marRight w:val="0"/>
      <w:marTop w:val="0"/>
      <w:marBottom w:val="0"/>
      <w:divBdr>
        <w:top w:val="none" w:sz="0" w:space="0" w:color="auto"/>
        <w:left w:val="none" w:sz="0" w:space="0" w:color="auto"/>
        <w:bottom w:val="none" w:sz="0" w:space="0" w:color="auto"/>
        <w:right w:val="none" w:sz="0" w:space="0" w:color="auto"/>
      </w:divBdr>
    </w:div>
    <w:div w:id="1308164412">
      <w:bodyDiv w:val="1"/>
      <w:marLeft w:val="0"/>
      <w:marRight w:val="0"/>
      <w:marTop w:val="0"/>
      <w:marBottom w:val="0"/>
      <w:divBdr>
        <w:top w:val="none" w:sz="0" w:space="0" w:color="auto"/>
        <w:left w:val="none" w:sz="0" w:space="0" w:color="auto"/>
        <w:bottom w:val="none" w:sz="0" w:space="0" w:color="auto"/>
        <w:right w:val="none" w:sz="0" w:space="0" w:color="auto"/>
      </w:divBdr>
    </w:div>
    <w:div w:id="1326592475">
      <w:bodyDiv w:val="1"/>
      <w:marLeft w:val="0"/>
      <w:marRight w:val="0"/>
      <w:marTop w:val="0"/>
      <w:marBottom w:val="0"/>
      <w:divBdr>
        <w:top w:val="none" w:sz="0" w:space="0" w:color="auto"/>
        <w:left w:val="none" w:sz="0" w:space="0" w:color="auto"/>
        <w:bottom w:val="none" w:sz="0" w:space="0" w:color="auto"/>
        <w:right w:val="none" w:sz="0" w:space="0" w:color="auto"/>
      </w:divBdr>
    </w:div>
    <w:div w:id="1480072629">
      <w:bodyDiv w:val="1"/>
      <w:marLeft w:val="0"/>
      <w:marRight w:val="0"/>
      <w:marTop w:val="0"/>
      <w:marBottom w:val="0"/>
      <w:divBdr>
        <w:top w:val="none" w:sz="0" w:space="0" w:color="auto"/>
        <w:left w:val="none" w:sz="0" w:space="0" w:color="auto"/>
        <w:bottom w:val="none" w:sz="0" w:space="0" w:color="auto"/>
        <w:right w:val="none" w:sz="0" w:space="0" w:color="auto"/>
      </w:divBdr>
    </w:div>
    <w:div w:id="1484665201">
      <w:bodyDiv w:val="1"/>
      <w:marLeft w:val="0"/>
      <w:marRight w:val="0"/>
      <w:marTop w:val="0"/>
      <w:marBottom w:val="0"/>
      <w:divBdr>
        <w:top w:val="none" w:sz="0" w:space="0" w:color="auto"/>
        <w:left w:val="none" w:sz="0" w:space="0" w:color="auto"/>
        <w:bottom w:val="none" w:sz="0" w:space="0" w:color="auto"/>
        <w:right w:val="none" w:sz="0" w:space="0" w:color="auto"/>
      </w:divBdr>
    </w:div>
    <w:div w:id="1506164508">
      <w:bodyDiv w:val="1"/>
      <w:marLeft w:val="0"/>
      <w:marRight w:val="0"/>
      <w:marTop w:val="0"/>
      <w:marBottom w:val="0"/>
      <w:divBdr>
        <w:top w:val="none" w:sz="0" w:space="0" w:color="auto"/>
        <w:left w:val="none" w:sz="0" w:space="0" w:color="auto"/>
        <w:bottom w:val="none" w:sz="0" w:space="0" w:color="auto"/>
        <w:right w:val="none" w:sz="0" w:space="0" w:color="auto"/>
      </w:divBdr>
    </w:div>
    <w:div w:id="1516267622">
      <w:bodyDiv w:val="1"/>
      <w:marLeft w:val="0"/>
      <w:marRight w:val="0"/>
      <w:marTop w:val="0"/>
      <w:marBottom w:val="0"/>
      <w:divBdr>
        <w:top w:val="none" w:sz="0" w:space="0" w:color="auto"/>
        <w:left w:val="none" w:sz="0" w:space="0" w:color="auto"/>
        <w:bottom w:val="none" w:sz="0" w:space="0" w:color="auto"/>
        <w:right w:val="none" w:sz="0" w:space="0" w:color="auto"/>
      </w:divBdr>
    </w:div>
    <w:div w:id="1537546884">
      <w:bodyDiv w:val="1"/>
      <w:marLeft w:val="0"/>
      <w:marRight w:val="0"/>
      <w:marTop w:val="0"/>
      <w:marBottom w:val="0"/>
      <w:divBdr>
        <w:top w:val="none" w:sz="0" w:space="0" w:color="auto"/>
        <w:left w:val="none" w:sz="0" w:space="0" w:color="auto"/>
        <w:bottom w:val="none" w:sz="0" w:space="0" w:color="auto"/>
        <w:right w:val="none" w:sz="0" w:space="0" w:color="auto"/>
      </w:divBdr>
    </w:div>
    <w:div w:id="1547254403">
      <w:bodyDiv w:val="1"/>
      <w:marLeft w:val="0"/>
      <w:marRight w:val="0"/>
      <w:marTop w:val="0"/>
      <w:marBottom w:val="0"/>
      <w:divBdr>
        <w:top w:val="none" w:sz="0" w:space="0" w:color="auto"/>
        <w:left w:val="none" w:sz="0" w:space="0" w:color="auto"/>
        <w:bottom w:val="none" w:sz="0" w:space="0" w:color="auto"/>
        <w:right w:val="none" w:sz="0" w:space="0" w:color="auto"/>
      </w:divBdr>
    </w:div>
    <w:div w:id="1580482964">
      <w:bodyDiv w:val="1"/>
      <w:marLeft w:val="0"/>
      <w:marRight w:val="0"/>
      <w:marTop w:val="0"/>
      <w:marBottom w:val="0"/>
      <w:divBdr>
        <w:top w:val="none" w:sz="0" w:space="0" w:color="auto"/>
        <w:left w:val="none" w:sz="0" w:space="0" w:color="auto"/>
        <w:bottom w:val="none" w:sz="0" w:space="0" w:color="auto"/>
        <w:right w:val="none" w:sz="0" w:space="0" w:color="auto"/>
      </w:divBdr>
    </w:div>
    <w:div w:id="1584416039">
      <w:bodyDiv w:val="1"/>
      <w:marLeft w:val="0"/>
      <w:marRight w:val="0"/>
      <w:marTop w:val="0"/>
      <w:marBottom w:val="0"/>
      <w:divBdr>
        <w:top w:val="none" w:sz="0" w:space="0" w:color="auto"/>
        <w:left w:val="none" w:sz="0" w:space="0" w:color="auto"/>
        <w:bottom w:val="none" w:sz="0" w:space="0" w:color="auto"/>
        <w:right w:val="none" w:sz="0" w:space="0" w:color="auto"/>
      </w:divBdr>
    </w:div>
    <w:div w:id="1589003995">
      <w:bodyDiv w:val="1"/>
      <w:marLeft w:val="0"/>
      <w:marRight w:val="0"/>
      <w:marTop w:val="0"/>
      <w:marBottom w:val="0"/>
      <w:divBdr>
        <w:top w:val="none" w:sz="0" w:space="0" w:color="auto"/>
        <w:left w:val="none" w:sz="0" w:space="0" w:color="auto"/>
        <w:bottom w:val="none" w:sz="0" w:space="0" w:color="auto"/>
        <w:right w:val="none" w:sz="0" w:space="0" w:color="auto"/>
      </w:divBdr>
    </w:div>
    <w:div w:id="1615135588">
      <w:bodyDiv w:val="1"/>
      <w:marLeft w:val="0"/>
      <w:marRight w:val="0"/>
      <w:marTop w:val="0"/>
      <w:marBottom w:val="0"/>
      <w:divBdr>
        <w:top w:val="none" w:sz="0" w:space="0" w:color="auto"/>
        <w:left w:val="none" w:sz="0" w:space="0" w:color="auto"/>
        <w:bottom w:val="none" w:sz="0" w:space="0" w:color="auto"/>
        <w:right w:val="none" w:sz="0" w:space="0" w:color="auto"/>
      </w:divBdr>
    </w:div>
    <w:div w:id="1695424752">
      <w:bodyDiv w:val="1"/>
      <w:marLeft w:val="0"/>
      <w:marRight w:val="0"/>
      <w:marTop w:val="0"/>
      <w:marBottom w:val="0"/>
      <w:divBdr>
        <w:top w:val="none" w:sz="0" w:space="0" w:color="auto"/>
        <w:left w:val="none" w:sz="0" w:space="0" w:color="auto"/>
        <w:bottom w:val="none" w:sz="0" w:space="0" w:color="auto"/>
        <w:right w:val="none" w:sz="0" w:space="0" w:color="auto"/>
      </w:divBdr>
    </w:div>
    <w:div w:id="1726559521">
      <w:bodyDiv w:val="1"/>
      <w:marLeft w:val="0"/>
      <w:marRight w:val="0"/>
      <w:marTop w:val="0"/>
      <w:marBottom w:val="0"/>
      <w:divBdr>
        <w:top w:val="none" w:sz="0" w:space="0" w:color="auto"/>
        <w:left w:val="none" w:sz="0" w:space="0" w:color="auto"/>
        <w:bottom w:val="none" w:sz="0" w:space="0" w:color="auto"/>
        <w:right w:val="none" w:sz="0" w:space="0" w:color="auto"/>
      </w:divBdr>
    </w:div>
    <w:div w:id="1741321313">
      <w:bodyDiv w:val="1"/>
      <w:marLeft w:val="0"/>
      <w:marRight w:val="0"/>
      <w:marTop w:val="0"/>
      <w:marBottom w:val="0"/>
      <w:divBdr>
        <w:top w:val="none" w:sz="0" w:space="0" w:color="auto"/>
        <w:left w:val="none" w:sz="0" w:space="0" w:color="auto"/>
        <w:bottom w:val="none" w:sz="0" w:space="0" w:color="auto"/>
        <w:right w:val="none" w:sz="0" w:space="0" w:color="auto"/>
      </w:divBdr>
    </w:div>
    <w:div w:id="1764178625">
      <w:bodyDiv w:val="1"/>
      <w:marLeft w:val="0"/>
      <w:marRight w:val="0"/>
      <w:marTop w:val="0"/>
      <w:marBottom w:val="0"/>
      <w:divBdr>
        <w:top w:val="none" w:sz="0" w:space="0" w:color="auto"/>
        <w:left w:val="none" w:sz="0" w:space="0" w:color="auto"/>
        <w:bottom w:val="none" w:sz="0" w:space="0" w:color="auto"/>
        <w:right w:val="none" w:sz="0" w:space="0" w:color="auto"/>
      </w:divBdr>
    </w:div>
    <w:div w:id="1779328656">
      <w:bodyDiv w:val="1"/>
      <w:marLeft w:val="0"/>
      <w:marRight w:val="0"/>
      <w:marTop w:val="0"/>
      <w:marBottom w:val="0"/>
      <w:divBdr>
        <w:top w:val="none" w:sz="0" w:space="0" w:color="auto"/>
        <w:left w:val="none" w:sz="0" w:space="0" w:color="auto"/>
        <w:bottom w:val="none" w:sz="0" w:space="0" w:color="auto"/>
        <w:right w:val="none" w:sz="0" w:space="0" w:color="auto"/>
      </w:divBdr>
    </w:div>
    <w:div w:id="1782341404">
      <w:bodyDiv w:val="1"/>
      <w:marLeft w:val="0"/>
      <w:marRight w:val="0"/>
      <w:marTop w:val="0"/>
      <w:marBottom w:val="0"/>
      <w:divBdr>
        <w:top w:val="none" w:sz="0" w:space="0" w:color="auto"/>
        <w:left w:val="none" w:sz="0" w:space="0" w:color="auto"/>
        <w:bottom w:val="none" w:sz="0" w:space="0" w:color="auto"/>
        <w:right w:val="none" w:sz="0" w:space="0" w:color="auto"/>
      </w:divBdr>
    </w:div>
    <w:div w:id="1791363556">
      <w:bodyDiv w:val="1"/>
      <w:marLeft w:val="0"/>
      <w:marRight w:val="0"/>
      <w:marTop w:val="0"/>
      <w:marBottom w:val="0"/>
      <w:divBdr>
        <w:top w:val="none" w:sz="0" w:space="0" w:color="auto"/>
        <w:left w:val="none" w:sz="0" w:space="0" w:color="auto"/>
        <w:bottom w:val="none" w:sz="0" w:space="0" w:color="auto"/>
        <w:right w:val="none" w:sz="0" w:space="0" w:color="auto"/>
      </w:divBdr>
    </w:div>
    <w:div w:id="1807313108">
      <w:bodyDiv w:val="1"/>
      <w:marLeft w:val="0"/>
      <w:marRight w:val="0"/>
      <w:marTop w:val="0"/>
      <w:marBottom w:val="0"/>
      <w:divBdr>
        <w:top w:val="none" w:sz="0" w:space="0" w:color="auto"/>
        <w:left w:val="none" w:sz="0" w:space="0" w:color="auto"/>
        <w:bottom w:val="none" w:sz="0" w:space="0" w:color="auto"/>
        <w:right w:val="none" w:sz="0" w:space="0" w:color="auto"/>
      </w:divBdr>
    </w:div>
    <w:div w:id="1822040941">
      <w:bodyDiv w:val="1"/>
      <w:marLeft w:val="0"/>
      <w:marRight w:val="0"/>
      <w:marTop w:val="0"/>
      <w:marBottom w:val="0"/>
      <w:divBdr>
        <w:top w:val="none" w:sz="0" w:space="0" w:color="auto"/>
        <w:left w:val="none" w:sz="0" w:space="0" w:color="auto"/>
        <w:bottom w:val="none" w:sz="0" w:space="0" w:color="auto"/>
        <w:right w:val="none" w:sz="0" w:space="0" w:color="auto"/>
      </w:divBdr>
    </w:div>
    <w:div w:id="1882553809">
      <w:bodyDiv w:val="1"/>
      <w:marLeft w:val="0"/>
      <w:marRight w:val="0"/>
      <w:marTop w:val="0"/>
      <w:marBottom w:val="0"/>
      <w:divBdr>
        <w:top w:val="none" w:sz="0" w:space="0" w:color="auto"/>
        <w:left w:val="none" w:sz="0" w:space="0" w:color="auto"/>
        <w:bottom w:val="none" w:sz="0" w:space="0" w:color="auto"/>
        <w:right w:val="none" w:sz="0" w:space="0" w:color="auto"/>
      </w:divBdr>
    </w:div>
    <w:div w:id="1917782063">
      <w:bodyDiv w:val="1"/>
      <w:marLeft w:val="0"/>
      <w:marRight w:val="0"/>
      <w:marTop w:val="0"/>
      <w:marBottom w:val="0"/>
      <w:divBdr>
        <w:top w:val="none" w:sz="0" w:space="0" w:color="auto"/>
        <w:left w:val="none" w:sz="0" w:space="0" w:color="auto"/>
        <w:bottom w:val="none" w:sz="0" w:space="0" w:color="auto"/>
        <w:right w:val="none" w:sz="0" w:space="0" w:color="auto"/>
      </w:divBdr>
    </w:div>
    <w:div w:id="1932734476">
      <w:bodyDiv w:val="1"/>
      <w:marLeft w:val="0"/>
      <w:marRight w:val="0"/>
      <w:marTop w:val="0"/>
      <w:marBottom w:val="0"/>
      <w:divBdr>
        <w:top w:val="none" w:sz="0" w:space="0" w:color="auto"/>
        <w:left w:val="none" w:sz="0" w:space="0" w:color="auto"/>
        <w:bottom w:val="none" w:sz="0" w:space="0" w:color="auto"/>
        <w:right w:val="none" w:sz="0" w:space="0" w:color="auto"/>
      </w:divBdr>
    </w:div>
    <w:div w:id="1986155388">
      <w:bodyDiv w:val="1"/>
      <w:marLeft w:val="0"/>
      <w:marRight w:val="0"/>
      <w:marTop w:val="0"/>
      <w:marBottom w:val="0"/>
      <w:divBdr>
        <w:top w:val="none" w:sz="0" w:space="0" w:color="auto"/>
        <w:left w:val="none" w:sz="0" w:space="0" w:color="auto"/>
        <w:bottom w:val="none" w:sz="0" w:space="0" w:color="auto"/>
        <w:right w:val="none" w:sz="0" w:space="0" w:color="auto"/>
      </w:divBdr>
    </w:div>
    <w:div w:id="2011328180">
      <w:bodyDiv w:val="1"/>
      <w:marLeft w:val="0"/>
      <w:marRight w:val="0"/>
      <w:marTop w:val="0"/>
      <w:marBottom w:val="0"/>
      <w:divBdr>
        <w:top w:val="none" w:sz="0" w:space="0" w:color="auto"/>
        <w:left w:val="none" w:sz="0" w:space="0" w:color="auto"/>
        <w:bottom w:val="none" w:sz="0" w:space="0" w:color="auto"/>
        <w:right w:val="none" w:sz="0" w:space="0" w:color="auto"/>
      </w:divBdr>
    </w:div>
    <w:div w:id="2035694157">
      <w:bodyDiv w:val="1"/>
      <w:marLeft w:val="0"/>
      <w:marRight w:val="0"/>
      <w:marTop w:val="0"/>
      <w:marBottom w:val="0"/>
      <w:divBdr>
        <w:top w:val="none" w:sz="0" w:space="0" w:color="auto"/>
        <w:left w:val="none" w:sz="0" w:space="0" w:color="auto"/>
        <w:bottom w:val="none" w:sz="0" w:space="0" w:color="auto"/>
        <w:right w:val="none" w:sz="0" w:space="0" w:color="auto"/>
      </w:divBdr>
    </w:div>
    <w:div w:id="2063091180">
      <w:bodyDiv w:val="1"/>
      <w:marLeft w:val="0"/>
      <w:marRight w:val="0"/>
      <w:marTop w:val="0"/>
      <w:marBottom w:val="0"/>
      <w:divBdr>
        <w:top w:val="none" w:sz="0" w:space="0" w:color="auto"/>
        <w:left w:val="none" w:sz="0" w:space="0" w:color="auto"/>
        <w:bottom w:val="none" w:sz="0" w:space="0" w:color="auto"/>
        <w:right w:val="none" w:sz="0" w:space="0" w:color="auto"/>
      </w:divBdr>
    </w:div>
    <w:div w:id="2066371543">
      <w:bodyDiv w:val="1"/>
      <w:marLeft w:val="0"/>
      <w:marRight w:val="0"/>
      <w:marTop w:val="0"/>
      <w:marBottom w:val="0"/>
      <w:divBdr>
        <w:top w:val="none" w:sz="0" w:space="0" w:color="auto"/>
        <w:left w:val="none" w:sz="0" w:space="0" w:color="auto"/>
        <w:bottom w:val="none" w:sz="0" w:space="0" w:color="auto"/>
        <w:right w:val="none" w:sz="0" w:space="0" w:color="auto"/>
      </w:divBdr>
    </w:div>
    <w:div w:id="2083259006">
      <w:bodyDiv w:val="1"/>
      <w:marLeft w:val="0"/>
      <w:marRight w:val="0"/>
      <w:marTop w:val="0"/>
      <w:marBottom w:val="0"/>
      <w:divBdr>
        <w:top w:val="none" w:sz="0" w:space="0" w:color="auto"/>
        <w:left w:val="none" w:sz="0" w:space="0" w:color="auto"/>
        <w:bottom w:val="none" w:sz="0" w:space="0" w:color="auto"/>
        <w:right w:val="none" w:sz="0" w:space="0" w:color="auto"/>
      </w:divBdr>
    </w:div>
    <w:div w:id="2093426275">
      <w:bodyDiv w:val="1"/>
      <w:marLeft w:val="0"/>
      <w:marRight w:val="0"/>
      <w:marTop w:val="0"/>
      <w:marBottom w:val="0"/>
      <w:divBdr>
        <w:top w:val="none" w:sz="0" w:space="0" w:color="auto"/>
        <w:left w:val="none" w:sz="0" w:space="0" w:color="auto"/>
        <w:bottom w:val="none" w:sz="0" w:space="0" w:color="auto"/>
        <w:right w:val="none" w:sz="0" w:space="0" w:color="auto"/>
      </w:divBdr>
    </w:div>
    <w:div w:id="2104066000">
      <w:bodyDiv w:val="1"/>
      <w:marLeft w:val="0"/>
      <w:marRight w:val="0"/>
      <w:marTop w:val="0"/>
      <w:marBottom w:val="0"/>
      <w:divBdr>
        <w:top w:val="none" w:sz="0" w:space="0" w:color="auto"/>
        <w:left w:val="none" w:sz="0" w:space="0" w:color="auto"/>
        <w:bottom w:val="none" w:sz="0" w:space="0" w:color="auto"/>
        <w:right w:val="none" w:sz="0" w:space="0" w:color="auto"/>
      </w:divBdr>
    </w:div>
    <w:div w:id="21240295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3.png"/><Relationship Id="rId42" Type="http://schemas.openxmlformats.org/officeDocument/2006/relationships/image" Target="media/image33.jpeg"/><Relationship Id="rId47" Type="http://schemas.openxmlformats.org/officeDocument/2006/relationships/image" Target="media/image37.jpeg"/><Relationship Id="rId63" Type="http://schemas.openxmlformats.org/officeDocument/2006/relationships/image" Target="media/image53.png"/><Relationship Id="rId68" Type="http://schemas.openxmlformats.org/officeDocument/2006/relationships/image" Target="media/image58.jpeg"/><Relationship Id="rId84" Type="http://schemas.openxmlformats.org/officeDocument/2006/relationships/diagramColors" Target="diagrams/colors2.xml"/><Relationship Id="rId89" Type="http://schemas.openxmlformats.org/officeDocument/2006/relationships/diagramColors" Target="diagrams/colors3.xml"/><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0.jpeg"/><Relationship Id="rId107" Type="http://schemas.openxmlformats.org/officeDocument/2006/relationships/image" Target="media/image81.png"/><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jp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3.png"/><Relationship Id="rId79" Type="http://schemas.openxmlformats.org/officeDocument/2006/relationships/diagramColors" Target="diagrams/colors1.xml"/><Relationship Id="rId87" Type="http://schemas.openxmlformats.org/officeDocument/2006/relationships/diagramLayout" Target="diagrams/layout3.xml"/><Relationship Id="rId102" Type="http://schemas.openxmlformats.org/officeDocument/2006/relationships/image" Target="media/image76.jpeg"/><Relationship Id="rId110" Type="http://schemas.openxmlformats.org/officeDocument/2006/relationships/image" Target="media/image84.jpeg"/><Relationship Id="rId131" Type="http://schemas.microsoft.com/office/2018/08/relationships/commentsExtensible" Target="commentsExtensible.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diagramLayout" Target="diagrams/layout2.xml"/><Relationship Id="rId90" Type="http://schemas.microsoft.com/office/2007/relationships/diagramDrawing" Target="diagrams/drawing3.xml"/><Relationship Id="rId95" Type="http://schemas.openxmlformats.org/officeDocument/2006/relationships/image" Target="media/image69.jpeg"/><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hyperlink" Target="https://www.intercity.pl/pl/" TargetMode="External"/><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jpeg"/><Relationship Id="rId77" Type="http://schemas.openxmlformats.org/officeDocument/2006/relationships/diagramLayout" Target="diagrams/layout1.xml"/><Relationship Id="rId100" Type="http://schemas.openxmlformats.org/officeDocument/2006/relationships/image" Target="media/image74.jpeg"/><Relationship Id="rId105" Type="http://schemas.openxmlformats.org/officeDocument/2006/relationships/image" Target="media/image79.jpeg"/><Relationship Id="rId8" Type="http://schemas.openxmlformats.org/officeDocument/2006/relationships/image" Target="media/image1.jpeg"/><Relationship Id="rId51" Type="http://schemas.openxmlformats.org/officeDocument/2006/relationships/image" Target="media/image41.jpg"/><Relationship Id="rId72" Type="http://schemas.openxmlformats.org/officeDocument/2006/relationships/image" Target="media/image61.png"/><Relationship Id="rId80" Type="http://schemas.microsoft.com/office/2007/relationships/diagramDrawing" Target="diagrams/drawing1.xml"/><Relationship Id="rId85" Type="http://schemas.microsoft.com/office/2007/relationships/diagramDrawing" Target="diagrams/drawing2.xml"/><Relationship Id="rId93" Type="http://schemas.openxmlformats.org/officeDocument/2006/relationships/image" Target="media/image67.jpeg"/><Relationship Id="rId98"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6.jp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77.jpeg"/><Relationship Id="rId108" Type="http://schemas.openxmlformats.org/officeDocument/2006/relationships/image" Target="media/image82.png"/><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4.png"/><Relationship Id="rId83" Type="http://schemas.openxmlformats.org/officeDocument/2006/relationships/diagramQuickStyle" Target="diagrams/quickStyle2.xml"/><Relationship Id="rId88" Type="http://schemas.openxmlformats.org/officeDocument/2006/relationships/diagramQuickStyle" Target="diagrams/quickStyle3.xml"/><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39.jpg"/><Relationship Id="rId57" Type="http://schemas.openxmlformats.org/officeDocument/2006/relationships/image" Target="media/image47.png"/><Relationship Id="rId106" Type="http://schemas.openxmlformats.org/officeDocument/2006/relationships/image" Target="media/image80.pn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4.png"/><Relationship Id="rId52" Type="http://schemas.openxmlformats.org/officeDocument/2006/relationships/image" Target="media/image42.jp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diagramQuickStyle" Target="diagrams/quickStyle1.xml"/><Relationship Id="rId81" Type="http://schemas.openxmlformats.org/officeDocument/2006/relationships/diagramData" Target="diagrams/data2.xml"/><Relationship Id="rId86" Type="http://schemas.openxmlformats.org/officeDocument/2006/relationships/diagramData" Target="diagrams/data3.xml"/><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hyperlink" Target="https://www.plugshare.com/pl" TargetMode="External"/><Relationship Id="rId39" Type="http://schemas.openxmlformats.org/officeDocument/2006/relationships/image" Target="media/image30.jpeg"/><Relationship Id="rId109" Type="http://schemas.openxmlformats.org/officeDocument/2006/relationships/image" Target="media/image83.jpeg"/><Relationship Id="rId34" Type="http://schemas.openxmlformats.org/officeDocument/2006/relationships/image" Target="media/image25.jpe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diagramData" Target="diagrams/data1.xml"/><Relationship Id="rId97" Type="http://schemas.openxmlformats.org/officeDocument/2006/relationships/image" Target="media/image71.jpeg"/><Relationship Id="rId104"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hyperlink" Target="https://www.gddkia.gov.pl/pl/a/33741/Poznalismy-wyniki-prac-nad-intermodalnym-krajowym-modelem-ruchu" TargetMode="External"/><Relationship Id="rId92" Type="http://schemas.openxmlformats.org/officeDocument/2006/relationships/image" Target="media/image66.jpeg"/></Relationships>
</file>

<file path=word/_rels/footnotes.xml.rels><?xml version="1.0" encoding="UTF-8" standalone="yes"?>
<Relationships xmlns="http://schemas.openxmlformats.org/package/2006/relationships"><Relationship Id="rId8" Type="http://schemas.openxmlformats.org/officeDocument/2006/relationships/hyperlink" Target="https://bip.podkarpackie.pl/index.php/uchwaly-sejmiku/6103-lii-sesja-sejmiku-wojewodztwa-podkarpackiego-vi-kadencja-z-dnia-29-sierpnia-2022-r" TargetMode="External"/><Relationship Id="rId3" Type="http://schemas.openxmlformats.org/officeDocument/2006/relationships/hyperlink" Target="https://www.podkarpackie.pl/index.php/transport/polityka-rowerowa" TargetMode="External"/><Relationship Id="rId7" Type="http://schemas.openxmlformats.org/officeDocument/2006/relationships/hyperlink" Target="https://podkarpackie.pl/index.php/srodowisko/aktualnosci/wojewodzka-strategia-klimatyczna-przyjeta" TargetMode="External"/><Relationship Id="rId2" Type="http://schemas.openxmlformats.org/officeDocument/2006/relationships/hyperlink" Target="https://stat.gov.pl/statystyki-eksperymentalne/uslugi-publiczne/badanie-pilotazowe-zachowan-komunikacyjnych-ludnosci-w-polsce-popt-2007-2013,14,1.html" TargetMode="External"/><Relationship Id="rId1" Type="http://schemas.openxmlformats.org/officeDocument/2006/relationships/hyperlink" Target="https://eipa.udt.gov.pl/" TargetMode="External"/><Relationship Id="rId6" Type="http://schemas.openxmlformats.org/officeDocument/2006/relationships/hyperlink" Target="https://rzeszow.uw.gov.pl/aktualnosci/20-mln-na-stacje-tankowania-wodoru-na-podkarpaciu" TargetMode="External"/><Relationship Id="rId5" Type="http://schemas.openxmlformats.org/officeDocument/2006/relationships/hyperlink" Target="https://bip.erzeszow.pl/static/img/k02/BRM/XXXII%20sesja-%2026%20maja/Uchwa%C5%82a%20Nr%20XXXII-654-2020.pdf" TargetMode="External"/><Relationship Id="rId4" Type="http://schemas.openxmlformats.org/officeDocument/2006/relationships/hyperlink" Target="https://bip.podkarpackie.pl/index.php/uchwaly-sejmiku/6185-liv-sesja-sejmiku-wojewodztwa-podkarpackiego-vi-kadencja-z-dnia-2-listopada-2022-r" TargetMode="External"/><Relationship Id="rId9" Type="http://schemas.openxmlformats.org/officeDocument/2006/relationships/hyperlink" Target="https://www.gov.pl/web/infrastruktura/wr-d" TargetMode="Externa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637C011-1A11-4872-AE85-43382EDED564}" type="doc">
      <dgm:prSet loTypeId="urn:microsoft.com/office/officeart/2005/8/layout/matrix1" loCatId="matrix" qsTypeId="urn:microsoft.com/office/officeart/2005/8/quickstyle/simple1" qsCatId="simple" csTypeId="urn:microsoft.com/office/officeart/2005/8/colors/colorful1" csCatId="colorful" phldr="1"/>
      <dgm:spPr/>
      <dgm:t>
        <a:bodyPr/>
        <a:lstStyle/>
        <a:p>
          <a:endParaRPr lang="pl-PL"/>
        </a:p>
      </dgm:t>
    </dgm:pt>
    <dgm:pt modelId="{2A5AFD23-8992-4DCC-865F-99B89759CEE1}">
      <dgm:prSet phldrT="[Tekst]"/>
      <dgm:spPr/>
      <dgm:t>
        <a:bodyPr/>
        <a:lstStyle/>
        <a:p>
          <a:pPr algn="ctr"/>
          <a:r>
            <a:rPr lang="pl-PL" b="1" i="0"/>
            <a:t>Problemy wynikające </a:t>
          </a:r>
          <a:br>
            <a:rPr lang="pl-PL" b="1" i="0"/>
          </a:br>
          <a:r>
            <a:rPr lang="pl-PL" b="1" i="0"/>
            <a:t>z diagnozy</a:t>
          </a:r>
          <a:endParaRPr lang="pl-PL"/>
        </a:p>
      </dgm:t>
      <dgm:extLst>
        <a:ext uri="{E40237B7-FDA0-4F09-8148-C483321AD2D9}">
          <dgm14:cNvPr xmlns:dgm14="http://schemas.microsoft.com/office/drawing/2010/diagram" id="0" name="" descr="Problemy wynikające z diagnozy" title="Główne pole"/>
        </a:ext>
      </dgm:extLst>
    </dgm:pt>
    <dgm:pt modelId="{3E8E2200-5A80-4193-B009-2D5F0E176BC0}" type="parTrans" cxnId="{BF6BAC32-19A6-42BC-A4E3-CD5BF6BE3D8F}">
      <dgm:prSet/>
      <dgm:spPr/>
      <dgm:t>
        <a:bodyPr/>
        <a:lstStyle/>
        <a:p>
          <a:pPr algn="ctr"/>
          <a:endParaRPr lang="pl-PL"/>
        </a:p>
      </dgm:t>
    </dgm:pt>
    <dgm:pt modelId="{6EA7BF66-E60F-4B20-8296-7DB8941ADBA4}" type="sibTrans" cxnId="{BF6BAC32-19A6-42BC-A4E3-CD5BF6BE3D8F}">
      <dgm:prSet/>
      <dgm:spPr/>
      <dgm:t>
        <a:bodyPr/>
        <a:lstStyle/>
        <a:p>
          <a:pPr algn="ctr"/>
          <a:endParaRPr lang="pl-PL"/>
        </a:p>
      </dgm:t>
    </dgm:pt>
    <dgm:pt modelId="{0386329B-C00B-444B-92BC-E6030B35F8F4}">
      <dgm:prSet phldrT="[Tekst]"/>
      <dgm:spPr/>
      <dgm:t>
        <a:bodyPr/>
        <a:lstStyle/>
        <a:p>
          <a:pPr algn="ctr"/>
          <a:r>
            <a:rPr lang="pl-PL" b="1">
              <a:solidFill>
                <a:sysClr val="windowText" lastClr="000000"/>
              </a:solidFill>
            </a:rPr>
            <a:t>Utrzymanie i wzmocnienie podstaw transportowych dla rozwoju gospodarczego województwa, w tym integracja infrastrukturalna oraz organizacyjna systemu transportowego w układzie zewnętrznym i wewnętrznym</a:t>
          </a:r>
          <a:endParaRPr lang="pl-PL">
            <a:solidFill>
              <a:sysClr val="windowText" lastClr="000000"/>
            </a:solidFill>
          </a:endParaRPr>
        </a:p>
      </dgm:t>
      <dgm:extLst>
        <a:ext uri="{E40237B7-FDA0-4F09-8148-C483321AD2D9}">
          <dgm14:cNvPr xmlns:dgm14="http://schemas.microsoft.com/office/drawing/2010/diagram" id="0" name="" descr="Utrzymanie i wzmocnienie podstaw transportowych dla rozwoju gospodarczego województwa, w tym integracja infrastrukturalna oraz organizacyjna systemu transportowego w układzie zewnętrznym i wewnętrznym&#10;" title="Pomarańczowe pole"/>
        </a:ext>
      </dgm:extLst>
    </dgm:pt>
    <dgm:pt modelId="{A738DC81-51C4-4F4D-90F4-793C5E8E8BDE}" type="parTrans" cxnId="{86297856-6692-4807-BA3A-E688178ECC4D}">
      <dgm:prSet/>
      <dgm:spPr/>
      <dgm:t>
        <a:bodyPr/>
        <a:lstStyle/>
        <a:p>
          <a:pPr algn="ctr"/>
          <a:endParaRPr lang="pl-PL"/>
        </a:p>
      </dgm:t>
    </dgm:pt>
    <dgm:pt modelId="{368015DB-6EA3-4255-B418-50AEA7E534A2}" type="sibTrans" cxnId="{86297856-6692-4807-BA3A-E688178ECC4D}">
      <dgm:prSet/>
      <dgm:spPr/>
      <dgm:t>
        <a:bodyPr/>
        <a:lstStyle/>
        <a:p>
          <a:pPr algn="ctr"/>
          <a:endParaRPr lang="pl-PL"/>
        </a:p>
      </dgm:t>
    </dgm:pt>
    <dgm:pt modelId="{224DB3A7-C959-4E92-8CC9-E651F31CD313}">
      <dgm:prSet phldrT="[Tekst]"/>
      <dgm:spPr/>
      <dgm:t>
        <a:bodyPr/>
        <a:lstStyle/>
        <a:p>
          <a:pPr algn="ctr"/>
          <a:r>
            <a:rPr lang="pl-PL" b="1">
              <a:solidFill>
                <a:sysClr val="windowText" lastClr="000000"/>
              </a:solidFill>
            </a:rPr>
            <a:t>Podniesienie jakości życia mieszkańców województwa poprzez poprawę dostępności transportowej w różnych skalach przestrzennych, z uwzględnieniem zachodzących niekorzystnych procesów demograficznych</a:t>
          </a:r>
          <a:endParaRPr lang="pl-PL">
            <a:solidFill>
              <a:sysClr val="windowText" lastClr="000000"/>
            </a:solidFill>
          </a:endParaRPr>
        </a:p>
      </dgm:t>
      <dgm:extLst>
        <a:ext uri="{E40237B7-FDA0-4F09-8148-C483321AD2D9}">
          <dgm14:cNvPr xmlns:dgm14="http://schemas.microsoft.com/office/drawing/2010/diagram" id="0" name="" descr="Podniesienie jakości życia mieszkańców województwa poprzez poprawę dostępności transportowej w różnych skalach przestrzennych, z uwzględnieniem zachodzących niekorzystnych procesów demograficznych" title="Czare pole"/>
        </a:ext>
      </dgm:extLst>
    </dgm:pt>
    <dgm:pt modelId="{DF4F7D9A-1301-4F4A-B7FE-CD351EEB633E}" type="parTrans" cxnId="{BACF542F-178A-457B-811B-9506E3F3603D}">
      <dgm:prSet/>
      <dgm:spPr/>
      <dgm:t>
        <a:bodyPr/>
        <a:lstStyle/>
        <a:p>
          <a:pPr algn="ctr"/>
          <a:endParaRPr lang="pl-PL"/>
        </a:p>
      </dgm:t>
    </dgm:pt>
    <dgm:pt modelId="{A9B8CB72-F27B-450E-B6C7-581EFCA74CBF}" type="sibTrans" cxnId="{BACF542F-178A-457B-811B-9506E3F3603D}">
      <dgm:prSet/>
      <dgm:spPr/>
      <dgm:t>
        <a:bodyPr/>
        <a:lstStyle/>
        <a:p>
          <a:pPr algn="ctr"/>
          <a:endParaRPr lang="pl-PL"/>
        </a:p>
      </dgm:t>
    </dgm:pt>
    <dgm:pt modelId="{3B02D4F9-9779-4A9A-9123-DB02D2380A80}">
      <dgm:prSet phldrT="[Tekst]"/>
      <dgm:spPr/>
      <dgm:t>
        <a:bodyPr/>
        <a:lstStyle/>
        <a:p>
          <a:pPr algn="ctr"/>
          <a:r>
            <a:rPr lang="pl-PL" b="1">
              <a:solidFill>
                <a:sysClr val="windowText" lastClr="000000"/>
              </a:solidFill>
            </a:rPr>
            <a:t>Zmniejszenie negatywnego oddziaływania sektora transportu na szeroko rozumiane środowisko naturalne w wymiarze globalnym (zmian klimatycznych) i lokalnym (ochrona, cennych walorów przyrodniczych regionu)</a:t>
          </a:r>
          <a:endParaRPr lang="pl-PL">
            <a:solidFill>
              <a:sysClr val="windowText" lastClr="000000"/>
            </a:solidFill>
          </a:endParaRPr>
        </a:p>
      </dgm:t>
      <dgm:extLst>
        <a:ext uri="{E40237B7-FDA0-4F09-8148-C483321AD2D9}">
          <dgm14:cNvPr xmlns:dgm14="http://schemas.microsoft.com/office/drawing/2010/diagram" id="0" name="" descr="Zmniejszenie negatywnego oddziaływania sektora transportu na szeroko rozumiane środowisko naturalne w wymiarze globalnym (zmian klimatycznych) i lokalnym (ochrona, cennych walorów przyrodniczych regionu)&#10;" title="Żółte pole"/>
        </a:ext>
      </dgm:extLst>
    </dgm:pt>
    <dgm:pt modelId="{CA561FE6-08F8-4FDF-9E6C-40E3BFC5C9B9}" type="parTrans" cxnId="{E936F40D-94A0-4153-80E8-2E423F622E54}">
      <dgm:prSet/>
      <dgm:spPr/>
      <dgm:t>
        <a:bodyPr/>
        <a:lstStyle/>
        <a:p>
          <a:pPr algn="ctr"/>
          <a:endParaRPr lang="pl-PL"/>
        </a:p>
      </dgm:t>
    </dgm:pt>
    <dgm:pt modelId="{D96502AA-1486-43D9-96B4-71A683609697}" type="sibTrans" cxnId="{E936F40D-94A0-4153-80E8-2E423F622E54}">
      <dgm:prSet/>
      <dgm:spPr/>
      <dgm:t>
        <a:bodyPr/>
        <a:lstStyle/>
        <a:p>
          <a:pPr algn="ctr"/>
          <a:endParaRPr lang="pl-PL"/>
        </a:p>
      </dgm:t>
    </dgm:pt>
    <dgm:pt modelId="{FF50AB28-7032-4F58-808C-8E8BB7D4A589}">
      <dgm:prSet phldrT="[Tekst]"/>
      <dgm:spPr/>
      <dgm:t>
        <a:bodyPr/>
        <a:lstStyle/>
        <a:p>
          <a:pPr algn="ctr"/>
          <a:r>
            <a:rPr lang="pl-PL" b="1">
              <a:solidFill>
                <a:sysClr val="windowText" lastClr="000000"/>
              </a:solidFill>
            </a:rPr>
            <a:t>Podniesienie poziomu bezpieczeństwa </a:t>
          </a:r>
          <a:br>
            <a:rPr lang="pl-PL" b="1">
              <a:solidFill>
                <a:sysClr val="windowText" lastClr="000000"/>
              </a:solidFill>
            </a:rPr>
          </a:br>
          <a:r>
            <a:rPr lang="pl-PL" b="1">
              <a:solidFill>
                <a:sysClr val="windowText" lastClr="000000"/>
              </a:solidFill>
            </a:rPr>
            <a:t>w transporcie</a:t>
          </a:r>
          <a:endParaRPr lang="pl-PL">
            <a:solidFill>
              <a:sysClr val="windowText" lastClr="000000"/>
            </a:solidFill>
          </a:endParaRPr>
        </a:p>
      </dgm:t>
      <dgm:extLst>
        <a:ext uri="{E40237B7-FDA0-4F09-8148-C483321AD2D9}">
          <dgm14:cNvPr xmlns:dgm14="http://schemas.microsoft.com/office/drawing/2010/diagram" id="0" name="" descr="Podniesienie poziomu bezpieczeństwa &#10;w transporcie&#10;" title="Niebieskie pole"/>
        </a:ext>
      </dgm:extLst>
    </dgm:pt>
    <dgm:pt modelId="{91821636-DDC7-4F0B-A3CE-6F6D772C3FE5}" type="parTrans" cxnId="{F8907DCB-4481-4996-9B08-7B23F5BD497F}">
      <dgm:prSet/>
      <dgm:spPr/>
      <dgm:t>
        <a:bodyPr/>
        <a:lstStyle/>
        <a:p>
          <a:pPr algn="ctr"/>
          <a:endParaRPr lang="pl-PL"/>
        </a:p>
      </dgm:t>
    </dgm:pt>
    <dgm:pt modelId="{EA8F1EDB-9CC3-448F-8551-328FA7074961}" type="sibTrans" cxnId="{F8907DCB-4481-4996-9B08-7B23F5BD497F}">
      <dgm:prSet/>
      <dgm:spPr/>
      <dgm:t>
        <a:bodyPr/>
        <a:lstStyle/>
        <a:p>
          <a:pPr algn="ctr"/>
          <a:endParaRPr lang="pl-PL"/>
        </a:p>
      </dgm:t>
    </dgm:pt>
    <dgm:pt modelId="{3FC6F572-7D84-46BB-8CC8-5F6D2F9B8297}" type="pres">
      <dgm:prSet presAssocID="{6637C011-1A11-4872-AE85-43382EDED564}" presName="diagram" presStyleCnt="0">
        <dgm:presLayoutVars>
          <dgm:chMax val="1"/>
          <dgm:dir/>
          <dgm:animLvl val="ctr"/>
          <dgm:resizeHandles val="exact"/>
        </dgm:presLayoutVars>
      </dgm:prSet>
      <dgm:spPr/>
      <dgm:t>
        <a:bodyPr/>
        <a:lstStyle/>
        <a:p>
          <a:endParaRPr lang="pl-PL"/>
        </a:p>
      </dgm:t>
    </dgm:pt>
    <dgm:pt modelId="{3E52C599-634D-46C9-B1C1-7436E4A0FE7D}" type="pres">
      <dgm:prSet presAssocID="{6637C011-1A11-4872-AE85-43382EDED564}" presName="matrix" presStyleCnt="0"/>
      <dgm:spPr/>
    </dgm:pt>
    <dgm:pt modelId="{FA4B97AF-7925-481B-8634-D81186D69E18}" type="pres">
      <dgm:prSet presAssocID="{6637C011-1A11-4872-AE85-43382EDED564}" presName="tile1" presStyleLbl="node1" presStyleIdx="0" presStyleCnt="4"/>
      <dgm:spPr/>
      <dgm:t>
        <a:bodyPr/>
        <a:lstStyle/>
        <a:p>
          <a:endParaRPr lang="pl-PL"/>
        </a:p>
      </dgm:t>
    </dgm:pt>
    <dgm:pt modelId="{AE990688-485A-4940-82BE-EB6C564FAFAB}" type="pres">
      <dgm:prSet presAssocID="{6637C011-1A11-4872-AE85-43382EDED564}" presName="tile1text" presStyleLbl="node1" presStyleIdx="0" presStyleCnt="4">
        <dgm:presLayoutVars>
          <dgm:chMax val="0"/>
          <dgm:chPref val="0"/>
          <dgm:bulletEnabled val="1"/>
        </dgm:presLayoutVars>
      </dgm:prSet>
      <dgm:spPr/>
      <dgm:t>
        <a:bodyPr/>
        <a:lstStyle/>
        <a:p>
          <a:endParaRPr lang="pl-PL"/>
        </a:p>
      </dgm:t>
    </dgm:pt>
    <dgm:pt modelId="{61DC64A1-F33C-4F9F-A73E-E25C3AA255F6}" type="pres">
      <dgm:prSet presAssocID="{6637C011-1A11-4872-AE85-43382EDED564}" presName="tile2" presStyleLbl="node1" presStyleIdx="1" presStyleCnt="4"/>
      <dgm:spPr/>
      <dgm:t>
        <a:bodyPr/>
        <a:lstStyle/>
        <a:p>
          <a:endParaRPr lang="pl-PL"/>
        </a:p>
      </dgm:t>
    </dgm:pt>
    <dgm:pt modelId="{A9C72D9C-8C2C-4FEA-8DE1-1634D5C8A7F5}" type="pres">
      <dgm:prSet presAssocID="{6637C011-1A11-4872-AE85-43382EDED564}" presName="tile2text" presStyleLbl="node1" presStyleIdx="1" presStyleCnt="4">
        <dgm:presLayoutVars>
          <dgm:chMax val="0"/>
          <dgm:chPref val="0"/>
          <dgm:bulletEnabled val="1"/>
        </dgm:presLayoutVars>
      </dgm:prSet>
      <dgm:spPr/>
      <dgm:t>
        <a:bodyPr/>
        <a:lstStyle/>
        <a:p>
          <a:endParaRPr lang="pl-PL"/>
        </a:p>
      </dgm:t>
    </dgm:pt>
    <dgm:pt modelId="{A7D81787-157A-47C9-8B2A-E0AFCC6B707F}" type="pres">
      <dgm:prSet presAssocID="{6637C011-1A11-4872-AE85-43382EDED564}" presName="tile3" presStyleLbl="node1" presStyleIdx="2" presStyleCnt="4"/>
      <dgm:spPr/>
      <dgm:t>
        <a:bodyPr/>
        <a:lstStyle/>
        <a:p>
          <a:endParaRPr lang="pl-PL"/>
        </a:p>
      </dgm:t>
    </dgm:pt>
    <dgm:pt modelId="{B5A77521-9DB9-4EB4-AE37-6BE0F786FE15}" type="pres">
      <dgm:prSet presAssocID="{6637C011-1A11-4872-AE85-43382EDED564}" presName="tile3text" presStyleLbl="node1" presStyleIdx="2" presStyleCnt="4">
        <dgm:presLayoutVars>
          <dgm:chMax val="0"/>
          <dgm:chPref val="0"/>
          <dgm:bulletEnabled val="1"/>
        </dgm:presLayoutVars>
      </dgm:prSet>
      <dgm:spPr/>
      <dgm:t>
        <a:bodyPr/>
        <a:lstStyle/>
        <a:p>
          <a:endParaRPr lang="pl-PL"/>
        </a:p>
      </dgm:t>
    </dgm:pt>
    <dgm:pt modelId="{E939DF1F-D58F-4E06-9B5F-2C31386B380B}" type="pres">
      <dgm:prSet presAssocID="{6637C011-1A11-4872-AE85-43382EDED564}" presName="tile4" presStyleLbl="node1" presStyleIdx="3" presStyleCnt="4"/>
      <dgm:spPr/>
      <dgm:t>
        <a:bodyPr/>
        <a:lstStyle/>
        <a:p>
          <a:endParaRPr lang="pl-PL"/>
        </a:p>
      </dgm:t>
    </dgm:pt>
    <dgm:pt modelId="{913DA057-31EA-47DC-84D1-16FD20657EB8}" type="pres">
      <dgm:prSet presAssocID="{6637C011-1A11-4872-AE85-43382EDED564}" presName="tile4text" presStyleLbl="node1" presStyleIdx="3" presStyleCnt="4">
        <dgm:presLayoutVars>
          <dgm:chMax val="0"/>
          <dgm:chPref val="0"/>
          <dgm:bulletEnabled val="1"/>
        </dgm:presLayoutVars>
      </dgm:prSet>
      <dgm:spPr/>
      <dgm:t>
        <a:bodyPr/>
        <a:lstStyle/>
        <a:p>
          <a:endParaRPr lang="pl-PL"/>
        </a:p>
      </dgm:t>
    </dgm:pt>
    <dgm:pt modelId="{2F0408EE-E589-4668-92D3-8518EDEC9C5B}" type="pres">
      <dgm:prSet presAssocID="{6637C011-1A11-4872-AE85-43382EDED564}" presName="centerTile" presStyleLbl="fgShp" presStyleIdx="0" presStyleCnt="1">
        <dgm:presLayoutVars>
          <dgm:chMax val="0"/>
          <dgm:chPref val="0"/>
        </dgm:presLayoutVars>
      </dgm:prSet>
      <dgm:spPr/>
      <dgm:t>
        <a:bodyPr/>
        <a:lstStyle/>
        <a:p>
          <a:endParaRPr lang="pl-PL"/>
        </a:p>
      </dgm:t>
    </dgm:pt>
  </dgm:ptLst>
  <dgm:cxnLst>
    <dgm:cxn modelId="{6B3F21A5-CC2E-495E-AA45-87AA476EEDBE}" type="presOf" srcId="{3B02D4F9-9779-4A9A-9123-DB02D2380A80}" destId="{B5A77521-9DB9-4EB4-AE37-6BE0F786FE15}" srcOrd="1" destOrd="0" presId="urn:microsoft.com/office/officeart/2005/8/layout/matrix1"/>
    <dgm:cxn modelId="{F68C74B9-FE13-4DE5-AEF0-EE53FC650938}" type="presOf" srcId="{FF50AB28-7032-4F58-808C-8E8BB7D4A589}" destId="{E939DF1F-D58F-4E06-9B5F-2C31386B380B}" srcOrd="0" destOrd="0" presId="urn:microsoft.com/office/officeart/2005/8/layout/matrix1"/>
    <dgm:cxn modelId="{BF6BAC32-19A6-42BC-A4E3-CD5BF6BE3D8F}" srcId="{6637C011-1A11-4872-AE85-43382EDED564}" destId="{2A5AFD23-8992-4DCC-865F-99B89759CEE1}" srcOrd="0" destOrd="0" parTransId="{3E8E2200-5A80-4193-B009-2D5F0E176BC0}" sibTransId="{6EA7BF66-E60F-4B20-8296-7DB8941ADBA4}"/>
    <dgm:cxn modelId="{75654ACE-000E-4980-84A8-316249466644}" type="presOf" srcId="{0386329B-C00B-444B-92BC-E6030B35F8F4}" destId="{AE990688-485A-4940-82BE-EB6C564FAFAB}" srcOrd="1" destOrd="0" presId="urn:microsoft.com/office/officeart/2005/8/layout/matrix1"/>
    <dgm:cxn modelId="{4C8A4B20-2E08-4B10-8F9D-FD37DF99D7EA}" type="presOf" srcId="{224DB3A7-C959-4E92-8CC9-E651F31CD313}" destId="{A9C72D9C-8C2C-4FEA-8DE1-1634D5C8A7F5}" srcOrd="1" destOrd="0" presId="urn:microsoft.com/office/officeart/2005/8/layout/matrix1"/>
    <dgm:cxn modelId="{E936F40D-94A0-4153-80E8-2E423F622E54}" srcId="{2A5AFD23-8992-4DCC-865F-99B89759CEE1}" destId="{3B02D4F9-9779-4A9A-9123-DB02D2380A80}" srcOrd="2" destOrd="0" parTransId="{CA561FE6-08F8-4FDF-9E6C-40E3BFC5C9B9}" sibTransId="{D96502AA-1486-43D9-96B4-71A683609697}"/>
    <dgm:cxn modelId="{5FEFA45F-F5BB-455E-929B-2EAF6747053B}" type="presOf" srcId="{6637C011-1A11-4872-AE85-43382EDED564}" destId="{3FC6F572-7D84-46BB-8CC8-5F6D2F9B8297}" srcOrd="0" destOrd="0" presId="urn:microsoft.com/office/officeart/2005/8/layout/matrix1"/>
    <dgm:cxn modelId="{F8907DCB-4481-4996-9B08-7B23F5BD497F}" srcId="{2A5AFD23-8992-4DCC-865F-99B89759CEE1}" destId="{FF50AB28-7032-4F58-808C-8E8BB7D4A589}" srcOrd="3" destOrd="0" parTransId="{91821636-DDC7-4F0B-A3CE-6F6D772C3FE5}" sibTransId="{EA8F1EDB-9CC3-448F-8551-328FA7074961}"/>
    <dgm:cxn modelId="{BACF542F-178A-457B-811B-9506E3F3603D}" srcId="{2A5AFD23-8992-4DCC-865F-99B89759CEE1}" destId="{224DB3A7-C959-4E92-8CC9-E651F31CD313}" srcOrd="1" destOrd="0" parTransId="{DF4F7D9A-1301-4F4A-B7FE-CD351EEB633E}" sibTransId="{A9B8CB72-F27B-450E-B6C7-581EFCA74CBF}"/>
    <dgm:cxn modelId="{CA7D282D-D95C-4D05-809B-7598EA0636E0}" type="presOf" srcId="{2A5AFD23-8992-4DCC-865F-99B89759CEE1}" destId="{2F0408EE-E589-4668-92D3-8518EDEC9C5B}" srcOrd="0" destOrd="0" presId="urn:microsoft.com/office/officeart/2005/8/layout/matrix1"/>
    <dgm:cxn modelId="{9F3EB55A-B073-4CE4-AA59-66744B119B01}" type="presOf" srcId="{224DB3A7-C959-4E92-8CC9-E651F31CD313}" destId="{61DC64A1-F33C-4F9F-A73E-E25C3AA255F6}" srcOrd="0" destOrd="0" presId="urn:microsoft.com/office/officeart/2005/8/layout/matrix1"/>
    <dgm:cxn modelId="{86297856-6692-4807-BA3A-E688178ECC4D}" srcId="{2A5AFD23-8992-4DCC-865F-99B89759CEE1}" destId="{0386329B-C00B-444B-92BC-E6030B35F8F4}" srcOrd="0" destOrd="0" parTransId="{A738DC81-51C4-4F4D-90F4-793C5E8E8BDE}" sibTransId="{368015DB-6EA3-4255-B418-50AEA7E534A2}"/>
    <dgm:cxn modelId="{3C133CE2-125E-40C0-81B7-E7E672A98F27}" type="presOf" srcId="{3B02D4F9-9779-4A9A-9123-DB02D2380A80}" destId="{A7D81787-157A-47C9-8B2A-E0AFCC6B707F}" srcOrd="0" destOrd="0" presId="urn:microsoft.com/office/officeart/2005/8/layout/matrix1"/>
    <dgm:cxn modelId="{B2995E46-AB30-447A-B0FA-F89D11A153CB}" type="presOf" srcId="{0386329B-C00B-444B-92BC-E6030B35F8F4}" destId="{FA4B97AF-7925-481B-8634-D81186D69E18}" srcOrd="0" destOrd="0" presId="urn:microsoft.com/office/officeart/2005/8/layout/matrix1"/>
    <dgm:cxn modelId="{F9CE7C38-BF32-46CD-9F3C-D820C19E857C}" type="presOf" srcId="{FF50AB28-7032-4F58-808C-8E8BB7D4A589}" destId="{913DA057-31EA-47DC-84D1-16FD20657EB8}" srcOrd="1" destOrd="0" presId="urn:microsoft.com/office/officeart/2005/8/layout/matrix1"/>
    <dgm:cxn modelId="{43986A22-3C93-4F57-B78C-BF9C8D172F16}" type="presParOf" srcId="{3FC6F572-7D84-46BB-8CC8-5F6D2F9B8297}" destId="{3E52C599-634D-46C9-B1C1-7436E4A0FE7D}" srcOrd="0" destOrd="0" presId="urn:microsoft.com/office/officeart/2005/8/layout/matrix1"/>
    <dgm:cxn modelId="{474675D4-43CA-4626-9E7F-FCF12E137F0C}" type="presParOf" srcId="{3E52C599-634D-46C9-B1C1-7436E4A0FE7D}" destId="{FA4B97AF-7925-481B-8634-D81186D69E18}" srcOrd="0" destOrd="0" presId="urn:microsoft.com/office/officeart/2005/8/layout/matrix1"/>
    <dgm:cxn modelId="{CC210ABD-B8AA-43D8-8981-5407349393F3}" type="presParOf" srcId="{3E52C599-634D-46C9-B1C1-7436E4A0FE7D}" destId="{AE990688-485A-4940-82BE-EB6C564FAFAB}" srcOrd="1" destOrd="0" presId="urn:microsoft.com/office/officeart/2005/8/layout/matrix1"/>
    <dgm:cxn modelId="{D9CC4D22-3B89-4FAE-93BD-5074E059CC70}" type="presParOf" srcId="{3E52C599-634D-46C9-B1C1-7436E4A0FE7D}" destId="{61DC64A1-F33C-4F9F-A73E-E25C3AA255F6}" srcOrd="2" destOrd="0" presId="urn:microsoft.com/office/officeart/2005/8/layout/matrix1"/>
    <dgm:cxn modelId="{D1185773-9CA5-4720-8430-57D9C11BB7BF}" type="presParOf" srcId="{3E52C599-634D-46C9-B1C1-7436E4A0FE7D}" destId="{A9C72D9C-8C2C-4FEA-8DE1-1634D5C8A7F5}" srcOrd="3" destOrd="0" presId="urn:microsoft.com/office/officeart/2005/8/layout/matrix1"/>
    <dgm:cxn modelId="{CA9343BC-84FD-4F1E-8592-9888A54FCAD9}" type="presParOf" srcId="{3E52C599-634D-46C9-B1C1-7436E4A0FE7D}" destId="{A7D81787-157A-47C9-8B2A-E0AFCC6B707F}" srcOrd="4" destOrd="0" presId="urn:microsoft.com/office/officeart/2005/8/layout/matrix1"/>
    <dgm:cxn modelId="{D222C635-465A-4D34-8AB0-21AD89D5F0A9}" type="presParOf" srcId="{3E52C599-634D-46C9-B1C1-7436E4A0FE7D}" destId="{B5A77521-9DB9-4EB4-AE37-6BE0F786FE15}" srcOrd="5" destOrd="0" presId="urn:microsoft.com/office/officeart/2005/8/layout/matrix1"/>
    <dgm:cxn modelId="{CE556C5E-80B4-4D1D-8E86-0FDB4E46F8EC}" type="presParOf" srcId="{3E52C599-634D-46C9-B1C1-7436E4A0FE7D}" destId="{E939DF1F-D58F-4E06-9B5F-2C31386B380B}" srcOrd="6" destOrd="0" presId="urn:microsoft.com/office/officeart/2005/8/layout/matrix1"/>
    <dgm:cxn modelId="{869E3554-FE62-414A-A5D3-F0E46ED7E9B5}" type="presParOf" srcId="{3E52C599-634D-46C9-B1C1-7436E4A0FE7D}" destId="{913DA057-31EA-47DC-84D1-16FD20657EB8}" srcOrd="7" destOrd="0" presId="urn:microsoft.com/office/officeart/2005/8/layout/matrix1"/>
    <dgm:cxn modelId="{57259845-14A1-42B4-9940-2620793C8D23}" type="presParOf" srcId="{3FC6F572-7D84-46BB-8CC8-5F6D2F9B8297}" destId="{2F0408EE-E589-4668-92D3-8518EDEC9C5B}" srcOrd="1" destOrd="0" presId="urn:microsoft.com/office/officeart/2005/8/layout/matrix1"/>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123BBD0-6680-41C3-8871-D5317366D11A}" type="doc">
      <dgm:prSet loTypeId="urn:microsoft.com/office/officeart/2005/8/layout/hList3" loCatId="list" qsTypeId="urn:microsoft.com/office/officeart/2005/8/quickstyle/simple1" qsCatId="simple" csTypeId="urn:microsoft.com/office/officeart/2005/8/colors/colorful1" csCatId="colorful" phldr="1"/>
      <dgm:spPr/>
      <dgm:t>
        <a:bodyPr/>
        <a:lstStyle/>
        <a:p>
          <a:endParaRPr lang="pl-PL"/>
        </a:p>
      </dgm:t>
    </dgm:pt>
    <dgm:pt modelId="{6974468B-7445-476C-99A9-E13FAE493FA6}">
      <dgm:prSet phldrT="[Tekst]" custT="1"/>
      <dgm:spPr/>
      <dgm:t>
        <a:bodyPr/>
        <a:lstStyle/>
        <a:p>
          <a:pPr>
            <a:spcAft>
              <a:spcPts val="0"/>
            </a:spcAft>
          </a:pPr>
          <a:r>
            <a:rPr lang="pl-PL" sz="2000" b="1">
              <a:solidFill>
                <a:sysClr val="windowText" lastClr="000000"/>
              </a:solidFill>
              <a:latin typeface="Arial" panose="020B0604020202020204" pitchFamily="34" charset="0"/>
              <a:cs typeface="Arial" panose="020B0604020202020204" pitchFamily="34" charset="0"/>
            </a:rPr>
            <a:t>Cele horyzontalne</a:t>
          </a:r>
          <a:endParaRPr lang="pl-PL" sz="20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descr="Cele horyzontalne" title="Główne pomarańczowe pole"/>
        </a:ext>
      </dgm:extLst>
    </dgm:pt>
    <dgm:pt modelId="{DF326764-888A-4B5E-895D-CEE29634F04B}" type="parTrans" cxnId="{BF4F9368-9AA2-4AA0-A6D4-A9A76C213AB9}">
      <dgm:prSet/>
      <dgm:spPr/>
      <dgm:t>
        <a:bodyPr/>
        <a:lstStyle/>
        <a:p>
          <a:endParaRPr lang="pl-PL">
            <a:solidFill>
              <a:sysClr val="windowText" lastClr="000000"/>
            </a:solidFill>
          </a:endParaRPr>
        </a:p>
      </dgm:t>
    </dgm:pt>
    <dgm:pt modelId="{FB28A9F6-F022-4B09-89DB-4728E6F2DC3E}" type="sibTrans" cxnId="{BF4F9368-9AA2-4AA0-A6D4-A9A76C213AB9}">
      <dgm:prSet/>
      <dgm:spPr/>
      <dgm:t>
        <a:bodyPr/>
        <a:lstStyle/>
        <a:p>
          <a:endParaRPr lang="pl-PL">
            <a:solidFill>
              <a:sysClr val="windowText" lastClr="000000"/>
            </a:solidFill>
          </a:endParaRPr>
        </a:p>
      </dgm:t>
    </dgm:pt>
    <dgm:pt modelId="{67FE1C4A-A627-42F5-AA1A-7F88CEFB5C94}">
      <dgm:prSet phldrT="[Tekst]" custT="1"/>
      <dgm:spPr/>
      <dgm:t>
        <a:bodyPr/>
        <a:lstStyle/>
        <a:p>
          <a:pPr>
            <a:buFont typeface="+mj-lt"/>
            <a:buAutoNum type="arabicPeriod"/>
          </a:pPr>
          <a:r>
            <a:rPr lang="pl-PL" sz="800" b="1">
              <a:solidFill>
                <a:sysClr val="windowText" lastClr="000000"/>
              </a:solidFill>
              <a:latin typeface="Arial" panose="020B0604020202020204" pitchFamily="34" charset="0"/>
              <a:cs typeface="Arial" panose="020B0604020202020204" pitchFamily="34" charset="0"/>
            </a:rPr>
            <a:t>Cel horyzontalny 1. Ograniczenie negatywnego oddziaływania sektora transportu na klimat oraz na regionalne środowisko naturalne</a:t>
          </a:r>
          <a:endParaRPr lang="pl-PL" sz="8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descr="Cel horyzontalny 1. Ograniczenie negatywnego oddziaływania sektora transportu na klimat oraz na regionalne środowisko naturalne" title="Pomarańczoe pole"/>
        </a:ext>
      </dgm:extLst>
    </dgm:pt>
    <dgm:pt modelId="{5B76368B-7652-4DB6-A812-0BF98A1F909B}" type="parTrans" cxnId="{33DA7306-51EF-4705-8A6F-61540B23EB90}">
      <dgm:prSet/>
      <dgm:spPr/>
      <dgm:t>
        <a:bodyPr/>
        <a:lstStyle/>
        <a:p>
          <a:endParaRPr lang="pl-PL">
            <a:solidFill>
              <a:sysClr val="windowText" lastClr="000000"/>
            </a:solidFill>
          </a:endParaRPr>
        </a:p>
      </dgm:t>
    </dgm:pt>
    <dgm:pt modelId="{CB6039A4-A777-4D95-ACA0-D3BF6804835F}" type="sibTrans" cxnId="{33DA7306-51EF-4705-8A6F-61540B23EB90}">
      <dgm:prSet/>
      <dgm:spPr/>
      <dgm:t>
        <a:bodyPr/>
        <a:lstStyle/>
        <a:p>
          <a:endParaRPr lang="pl-PL">
            <a:solidFill>
              <a:sysClr val="windowText" lastClr="000000"/>
            </a:solidFill>
          </a:endParaRPr>
        </a:p>
      </dgm:t>
    </dgm:pt>
    <dgm:pt modelId="{0DED4010-96B1-4985-B09C-3CE4AD78F01D}">
      <dgm:prSet phldrT="[Tekst]"/>
      <dgm:spPr/>
      <dgm:t>
        <a:bodyPr/>
        <a:lstStyle/>
        <a:p>
          <a:pPr>
            <a:buFont typeface="+mj-lt"/>
            <a:buAutoNum type="arabicPeriod"/>
          </a:pPr>
          <a:r>
            <a:rPr lang="pl-PL" b="1">
              <a:solidFill>
                <a:sysClr val="windowText" lastClr="000000"/>
              </a:solidFill>
              <a:latin typeface="Arial" panose="020B0604020202020204" pitchFamily="34" charset="0"/>
              <a:cs typeface="Arial" panose="020B0604020202020204" pitchFamily="34" charset="0"/>
            </a:rPr>
            <a:t>Cel horyzontalny 2. Wzmocnienie rozwiązań multimodalnych </a:t>
          </a:r>
          <a:endParaRPr lang="pl-PL">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descr="Cel horyzontalny 2. Wzmocnienie rozwiązań multimodalnych " title="Szare pole"/>
        </a:ext>
      </dgm:extLst>
    </dgm:pt>
    <dgm:pt modelId="{91FE30C1-DE9B-4D58-A9C6-EBD248486057}" type="parTrans" cxnId="{A9121441-DAB8-4E8B-82A9-C9F083C93A1B}">
      <dgm:prSet/>
      <dgm:spPr/>
      <dgm:t>
        <a:bodyPr/>
        <a:lstStyle/>
        <a:p>
          <a:endParaRPr lang="pl-PL">
            <a:solidFill>
              <a:sysClr val="windowText" lastClr="000000"/>
            </a:solidFill>
          </a:endParaRPr>
        </a:p>
      </dgm:t>
    </dgm:pt>
    <dgm:pt modelId="{6860D424-9E72-4107-88C1-FF15D5371B57}" type="sibTrans" cxnId="{A9121441-DAB8-4E8B-82A9-C9F083C93A1B}">
      <dgm:prSet/>
      <dgm:spPr/>
      <dgm:t>
        <a:bodyPr/>
        <a:lstStyle/>
        <a:p>
          <a:endParaRPr lang="pl-PL">
            <a:solidFill>
              <a:sysClr val="windowText" lastClr="000000"/>
            </a:solidFill>
          </a:endParaRPr>
        </a:p>
      </dgm:t>
    </dgm:pt>
    <dgm:pt modelId="{D1CA208B-590F-4F59-B86F-F479986677C2}">
      <dgm:prSet phldrT="[Tekst]"/>
      <dgm:spPr/>
      <dgm:t>
        <a:bodyPr/>
        <a:lstStyle/>
        <a:p>
          <a:pPr>
            <a:buFont typeface="+mj-lt"/>
            <a:buAutoNum type="arabicPeriod"/>
          </a:pPr>
          <a:r>
            <a:rPr lang="pl-PL" b="1">
              <a:solidFill>
                <a:sysClr val="windowText" lastClr="000000"/>
              </a:solidFill>
              <a:latin typeface="Arial" panose="020B0604020202020204" pitchFamily="34" charset="0"/>
              <a:cs typeface="Arial" panose="020B0604020202020204" pitchFamily="34" charset="0"/>
            </a:rPr>
            <a:t>Cel horyzontalny 3. Rozwój transportu publicznego</a:t>
          </a:r>
          <a:endParaRPr lang="pl-PL">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descr="Cel horyzontalny 3. Rozwój transportu publicznego" title="Żółte pole"/>
        </a:ext>
      </dgm:extLst>
    </dgm:pt>
    <dgm:pt modelId="{D86C19F8-7CE5-420C-AC4C-BB790134C3A3}" type="parTrans" cxnId="{8EC11581-B0A0-4FDC-AA2B-D93DE8C822AB}">
      <dgm:prSet/>
      <dgm:spPr/>
      <dgm:t>
        <a:bodyPr/>
        <a:lstStyle/>
        <a:p>
          <a:endParaRPr lang="pl-PL">
            <a:solidFill>
              <a:sysClr val="windowText" lastClr="000000"/>
            </a:solidFill>
          </a:endParaRPr>
        </a:p>
      </dgm:t>
    </dgm:pt>
    <dgm:pt modelId="{D381A0FC-2D49-4D54-B057-E4A868106253}" type="sibTrans" cxnId="{8EC11581-B0A0-4FDC-AA2B-D93DE8C822AB}">
      <dgm:prSet/>
      <dgm:spPr/>
      <dgm:t>
        <a:bodyPr/>
        <a:lstStyle/>
        <a:p>
          <a:endParaRPr lang="pl-PL">
            <a:solidFill>
              <a:sysClr val="windowText" lastClr="000000"/>
            </a:solidFill>
          </a:endParaRPr>
        </a:p>
      </dgm:t>
    </dgm:pt>
    <dgm:pt modelId="{A19135D2-A449-4443-B1D4-C36D0A25F161}">
      <dgm:prSet/>
      <dgm:spPr/>
      <dgm:t>
        <a:bodyPr/>
        <a:lstStyle/>
        <a:p>
          <a:pPr>
            <a:buFont typeface="+mj-lt"/>
            <a:buAutoNum type="arabicPeriod"/>
          </a:pPr>
          <a:r>
            <a:rPr lang="pl-PL" b="1">
              <a:solidFill>
                <a:sysClr val="windowText" lastClr="000000"/>
              </a:solidFill>
              <a:latin typeface="Arial" panose="020B0604020202020204" pitchFamily="34" charset="0"/>
              <a:cs typeface="Arial" panose="020B0604020202020204" pitchFamily="34" charset="0"/>
            </a:rPr>
            <a:t>Cel horyzontalny 4. Poprawa bezpieczeństwa w transporcie</a:t>
          </a:r>
          <a:endParaRPr lang="pl-PL">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descr="Cel horyzontalny 4. Poprawa bezpieczeństwa w transporcie" title="Niebieskie pole"/>
        </a:ext>
      </dgm:extLst>
    </dgm:pt>
    <dgm:pt modelId="{E038F69E-2239-4E4F-ACD7-D8D65C343482}" type="parTrans" cxnId="{6CCCA1AE-5B2C-4603-9217-1E2E6A666EC1}">
      <dgm:prSet/>
      <dgm:spPr/>
      <dgm:t>
        <a:bodyPr/>
        <a:lstStyle/>
        <a:p>
          <a:endParaRPr lang="pl-PL">
            <a:solidFill>
              <a:sysClr val="windowText" lastClr="000000"/>
            </a:solidFill>
          </a:endParaRPr>
        </a:p>
      </dgm:t>
    </dgm:pt>
    <dgm:pt modelId="{9980671B-221E-4A69-93DF-458ED8869D87}" type="sibTrans" cxnId="{6CCCA1AE-5B2C-4603-9217-1E2E6A666EC1}">
      <dgm:prSet/>
      <dgm:spPr/>
      <dgm:t>
        <a:bodyPr/>
        <a:lstStyle/>
        <a:p>
          <a:endParaRPr lang="pl-PL">
            <a:solidFill>
              <a:sysClr val="windowText" lastClr="000000"/>
            </a:solidFill>
          </a:endParaRPr>
        </a:p>
      </dgm:t>
    </dgm:pt>
    <dgm:pt modelId="{8B5DA223-9F86-44C4-9AC3-436B38DBF581}" type="pres">
      <dgm:prSet presAssocID="{4123BBD0-6680-41C3-8871-D5317366D11A}" presName="composite" presStyleCnt="0">
        <dgm:presLayoutVars>
          <dgm:chMax val="1"/>
          <dgm:dir/>
          <dgm:resizeHandles val="exact"/>
        </dgm:presLayoutVars>
      </dgm:prSet>
      <dgm:spPr/>
      <dgm:t>
        <a:bodyPr/>
        <a:lstStyle/>
        <a:p>
          <a:endParaRPr lang="pl-PL"/>
        </a:p>
      </dgm:t>
    </dgm:pt>
    <dgm:pt modelId="{DC32D746-11D8-437C-8039-6754A6C1FE67}" type="pres">
      <dgm:prSet presAssocID="{6974468B-7445-476C-99A9-E13FAE493FA6}" presName="roof" presStyleLbl="dkBgShp" presStyleIdx="0" presStyleCnt="2"/>
      <dgm:spPr/>
      <dgm:t>
        <a:bodyPr/>
        <a:lstStyle/>
        <a:p>
          <a:endParaRPr lang="pl-PL"/>
        </a:p>
      </dgm:t>
    </dgm:pt>
    <dgm:pt modelId="{2273D002-1F8E-443F-A5B6-769E3512B0B5}" type="pres">
      <dgm:prSet presAssocID="{6974468B-7445-476C-99A9-E13FAE493FA6}" presName="pillars" presStyleCnt="0"/>
      <dgm:spPr/>
    </dgm:pt>
    <dgm:pt modelId="{8849D700-90F4-468A-A8A5-8625F44D42C7}" type="pres">
      <dgm:prSet presAssocID="{6974468B-7445-476C-99A9-E13FAE493FA6}" presName="pillar1" presStyleLbl="node1" presStyleIdx="0" presStyleCnt="4">
        <dgm:presLayoutVars>
          <dgm:bulletEnabled val="1"/>
        </dgm:presLayoutVars>
      </dgm:prSet>
      <dgm:spPr/>
      <dgm:t>
        <a:bodyPr/>
        <a:lstStyle/>
        <a:p>
          <a:endParaRPr lang="pl-PL"/>
        </a:p>
      </dgm:t>
    </dgm:pt>
    <dgm:pt modelId="{35D64427-87FB-4D66-B4E8-93F70261B7AF}" type="pres">
      <dgm:prSet presAssocID="{0DED4010-96B1-4985-B09C-3CE4AD78F01D}" presName="pillarX" presStyleLbl="node1" presStyleIdx="1" presStyleCnt="4">
        <dgm:presLayoutVars>
          <dgm:bulletEnabled val="1"/>
        </dgm:presLayoutVars>
      </dgm:prSet>
      <dgm:spPr/>
      <dgm:t>
        <a:bodyPr/>
        <a:lstStyle/>
        <a:p>
          <a:endParaRPr lang="pl-PL"/>
        </a:p>
      </dgm:t>
    </dgm:pt>
    <dgm:pt modelId="{DFAE742C-27EE-4CFD-901E-7B2BAD49FCD4}" type="pres">
      <dgm:prSet presAssocID="{D1CA208B-590F-4F59-B86F-F479986677C2}" presName="pillarX" presStyleLbl="node1" presStyleIdx="2" presStyleCnt="4">
        <dgm:presLayoutVars>
          <dgm:bulletEnabled val="1"/>
        </dgm:presLayoutVars>
      </dgm:prSet>
      <dgm:spPr/>
      <dgm:t>
        <a:bodyPr/>
        <a:lstStyle/>
        <a:p>
          <a:endParaRPr lang="pl-PL"/>
        </a:p>
      </dgm:t>
    </dgm:pt>
    <dgm:pt modelId="{2C095A67-E655-416D-B7E5-95BC8EE8D84C}" type="pres">
      <dgm:prSet presAssocID="{A19135D2-A449-4443-B1D4-C36D0A25F161}" presName="pillarX" presStyleLbl="node1" presStyleIdx="3" presStyleCnt="4">
        <dgm:presLayoutVars>
          <dgm:bulletEnabled val="1"/>
        </dgm:presLayoutVars>
      </dgm:prSet>
      <dgm:spPr/>
      <dgm:t>
        <a:bodyPr/>
        <a:lstStyle/>
        <a:p>
          <a:endParaRPr lang="pl-PL"/>
        </a:p>
      </dgm:t>
    </dgm:pt>
    <dgm:pt modelId="{F6B76C87-F4D7-42B3-97CC-DC78B28786D3}" type="pres">
      <dgm:prSet presAssocID="{6974468B-7445-476C-99A9-E13FAE493FA6}" presName="base" presStyleLbl="dkBgShp" presStyleIdx="1" presStyleCnt="2"/>
      <dgm:spPr/>
    </dgm:pt>
  </dgm:ptLst>
  <dgm:cxnLst>
    <dgm:cxn modelId="{BF4F9368-9AA2-4AA0-A6D4-A9A76C213AB9}" srcId="{4123BBD0-6680-41C3-8871-D5317366D11A}" destId="{6974468B-7445-476C-99A9-E13FAE493FA6}" srcOrd="0" destOrd="0" parTransId="{DF326764-888A-4B5E-895D-CEE29634F04B}" sibTransId="{FB28A9F6-F022-4B09-89DB-4728E6F2DC3E}"/>
    <dgm:cxn modelId="{8EC11581-B0A0-4FDC-AA2B-D93DE8C822AB}" srcId="{6974468B-7445-476C-99A9-E13FAE493FA6}" destId="{D1CA208B-590F-4F59-B86F-F479986677C2}" srcOrd="2" destOrd="0" parTransId="{D86C19F8-7CE5-420C-AC4C-BB790134C3A3}" sibTransId="{D381A0FC-2D49-4D54-B057-E4A868106253}"/>
    <dgm:cxn modelId="{F7120A03-2EDF-47AC-9168-E1C1EBDAB06B}" type="presOf" srcId="{67FE1C4A-A627-42F5-AA1A-7F88CEFB5C94}" destId="{8849D700-90F4-468A-A8A5-8625F44D42C7}" srcOrd="0" destOrd="0" presId="urn:microsoft.com/office/officeart/2005/8/layout/hList3"/>
    <dgm:cxn modelId="{A3140A48-F643-4E78-B5F7-2ADC6C56AAF6}" type="presOf" srcId="{A19135D2-A449-4443-B1D4-C36D0A25F161}" destId="{2C095A67-E655-416D-B7E5-95BC8EE8D84C}" srcOrd="0" destOrd="0" presId="urn:microsoft.com/office/officeart/2005/8/layout/hList3"/>
    <dgm:cxn modelId="{33DA7306-51EF-4705-8A6F-61540B23EB90}" srcId="{6974468B-7445-476C-99A9-E13FAE493FA6}" destId="{67FE1C4A-A627-42F5-AA1A-7F88CEFB5C94}" srcOrd="0" destOrd="0" parTransId="{5B76368B-7652-4DB6-A812-0BF98A1F909B}" sibTransId="{CB6039A4-A777-4D95-ACA0-D3BF6804835F}"/>
    <dgm:cxn modelId="{6CCCA1AE-5B2C-4603-9217-1E2E6A666EC1}" srcId="{6974468B-7445-476C-99A9-E13FAE493FA6}" destId="{A19135D2-A449-4443-B1D4-C36D0A25F161}" srcOrd="3" destOrd="0" parTransId="{E038F69E-2239-4E4F-ACD7-D8D65C343482}" sibTransId="{9980671B-221E-4A69-93DF-458ED8869D87}"/>
    <dgm:cxn modelId="{06F96D6C-8312-4191-A869-448AED1466BF}" type="presOf" srcId="{6974468B-7445-476C-99A9-E13FAE493FA6}" destId="{DC32D746-11D8-437C-8039-6754A6C1FE67}" srcOrd="0" destOrd="0" presId="urn:microsoft.com/office/officeart/2005/8/layout/hList3"/>
    <dgm:cxn modelId="{E52C99D3-6727-478E-A7A3-FD3E78FE3DBB}" type="presOf" srcId="{D1CA208B-590F-4F59-B86F-F479986677C2}" destId="{DFAE742C-27EE-4CFD-901E-7B2BAD49FCD4}" srcOrd="0" destOrd="0" presId="urn:microsoft.com/office/officeart/2005/8/layout/hList3"/>
    <dgm:cxn modelId="{A9121441-DAB8-4E8B-82A9-C9F083C93A1B}" srcId="{6974468B-7445-476C-99A9-E13FAE493FA6}" destId="{0DED4010-96B1-4985-B09C-3CE4AD78F01D}" srcOrd="1" destOrd="0" parTransId="{91FE30C1-DE9B-4D58-A9C6-EBD248486057}" sibTransId="{6860D424-9E72-4107-88C1-FF15D5371B57}"/>
    <dgm:cxn modelId="{59C668E1-E5A8-40E8-BAA1-256DABB18190}" type="presOf" srcId="{4123BBD0-6680-41C3-8871-D5317366D11A}" destId="{8B5DA223-9F86-44C4-9AC3-436B38DBF581}" srcOrd="0" destOrd="0" presId="urn:microsoft.com/office/officeart/2005/8/layout/hList3"/>
    <dgm:cxn modelId="{43F1E547-F5A1-4606-8E14-6B4ACF9F17DE}" type="presOf" srcId="{0DED4010-96B1-4985-B09C-3CE4AD78F01D}" destId="{35D64427-87FB-4D66-B4E8-93F70261B7AF}" srcOrd="0" destOrd="0" presId="urn:microsoft.com/office/officeart/2005/8/layout/hList3"/>
    <dgm:cxn modelId="{E0D06085-DC21-4496-A2F4-C08B52EB2FC9}" type="presParOf" srcId="{8B5DA223-9F86-44C4-9AC3-436B38DBF581}" destId="{DC32D746-11D8-437C-8039-6754A6C1FE67}" srcOrd="0" destOrd="0" presId="urn:microsoft.com/office/officeart/2005/8/layout/hList3"/>
    <dgm:cxn modelId="{CBBFE200-C68F-42B8-AD58-D555F0487156}" type="presParOf" srcId="{8B5DA223-9F86-44C4-9AC3-436B38DBF581}" destId="{2273D002-1F8E-443F-A5B6-769E3512B0B5}" srcOrd="1" destOrd="0" presId="urn:microsoft.com/office/officeart/2005/8/layout/hList3"/>
    <dgm:cxn modelId="{5FEB19C1-8308-46FF-AFBF-B1195D3429A6}" type="presParOf" srcId="{2273D002-1F8E-443F-A5B6-769E3512B0B5}" destId="{8849D700-90F4-468A-A8A5-8625F44D42C7}" srcOrd="0" destOrd="0" presId="urn:microsoft.com/office/officeart/2005/8/layout/hList3"/>
    <dgm:cxn modelId="{23314250-FDBE-4508-82C0-8228DAF56C9F}" type="presParOf" srcId="{2273D002-1F8E-443F-A5B6-769E3512B0B5}" destId="{35D64427-87FB-4D66-B4E8-93F70261B7AF}" srcOrd="1" destOrd="0" presId="urn:microsoft.com/office/officeart/2005/8/layout/hList3"/>
    <dgm:cxn modelId="{BFBACBB7-A47F-43CB-8892-91F8F641CE53}" type="presParOf" srcId="{2273D002-1F8E-443F-A5B6-769E3512B0B5}" destId="{DFAE742C-27EE-4CFD-901E-7B2BAD49FCD4}" srcOrd="2" destOrd="0" presId="urn:microsoft.com/office/officeart/2005/8/layout/hList3"/>
    <dgm:cxn modelId="{BF23DAC6-99F4-4ACD-AD65-8470FC8CA0C0}" type="presParOf" srcId="{2273D002-1F8E-443F-A5B6-769E3512B0B5}" destId="{2C095A67-E655-416D-B7E5-95BC8EE8D84C}" srcOrd="3" destOrd="0" presId="urn:microsoft.com/office/officeart/2005/8/layout/hList3"/>
    <dgm:cxn modelId="{63820136-D3FB-495D-8F10-8477C4DB95A6}" type="presParOf" srcId="{8B5DA223-9F86-44C4-9AC3-436B38DBF581}" destId="{F6B76C87-F4D7-42B3-97CC-DC78B28786D3}" srcOrd="2" destOrd="0" presId="urn:microsoft.com/office/officeart/2005/8/layout/hList3"/>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94F34DB-74C9-46D3-A5A8-20FBD4C2CAC6}" type="doc">
      <dgm:prSet loTypeId="urn:microsoft.com/office/officeart/2005/8/layout/hList3" loCatId="list" qsTypeId="urn:microsoft.com/office/officeart/2005/8/quickstyle/simple1" qsCatId="simple" csTypeId="urn:microsoft.com/office/officeart/2005/8/colors/colorful1" csCatId="colorful" phldr="1"/>
      <dgm:spPr/>
      <dgm:t>
        <a:bodyPr/>
        <a:lstStyle/>
        <a:p>
          <a:endParaRPr lang="pl-PL"/>
        </a:p>
      </dgm:t>
    </dgm:pt>
    <dgm:pt modelId="{9B0A1F1C-9355-4203-9ADA-54B2D735B30C}">
      <dgm:prSet phldrT="[Tekst]" custT="1"/>
      <dgm:spPr/>
      <dgm:t>
        <a:bodyPr/>
        <a:lstStyle/>
        <a:p>
          <a:pPr>
            <a:spcAft>
              <a:spcPts val="0"/>
            </a:spcAft>
          </a:pPr>
          <a:r>
            <a:rPr lang="pl-PL" sz="2000" b="1">
              <a:solidFill>
                <a:sysClr val="windowText" lastClr="000000"/>
              </a:solidFill>
              <a:latin typeface="Arial" panose="020B0604020202020204" pitchFamily="34" charset="0"/>
              <a:cs typeface="Arial" panose="020B0604020202020204" pitchFamily="34" charset="0"/>
            </a:rPr>
            <a:t>Cele podstawowe</a:t>
          </a:r>
          <a:endParaRPr lang="pl-PL" sz="20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descr="Cele podstawowe" title="Główne pomarańczowe pole"/>
        </a:ext>
      </dgm:extLst>
    </dgm:pt>
    <dgm:pt modelId="{E10C481B-5D2A-485F-B4ED-49B5CEDCF32B}" type="parTrans" cxnId="{E5869F48-1F59-45A6-9332-A2C3C6C68747}">
      <dgm:prSet/>
      <dgm:spPr/>
      <dgm:t>
        <a:bodyPr/>
        <a:lstStyle/>
        <a:p>
          <a:endParaRPr lang="pl-PL"/>
        </a:p>
      </dgm:t>
    </dgm:pt>
    <dgm:pt modelId="{4997AE0C-A373-41C7-99EE-58FE3F7BC625}" type="sibTrans" cxnId="{E5869F48-1F59-45A6-9332-A2C3C6C68747}">
      <dgm:prSet/>
      <dgm:spPr/>
      <dgm:t>
        <a:bodyPr/>
        <a:lstStyle/>
        <a:p>
          <a:endParaRPr lang="pl-PL"/>
        </a:p>
      </dgm:t>
    </dgm:pt>
    <dgm:pt modelId="{5D82BFD0-0801-4A63-8D6D-2178360E0304}">
      <dgm:prSet phldrT="[Tekst]" custT="1"/>
      <dgm:spPr/>
      <dgm:t>
        <a:bodyPr/>
        <a:lstStyle/>
        <a:p>
          <a:r>
            <a:rPr lang="pl-PL" sz="800" b="1">
              <a:solidFill>
                <a:sysClr val="windowText" lastClr="000000"/>
              </a:solidFill>
              <a:latin typeface="Arial" panose="020B0604020202020204" pitchFamily="34" charset="0"/>
              <a:cs typeface="Arial" panose="020B0604020202020204" pitchFamily="34" charset="0"/>
            </a:rPr>
            <a:t>Cel podstawowy 1 Zwiększenie dostępności </a:t>
          </a:r>
          <a:br>
            <a:rPr lang="pl-PL" sz="800" b="1">
              <a:solidFill>
                <a:sysClr val="windowText" lastClr="000000"/>
              </a:solidFill>
              <a:latin typeface="Arial" panose="020B0604020202020204" pitchFamily="34" charset="0"/>
              <a:cs typeface="Arial" panose="020B0604020202020204" pitchFamily="34" charset="0"/>
            </a:rPr>
          </a:br>
          <a:r>
            <a:rPr lang="pl-PL" sz="800" b="1">
              <a:solidFill>
                <a:sysClr val="windowText" lastClr="000000"/>
              </a:solidFill>
              <a:latin typeface="Arial" panose="020B0604020202020204" pitchFamily="34" charset="0"/>
              <a:cs typeface="Arial" panose="020B0604020202020204" pitchFamily="34" charset="0"/>
            </a:rPr>
            <a:t>zewnętrznej regionu (krajowej i zagranicznej) wynikającej </a:t>
          </a:r>
          <a:br>
            <a:rPr lang="pl-PL" sz="800" b="1">
              <a:solidFill>
                <a:sysClr val="windowText" lastClr="000000"/>
              </a:solidFill>
              <a:latin typeface="Arial" panose="020B0604020202020204" pitchFamily="34" charset="0"/>
              <a:cs typeface="Arial" panose="020B0604020202020204" pitchFamily="34" charset="0"/>
            </a:rPr>
          </a:br>
          <a:r>
            <a:rPr lang="pl-PL" sz="800" b="1">
              <a:solidFill>
                <a:sysClr val="windowText" lastClr="000000"/>
              </a:solidFill>
              <a:latin typeface="Arial" panose="020B0604020202020204" pitchFamily="34" charset="0"/>
              <a:cs typeface="Arial" panose="020B0604020202020204" pitchFamily="34" charset="0"/>
            </a:rPr>
            <a:t>z peryferyjnego położenia województwa</a:t>
          </a:r>
          <a:endParaRPr lang="pl-PL" sz="80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descr="Cel podstawowy 1 Zwiększenie dostępności &#10;zewnętrznej regionu (krajowej i zagranicznej) wynikającej z peryferyjnego położenia województwa" title="Pomarańczowe pole"/>
        </a:ext>
      </dgm:extLst>
    </dgm:pt>
    <dgm:pt modelId="{A6F516F0-6C4D-4D8F-9ABD-481FDC0D1DF5}" type="parTrans" cxnId="{14FC3897-3004-442F-B4A7-BBF20E37328F}">
      <dgm:prSet/>
      <dgm:spPr/>
      <dgm:t>
        <a:bodyPr/>
        <a:lstStyle/>
        <a:p>
          <a:endParaRPr lang="pl-PL"/>
        </a:p>
      </dgm:t>
    </dgm:pt>
    <dgm:pt modelId="{E7E04B5D-E711-49D2-8A2B-C21E5442D750}" type="sibTrans" cxnId="{14FC3897-3004-442F-B4A7-BBF20E37328F}">
      <dgm:prSet/>
      <dgm:spPr/>
      <dgm:t>
        <a:bodyPr/>
        <a:lstStyle/>
        <a:p>
          <a:endParaRPr lang="pl-PL"/>
        </a:p>
      </dgm:t>
    </dgm:pt>
    <dgm:pt modelId="{FC0F3D12-71DB-4DCA-B752-DD17737A707C}">
      <dgm:prSet phldrT="[Tekst]" custT="1"/>
      <dgm:spPr/>
      <dgm:t>
        <a:bodyPr/>
        <a:lstStyle/>
        <a:p>
          <a:r>
            <a:rPr lang="pl-PL" sz="750" b="1">
              <a:solidFill>
                <a:sysClr val="windowText" lastClr="000000"/>
              </a:solidFill>
              <a:latin typeface="Arial" panose="020B0604020202020204" pitchFamily="34" charset="0"/>
              <a:cs typeface="Arial" panose="020B0604020202020204" pitchFamily="34" charset="0"/>
            </a:rPr>
            <a:t>Cel podstawowy 2.</a:t>
          </a:r>
          <a:endParaRPr lang="pl-PL" sz="750">
            <a:solidFill>
              <a:sysClr val="windowText" lastClr="000000"/>
            </a:solidFill>
            <a:latin typeface="Arial" panose="020B0604020202020204" pitchFamily="34" charset="0"/>
            <a:cs typeface="Arial" panose="020B0604020202020204" pitchFamily="34" charset="0"/>
          </a:endParaRPr>
        </a:p>
        <a:p>
          <a:r>
            <a:rPr lang="pl-PL" sz="750" b="1">
              <a:solidFill>
                <a:sysClr val="windowText" lastClr="000000"/>
              </a:solidFill>
              <a:latin typeface="Arial" panose="020B0604020202020204" pitchFamily="34" charset="0"/>
              <a:cs typeface="Arial" panose="020B0604020202020204" pitchFamily="34" charset="0"/>
            </a:rPr>
            <a:t>Transportowa spójność wewnętrzna</a:t>
          </a:r>
          <a:endParaRPr lang="pl-PL" sz="750">
            <a:solidFill>
              <a:sysClr val="windowText" lastClr="000000"/>
            </a:solidFill>
            <a:latin typeface="Arial" panose="020B0604020202020204" pitchFamily="34" charset="0"/>
            <a:cs typeface="Arial" panose="020B0604020202020204" pitchFamily="34" charset="0"/>
          </a:endParaRPr>
        </a:p>
        <a:p>
          <a:r>
            <a:rPr lang="pl-PL" sz="750" b="1">
              <a:solidFill>
                <a:sysClr val="windowText" lastClr="000000"/>
              </a:solidFill>
              <a:latin typeface="Arial" panose="020B0604020202020204" pitchFamily="34" charset="0"/>
              <a:cs typeface="Arial" panose="020B0604020202020204" pitchFamily="34" charset="0"/>
            </a:rPr>
            <a:t>Zwiększenie powiązań transportowych w regionie, w tym likwidowanie obszarów wykluczenia transportowego</a:t>
          </a:r>
          <a:r>
            <a:rPr lang="pl-PL" sz="750">
              <a:solidFill>
                <a:sysClr val="windowText" lastClr="000000"/>
              </a:solidFill>
              <a:latin typeface="Arial" panose="020B0604020202020204" pitchFamily="34" charset="0"/>
              <a:cs typeface="Arial" panose="020B0604020202020204" pitchFamily="34" charset="0"/>
            </a:rPr>
            <a:t> </a:t>
          </a:r>
          <a:r>
            <a:rPr lang="pl-PL" sz="750" b="1">
              <a:solidFill>
                <a:sysClr val="windowText" lastClr="000000"/>
              </a:solidFill>
              <a:latin typeface="Arial" panose="020B0604020202020204" pitchFamily="34" charset="0"/>
              <a:cs typeface="Arial" panose="020B0604020202020204" pitchFamily="34" charset="0"/>
            </a:rPr>
            <a:t>spowodowanego niskim zaludnieniem / obszarami górzystymi / obszarami </a:t>
          </a:r>
          <a:br>
            <a:rPr lang="pl-PL" sz="750" b="1">
              <a:solidFill>
                <a:sysClr val="windowText" lastClr="000000"/>
              </a:solidFill>
              <a:latin typeface="Arial" panose="020B0604020202020204" pitchFamily="34" charset="0"/>
              <a:cs typeface="Arial" panose="020B0604020202020204" pitchFamily="34" charset="0"/>
            </a:rPr>
          </a:br>
          <a:r>
            <a:rPr lang="pl-PL" sz="750" b="1">
              <a:solidFill>
                <a:sysClr val="windowText" lastClr="000000"/>
              </a:solidFill>
              <a:latin typeface="Arial" panose="020B0604020202020204" pitchFamily="34" charset="0"/>
              <a:cs typeface="Arial" panose="020B0604020202020204" pitchFamily="34" charset="0"/>
            </a:rPr>
            <a:t>o niskiej skali zatrudniania</a:t>
          </a:r>
          <a:endParaRPr lang="pl-PL" sz="750">
            <a:solidFill>
              <a:sysClr val="windowText" lastClr="000000"/>
            </a:solidFill>
            <a:latin typeface="Arial" panose="020B0604020202020204" pitchFamily="34" charset="0"/>
            <a:cs typeface="Arial" panose="020B0604020202020204" pitchFamily="34" charset="0"/>
          </a:endParaRPr>
        </a:p>
      </dgm:t>
      <dgm:extLst>
        <a:ext uri="{E40237B7-FDA0-4F09-8148-C483321AD2D9}">
          <dgm14:cNvPr xmlns:dgm14="http://schemas.microsoft.com/office/drawing/2010/diagram" id="0" name="" descr="Cel podstawowy 2.&#10;Transportowa spójność wewnętrzna&#10;Zwiększenie powiązań transportowych w regionie, w tym likwidowanie obszarów wykluczenia transportowego spowodowanego niskim zaludnieniem / obszarami górzystymi / obszarami o niskiej skali zatrudniania" title="Szare pole"/>
        </a:ext>
      </dgm:extLst>
    </dgm:pt>
    <dgm:pt modelId="{398EEE78-2077-45BE-B981-70D6A3D439EA}" type="parTrans" cxnId="{4C148C3C-B7D1-4B9B-BB1B-6D63C5B3842B}">
      <dgm:prSet/>
      <dgm:spPr/>
      <dgm:t>
        <a:bodyPr/>
        <a:lstStyle/>
        <a:p>
          <a:endParaRPr lang="pl-PL"/>
        </a:p>
      </dgm:t>
    </dgm:pt>
    <dgm:pt modelId="{D544AFAD-000C-4D88-AD7A-D8FE8949360A}" type="sibTrans" cxnId="{4C148C3C-B7D1-4B9B-BB1B-6D63C5B3842B}">
      <dgm:prSet/>
      <dgm:spPr/>
      <dgm:t>
        <a:bodyPr/>
        <a:lstStyle/>
        <a:p>
          <a:endParaRPr lang="pl-PL"/>
        </a:p>
      </dgm:t>
    </dgm:pt>
    <dgm:pt modelId="{85756F91-7EF6-40B1-AA8A-022E4115CF8F}">
      <dgm:prSet phldrT="[Tekst]" custT="1"/>
      <dgm:spPr/>
      <dgm:t>
        <a:bodyPr/>
        <a:lstStyle/>
        <a:p>
          <a:r>
            <a:rPr lang="pl-PL" sz="900" b="1">
              <a:solidFill>
                <a:sysClr val="windowText" lastClr="000000"/>
              </a:solidFill>
              <a:latin typeface="Arial" panose="020B0604020202020204" pitchFamily="34" charset="0"/>
              <a:cs typeface="Arial" panose="020B0604020202020204" pitchFamily="34" charset="0"/>
            </a:rPr>
            <a:t>Cel podstawowy 3.</a:t>
          </a:r>
          <a:br>
            <a:rPr lang="pl-PL" sz="900" b="1">
              <a:solidFill>
                <a:sysClr val="windowText" lastClr="000000"/>
              </a:solidFill>
              <a:latin typeface="Arial" panose="020B0604020202020204" pitchFamily="34" charset="0"/>
              <a:cs typeface="Arial" panose="020B0604020202020204" pitchFamily="34" charset="0"/>
            </a:rPr>
          </a:br>
          <a:r>
            <a:rPr lang="pl-PL" sz="800" b="1">
              <a:solidFill>
                <a:sysClr val="windowText" lastClr="000000"/>
              </a:solidFill>
              <a:latin typeface="Arial" panose="020B0604020202020204" pitchFamily="34" charset="0"/>
              <a:cs typeface="Arial" panose="020B0604020202020204" pitchFamily="34" charset="0"/>
            </a:rPr>
            <a:t>Integracja wewnętrzna Rzeszowskiego Obszaru Funkcjonalnego i miejskich obszarów funkcjonalnych biegunów wzrostu, uwzględniająca policentryczny układ województwa i umożliwiająca integrację głównych rynków pracy</a:t>
          </a:r>
        </a:p>
      </dgm:t>
      <dgm:extLst>
        <a:ext uri="{E40237B7-FDA0-4F09-8148-C483321AD2D9}">
          <dgm14:cNvPr xmlns:dgm14="http://schemas.microsoft.com/office/drawing/2010/diagram" id="0" name="" descr="Cel podstawowy 3.&#10;Integracja wewnętrzna Rzeszowskiego Obszaru Funkcjonalnego i miejskich obszarów funkcjonalnych biegunów wzrostu, uwzględniająca policentryczny układ województwa i umożliwiająca integrację głównych rynków pracy" title="Żółte pole"/>
        </a:ext>
      </dgm:extLst>
    </dgm:pt>
    <dgm:pt modelId="{4C396918-0ECD-4ADC-9BAE-DFEECAF3D88D}" type="parTrans" cxnId="{17128249-6932-4798-9963-7F9D520ADE95}">
      <dgm:prSet/>
      <dgm:spPr/>
      <dgm:t>
        <a:bodyPr/>
        <a:lstStyle/>
        <a:p>
          <a:endParaRPr lang="pl-PL"/>
        </a:p>
      </dgm:t>
    </dgm:pt>
    <dgm:pt modelId="{98F06570-31F5-4B42-9490-213FC22D28C8}" type="sibTrans" cxnId="{17128249-6932-4798-9963-7F9D520ADE95}">
      <dgm:prSet/>
      <dgm:spPr/>
      <dgm:t>
        <a:bodyPr/>
        <a:lstStyle/>
        <a:p>
          <a:endParaRPr lang="pl-PL"/>
        </a:p>
      </dgm:t>
    </dgm:pt>
    <dgm:pt modelId="{59345D8D-AEAA-46BC-8A0E-194A7271C160}" type="pres">
      <dgm:prSet presAssocID="{B94F34DB-74C9-46D3-A5A8-20FBD4C2CAC6}" presName="composite" presStyleCnt="0">
        <dgm:presLayoutVars>
          <dgm:chMax val="1"/>
          <dgm:dir/>
          <dgm:resizeHandles val="exact"/>
        </dgm:presLayoutVars>
      </dgm:prSet>
      <dgm:spPr/>
      <dgm:t>
        <a:bodyPr/>
        <a:lstStyle/>
        <a:p>
          <a:endParaRPr lang="pl-PL"/>
        </a:p>
      </dgm:t>
    </dgm:pt>
    <dgm:pt modelId="{D440E09A-DA6C-440C-8CD5-D577172D2D09}" type="pres">
      <dgm:prSet presAssocID="{9B0A1F1C-9355-4203-9ADA-54B2D735B30C}" presName="roof" presStyleLbl="dkBgShp" presStyleIdx="0" presStyleCnt="2" custLinFactNeighborX="196" custLinFactNeighborY="-15847"/>
      <dgm:spPr/>
      <dgm:t>
        <a:bodyPr/>
        <a:lstStyle/>
        <a:p>
          <a:endParaRPr lang="pl-PL"/>
        </a:p>
      </dgm:t>
    </dgm:pt>
    <dgm:pt modelId="{3984E0FF-AB00-4874-BFBA-ACB6DC1F4F6A}" type="pres">
      <dgm:prSet presAssocID="{9B0A1F1C-9355-4203-9ADA-54B2D735B30C}" presName="pillars" presStyleCnt="0"/>
      <dgm:spPr/>
    </dgm:pt>
    <dgm:pt modelId="{7AC70843-2DB9-4A8C-AF85-27659AE6F4EB}" type="pres">
      <dgm:prSet presAssocID="{9B0A1F1C-9355-4203-9ADA-54B2D735B30C}" presName="pillar1" presStyleLbl="node1" presStyleIdx="0" presStyleCnt="3">
        <dgm:presLayoutVars>
          <dgm:bulletEnabled val="1"/>
        </dgm:presLayoutVars>
      </dgm:prSet>
      <dgm:spPr/>
      <dgm:t>
        <a:bodyPr/>
        <a:lstStyle/>
        <a:p>
          <a:endParaRPr lang="pl-PL"/>
        </a:p>
      </dgm:t>
    </dgm:pt>
    <dgm:pt modelId="{834825FF-7DE1-4D3B-A89B-270184FF04A6}" type="pres">
      <dgm:prSet presAssocID="{FC0F3D12-71DB-4DCA-B752-DD17737A707C}" presName="pillarX" presStyleLbl="node1" presStyleIdx="1" presStyleCnt="3">
        <dgm:presLayoutVars>
          <dgm:bulletEnabled val="1"/>
        </dgm:presLayoutVars>
      </dgm:prSet>
      <dgm:spPr/>
      <dgm:t>
        <a:bodyPr/>
        <a:lstStyle/>
        <a:p>
          <a:endParaRPr lang="pl-PL"/>
        </a:p>
      </dgm:t>
    </dgm:pt>
    <dgm:pt modelId="{4B39329C-05C3-4477-9FC3-014A05F4551A}" type="pres">
      <dgm:prSet presAssocID="{85756F91-7EF6-40B1-AA8A-022E4115CF8F}" presName="pillarX" presStyleLbl="node1" presStyleIdx="2" presStyleCnt="3">
        <dgm:presLayoutVars>
          <dgm:bulletEnabled val="1"/>
        </dgm:presLayoutVars>
      </dgm:prSet>
      <dgm:spPr/>
      <dgm:t>
        <a:bodyPr/>
        <a:lstStyle/>
        <a:p>
          <a:endParaRPr lang="pl-PL"/>
        </a:p>
      </dgm:t>
    </dgm:pt>
    <dgm:pt modelId="{3FC12A98-8B54-4907-A033-CE0B80A579E2}" type="pres">
      <dgm:prSet presAssocID="{9B0A1F1C-9355-4203-9ADA-54B2D735B30C}" presName="base" presStyleLbl="dkBgShp" presStyleIdx="1" presStyleCnt="2" custLinFactY="100000" custLinFactNeighborX="-391" custLinFactNeighborY="105611"/>
      <dgm:spPr/>
    </dgm:pt>
  </dgm:ptLst>
  <dgm:cxnLst>
    <dgm:cxn modelId="{F20DCAC4-B625-471E-955E-B4EBFF09992E}" type="presOf" srcId="{5D82BFD0-0801-4A63-8D6D-2178360E0304}" destId="{7AC70843-2DB9-4A8C-AF85-27659AE6F4EB}" srcOrd="0" destOrd="0" presId="urn:microsoft.com/office/officeart/2005/8/layout/hList3"/>
    <dgm:cxn modelId="{17128249-6932-4798-9963-7F9D520ADE95}" srcId="{9B0A1F1C-9355-4203-9ADA-54B2D735B30C}" destId="{85756F91-7EF6-40B1-AA8A-022E4115CF8F}" srcOrd="2" destOrd="0" parTransId="{4C396918-0ECD-4ADC-9BAE-DFEECAF3D88D}" sibTransId="{98F06570-31F5-4B42-9490-213FC22D28C8}"/>
    <dgm:cxn modelId="{E5869F48-1F59-45A6-9332-A2C3C6C68747}" srcId="{B94F34DB-74C9-46D3-A5A8-20FBD4C2CAC6}" destId="{9B0A1F1C-9355-4203-9ADA-54B2D735B30C}" srcOrd="0" destOrd="0" parTransId="{E10C481B-5D2A-485F-B4ED-49B5CEDCF32B}" sibTransId="{4997AE0C-A373-41C7-99EE-58FE3F7BC625}"/>
    <dgm:cxn modelId="{CC193EE7-6F19-4930-AC0A-6E65CD0CA01C}" type="presOf" srcId="{B94F34DB-74C9-46D3-A5A8-20FBD4C2CAC6}" destId="{59345D8D-AEAA-46BC-8A0E-194A7271C160}" srcOrd="0" destOrd="0" presId="urn:microsoft.com/office/officeart/2005/8/layout/hList3"/>
    <dgm:cxn modelId="{5135880C-F307-429D-9834-4DE573A9B126}" type="presOf" srcId="{FC0F3D12-71DB-4DCA-B752-DD17737A707C}" destId="{834825FF-7DE1-4D3B-A89B-270184FF04A6}" srcOrd="0" destOrd="0" presId="urn:microsoft.com/office/officeart/2005/8/layout/hList3"/>
    <dgm:cxn modelId="{4C148C3C-B7D1-4B9B-BB1B-6D63C5B3842B}" srcId="{9B0A1F1C-9355-4203-9ADA-54B2D735B30C}" destId="{FC0F3D12-71DB-4DCA-B752-DD17737A707C}" srcOrd="1" destOrd="0" parTransId="{398EEE78-2077-45BE-B981-70D6A3D439EA}" sibTransId="{D544AFAD-000C-4D88-AD7A-D8FE8949360A}"/>
    <dgm:cxn modelId="{14FC3897-3004-442F-B4A7-BBF20E37328F}" srcId="{9B0A1F1C-9355-4203-9ADA-54B2D735B30C}" destId="{5D82BFD0-0801-4A63-8D6D-2178360E0304}" srcOrd="0" destOrd="0" parTransId="{A6F516F0-6C4D-4D8F-9ABD-481FDC0D1DF5}" sibTransId="{E7E04B5D-E711-49D2-8A2B-C21E5442D750}"/>
    <dgm:cxn modelId="{9D60F7EE-0487-409A-8914-F2770850FEB2}" type="presOf" srcId="{85756F91-7EF6-40B1-AA8A-022E4115CF8F}" destId="{4B39329C-05C3-4477-9FC3-014A05F4551A}" srcOrd="0" destOrd="0" presId="urn:microsoft.com/office/officeart/2005/8/layout/hList3"/>
    <dgm:cxn modelId="{E6DFBEFC-13F2-4A4B-95EE-3B1A6F86389E}" type="presOf" srcId="{9B0A1F1C-9355-4203-9ADA-54B2D735B30C}" destId="{D440E09A-DA6C-440C-8CD5-D577172D2D09}" srcOrd="0" destOrd="0" presId="urn:microsoft.com/office/officeart/2005/8/layout/hList3"/>
    <dgm:cxn modelId="{A009159C-4083-4D50-9C6B-187A0C7A5DDE}" type="presParOf" srcId="{59345D8D-AEAA-46BC-8A0E-194A7271C160}" destId="{D440E09A-DA6C-440C-8CD5-D577172D2D09}" srcOrd="0" destOrd="0" presId="urn:microsoft.com/office/officeart/2005/8/layout/hList3"/>
    <dgm:cxn modelId="{4D291B6B-5C11-4FED-9DA2-9570708A66DE}" type="presParOf" srcId="{59345D8D-AEAA-46BC-8A0E-194A7271C160}" destId="{3984E0FF-AB00-4874-BFBA-ACB6DC1F4F6A}" srcOrd="1" destOrd="0" presId="urn:microsoft.com/office/officeart/2005/8/layout/hList3"/>
    <dgm:cxn modelId="{C6DBF26B-9087-4963-8F89-AFDC81A50883}" type="presParOf" srcId="{3984E0FF-AB00-4874-BFBA-ACB6DC1F4F6A}" destId="{7AC70843-2DB9-4A8C-AF85-27659AE6F4EB}" srcOrd="0" destOrd="0" presId="urn:microsoft.com/office/officeart/2005/8/layout/hList3"/>
    <dgm:cxn modelId="{B364AA8A-3EE6-40D2-8A47-C2FAC7134242}" type="presParOf" srcId="{3984E0FF-AB00-4874-BFBA-ACB6DC1F4F6A}" destId="{834825FF-7DE1-4D3B-A89B-270184FF04A6}" srcOrd="1" destOrd="0" presId="urn:microsoft.com/office/officeart/2005/8/layout/hList3"/>
    <dgm:cxn modelId="{88352397-0C90-4849-B350-0EF5D9B4AC59}" type="presParOf" srcId="{3984E0FF-AB00-4874-BFBA-ACB6DC1F4F6A}" destId="{4B39329C-05C3-4477-9FC3-014A05F4551A}" srcOrd="2" destOrd="0" presId="urn:microsoft.com/office/officeart/2005/8/layout/hList3"/>
    <dgm:cxn modelId="{0911C1C6-002A-4D2F-9FF6-9F67F0E14328}" type="presParOf" srcId="{59345D8D-AEAA-46BC-8A0E-194A7271C160}" destId="{3FC12A98-8B54-4907-A033-CE0B80A579E2}" srcOrd="2" destOrd="0" presId="urn:microsoft.com/office/officeart/2005/8/layout/hList3"/>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A4B97AF-7925-481B-8634-D81186D69E18}">
      <dsp:nvSpPr>
        <dsp:cNvPr id="0" name=""/>
        <dsp:cNvSpPr/>
      </dsp:nvSpPr>
      <dsp:spPr>
        <a:xfrm rot="16200000">
          <a:off x="485029" y="-485029"/>
          <a:ext cx="1053548" cy="2023606"/>
        </a:xfrm>
        <a:prstGeom prst="round1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rPr>
            <a:t>Utrzymanie i wzmocnienie podstaw transportowych dla rozwoju gospodarczego województwa, w tym integracja infrastrukturalna oraz organizacyjna systemu transportowego w układzie zewnętrznym i wewnętrznym</a:t>
          </a:r>
          <a:endParaRPr lang="pl-PL" sz="800" kern="1200">
            <a:solidFill>
              <a:sysClr val="windowText" lastClr="000000"/>
            </a:solidFill>
          </a:endParaRPr>
        </a:p>
      </dsp:txBody>
      <dsp:txXfrm rot="5400000">
        <a:off x="0" y="0"/>
        <a:ext cx="2023606" cy="790161"/>
      </dsp:txXfrm>
    </dsp:sp>
    <dsp:sp modelId="{61DC64A1-F33C-4F9F-A73E-E25C3AA255F6}">
      <dsp:nvSpPr>
        <dsp:cNvPr id="0" name=""/>
        <dsp:cNvSpPr/>
      </dsp:nvSpPr>
      <dsp:spPr>
        <a:xfrm>
          <a:off x="2023606" y="0"/>
          <a:ext cx="2023606" cy="1053548"/>
        </a:xfrm>
        <a:prstGeom prst="round1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rPr>
            <a:t>Podniesienie jakości życia mieszkańców województwa poprzez poprawę dostępności transportowej w różnych skalach przestrzennych, z uwzględnieniem zachodzących niekorzystnych procesów demograficznych</a:t>
          </a:r>
          <a:endParaRPr lang="pl-PL" sz="800" kern="1200">
            <a:solidFill>
              <a:sysClr val="windowText" lastClr="000000"/>
            </a:solidFill>
          </a:endParaRPr>
        </a:p>
      </dsp:txBody>
      <dsp:txXfrm>
        <a:off x="2023606" y="0"/>
        <a:ext cx="2023606" cy="790161"/>
      </dsp:txXfrm>
    </dsp:sp>
    <dsp:sp modelId="{A7D81787-157A-47C9-8B2A-E0AFCC6B707F}">
      <dsp:nvSpPr>
        <dsp:cNvPr id="0" name=""/>
        <dsp:cNvSpPr/>
      </dsp:nvSpPr>
      <dsp:spPr>
        <a:xfrm rot="10800000">
          <a:off x="0" y="1053548"/>
          <a:ext cx="2023606" cy="1053548"/>
        </a:xfrm>
        <a:prstGeom prst="round1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rPr>
            <a:t>Zmniejszenie negatywnego oddziaływania sektora transportu na szeroko rozumiane środowisko naturalne w wymiarze globalnym (zmian klimatycznych) i lokalnym (ochrona, cennych walorów przyrodniczych regionu)</a:t>
          </a:r>
          <a:endParaRPr lang="pl-PL" sz="800" kern="1200">
            <a:solidFill>
              <a:sysClr val="windowText" lastClr="000000"/>
            </a:solidFill>
          </a:endParaRPr>
        </a:p>
      </dsp:txBody>
      <dsp:txXfrm rot="10800000">
        <a:off x="0" y="1316934"/>
        <a:ext cx="2023606" cy="790161"/>
      </dsp:txXfrm>
    </dsp:sp>
    <dsp:sp modelId="{E939DF1F-D58F-4E06-9B5F-2C31386B380B}">
      <dsp:nvSpPr>
        <dsp:cNvPr id="0" name=""/>
        <dsp:cNvSpPr/>
      </dsp:nvSpPr>
      <dsp:spPr>
        <a:xfrm rot="5400000">
          <a:off x="2508635" y="568518"/>
          <a:ext cx="1053548" cy="2023606"/>
        </a:xfrm>
        <a:prstGeom prst="round1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rPr>
            <a:t>Podniesienie poziomu bezpieczeństwa </a:t>
          </a:r>
          <a:br>
            <a:rPr lang="pl-PL" sz="800" b="1" kern="1200">
              <a:solidFill>
                <a:sysClr val="windowText" lastClr="000000"/>
              </a:solidFill>
            </a:rPr>
          </a:br>
          <a:r>
            <a:rPr lang="pl-PL" sz="800" b="1" kern="1200">
              <a:solidFill>
                <a:sysClr val="windowText" lastClr="000000"/>
              </a:solidFill>
            </a:rPr>
            <a:t>w transporcie</a:t>
          </a:r>
          <a:endParaRPr lang="pl-PL" sz="800" kern="1200">
            <a:solidFill>
              <a:sysClr val="windowText" lastClr="000000"/>
            </a:solidFill>
          </a:endParaRPr>
        </a:p>
      </dsp:txBody>
      <dsp:txXfrm rot="-5400000">
        <a:off x="2023607" y="1316934"/>
        <a:ext cx="2023606" cy="790161"/>
      </dsp:txXfrm>
    </dsp:sp>
    <dsp:sp modelId="{2F0408EE-E589-4668-92D3-8518EDEC9C5B}">
      <dsp:nvSpPr>
        <dsp:cNvPr id="0" name=""/>
        <dsp:cNvSpPr/>
      </dsp:nvSpPr>
      <dsp:spPr>
        <a:xfrm>
          <a:off x="1416524" y="790161"/>
          <a:ext cx="1214163" cy="526774"/>
        </a:xfrm>
        <a:prstGeom prst="roundRect">
          <a:avLst/>
        </a:prstGeom>
        <a:solidFill>
          <a:schemeClr val="accent2">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pl-PL" sz="800" b="1" i="0" kern="1200"/>
            <a:t>Problemy wynikające </a:t>
          </a:r>
          <a:br>
            <a:rPr lang="pl-PL" sz="800" b="1" i="0" kern="1200"/>
          </a:br>
          <a:r>
            <a:rPr lang="pl-PL" sz="800" b="1" i="0" kern="1200"/>
            <a:t>z diagnozy</a:t>
          </a:r>
          <a:endParaRPr lang="pl-PL" sz="800" kern="1200"/>
        </a:p>
      </dsp:txBody>
      <dsp:txXfrm>
        <a:off x="1442239" y="815876"/>
        <a:ext cx="1162733" cy="47534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32D746-11D8-437C-8039-6754A6C1FE67}">
      <dsp:nvSpPr>
        <dsp:cNvPr id="0" name=""/>
        <dsp:cNvSpPr/>
      </dsp:nvSpPr>
      <dsp:spPr>
        <a:xfrm>
          <a:off x="0" y="0"/>
          <a:ext cx="3455035" cy="652272"/>
        </a:xfrm>
        <a:prstGeom prst="rect">
          <a:avLst/>
        </a:prstGeom>
        <a:solidFill>
          <a:schemeClr val="accent2">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ts val="0"/>
            </a:spcAft>
          </a:pPr>
          <a:r>
            <a:rPr lang="pl-PL" sz="2000" b="1" kern="1200">
              <a:solidFill>
                <a:sysClr val="windowText" lastClr="000000"/>
              </a:solidFill>
              <a:latin typeface="Arial" panose="020B0604020202020204" pitchFamily="34" charset="0"/>
              <a:cs typeface="Arial" panose="020B0604020202020204" pitchFamily="34" charset="0"/>
            </a:rPr>
            <a:t>Cele horyzontalne</a:t>
          </a:r>
          <a:endParaRPr lang="pl-PL" sz="2000" kern="1200">
            <a:solidFill>
              <a:sysClr val="windowText" lastClr="000000"/>
            </a:solidFill>
            <a:latin typeface="Arial" panose="020B0604020202020204" pitchFamily="34" charset="0"/>
            <a:cs typeface="Arial" panose="020B0604020202020204" pitchFamily="34" charset="0"/>
          </a:endParaRPr>
        </a:p>
      </dsp:txBody>
      <dsp:txXfrm>
        <a:off x="0" y="0"/>
        <a:ext cx="3455035" cy="652272"/>
      </dsp:txXfrm>
    </dsp:sp>
    <dsp:sp modelId="{8849D700-90F4-468A-A8A5-8625F44D42C7}">
      <dsp:nvSpPr>
        <dsp:cNvPr id="0" name=""/>
        <dsp:cNvSpPr/>
      </dsp:nvSpPr>
      <dsp:spPr>
        <a:xfrm>
          <a:off x="0" y="652272"/>
          <a:ext cx="863758" cy="1369771"/>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buFont typeface="+mj-lt"/>
            <a:buAutoNum type="arabicPeriod"/>
          </a:pPr>
          <a:r>
            <a:rPr lang="pl-PL" sz="800" b="1" kern="1200">
              <a:solidFill>
                <a:sysClr val="windowText" lastClr="000000"/>
              </a:solidFill>
              <a:latin typeface="Arial" panose="020B0604020202020204" pitchFamily="34" charset="0"/>
              <a:cs typeface="Arial" panose="020B0604020202020204" pitchFamily="34" charset="0"/>
            </a:rPr>
            <a:t>Cel horyzontalny 1. Ograniczenie negatywnego oddziaływania sektora transportu na klimat oraz na regionalne środowisko naturalne</a:t>
          </a:r>
          <a:endParaRPr lang="pl-PL" sz="800" kern="1200">
            <a:solidFill>
              <a:sysClr val="windowText" lastClr="000000"/>
            </a:solidFill>
            <a:latin typeface="Arial" panose="020B0604020202020204" pitchFamily="34" charset="0"/>
            <a:cs typeface="Arial" panose="020B0604020202020204" pitchFamily="34" charset="0"/>
          </a:endParaRPr>
        </a:p>
      </dsp:txBody>
      <dsp:txXfrm>
        <a:off x="0" y="652272"/>
        <a:ext cx="863758" cy="1369771"/>
      </dsp:txXfrm>
    </dsp:sp>
    <dsp:sp modelId="{35D64427-87FB-4D66-B4E8-93F70261B7AF}">
      <dsp:nvSpPr>
        <dsp:cNvPr id="0" name=""/>
        <dsp:cNvSpPr/>
      </dsp:nvSpPr>
      <dsp:spPr>
        <a:xfrm>
          <a:off x="863758" y="652272"/>
          <a:ext cx="863758" cy="1369771"/>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buFont typeface="+mj-lt"/>
            <a:buAutoNum type="arabicPeriod"/>
          </a:pPr>
          <a:r>
            <a:rPr lang="pl-PL" sz="800" b="1" kern="1200">
              <a:solidFill>
                <a:sysClr val="windowText" lastClr="000000"/>
              </a:solidFill>
              <a:latin typeface="Arial" panose="020B0604020202020204" pitchFamily="34" charset="0"/>
              <a:cs typeface="Arial" panose="020B0604020202020204" pitchFamily="34" charset="0"/>
            </a:rPr>
            <a:t>Cel horyzontalny 2. Wzmocnienie rozwiązań multimodalnych </a:t>
          </a:r>
          <a:endParaRPr lang="pl-PL" sz="800" kern="1200">
            <a:solidFill>
              <a:sysClr val="windowText" lastClr="000000"/>
            </a:solidFill>
            <a:latin typeface="Arial" panose="020B0604020202020204" pitchFamily="34" charset="0"/>
            <a:cs typeface="Arial" panose="020B0604020202020204" pitchFamily="34" charset="0"/>
          </a:endParaRPr>
        </a:p>
      </dsp:txBody>
      <dsp:txXfrm>
        <a:off x="863758" y="652272"/>
        <a:ext cx="863758" cy="1369771"/>
      </dsp:txXfrm>
    </dsp:sp>
    <dsp:sp modelId="{DFAE742C-27EE-4CFD-901E-7B2BAD49FCD4}">
      <dsp:nvSpPr>
        <dsp:cNvPr id="0" name=""/>
        <dsp:cNvSpPr/>
      </dsp:nvSpPr>
      <dsp:spPr>
        <a:xfrm>
          <a:off x="1727517" y="652272"/>
          <a:ext cx="863758" cy="1369771"/>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buFont typeface="+mj-lt"/>
            <a:buAutoNum type="arabicPeriod"/>
          </a:pPr>
          <a:r>
            <a:rPr lang="pl-PL" sz="800" b="1" kern="1200">
              <a:solidFill>
                <a:sysClr val="windowText" lastClr="000000"/>
              </a:solidFill>
              <a:latin typeface="Arial" panose="020B0604020202020204" pitchFamily="34" charset="0"/>
              <a:cs typeface="Arial" panose="020B0604020202020204" pitchFamily="34" charset="0"/>
            </a:rPr>
            <a:t>Cel horyzontalny 3. Rozwój transportu publicznego</a:t>
          </a:r>
          <a:endParaRPr lang="pl-PL" sz="800" kern="1200">
            <a:solidFill>
              <a:sysClr val="windowText" lastClr="000000"/>
            </a:solidFill>
            <a:latin typeface="Arial" panose="020B0604020202020204" pitchFamily="34" charset="0"/>
            <a:cs typeface="Arial" panose="020B0604020202020204" pitchFamily="34" charset="0"/>
          </a:endParaRPr>
        </a:p>
      </dsp:txBody>
      <dsp:txXfrm>
        <a:off x="1727517" y="652272"/>
        <a:ext cx="863758" cy="1369771"/>
      </dsp:txXfrm>
    </dsp:sp>
    <dsp:sp modelId="{2C095A67-E655-416D-B7E5-95BC8EE8D84C}">
      <dsp:nvSpPr>
        <dsp:cNvPr id="0" name=""/>
        <dsp:cNvSpPr/>
      </dsp:nvSpPr>
      <dsp:spPr>
        <a:xfrm>
          <a:off x="2591276" y="652272"/>
          <a:ext cx="863758" cy="1369771"/>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buFont typeface="+mj-lt"/>
            <a:buAutoNum type="arabicPeriod"/>
          </a:pPr>
          <a:r>
            <a:rPr lang="pl-PL" sz="800" b="1" kern="1200">
              <a:solidFill>
                <a:sysClr val="windowText" lastClr="000000"/>
              </a:solidFill>
              <a:latin typeface="Arial" panose="020B0604020202020204" pitchFamily="34" charset="0"/>
              <a:cs typeface="Arial" panose="020B0604020202020204" pitchFamily="34" charset="0"/>
            </a:rPr>
            <a:t>Cel horyzontalny 4. Poprawa bezpieczeństwa w transporcie</a:t>
          </a:r>
          <a:endParaRPr lang="pl-PL" sz="800" kern="1200">
            <a:solidFill>
              <a:sysClr val="windowText" lastClr="000000"/>
            </a:solidFill>
            <a:latin typeface="Arial" panose="020B0604020202020204" pitchFamily="34" charset="0"/>
            <a:cs typeface="Arial" panose="020B0604020202020204" pitchFamily="34" charset="0"/>
          </a:endParaRPr>
        </a:p>
      </dsp:txBody>
      <dsp:txXfrm>
        <a:off x="2591276" y="652272"/>
        <a:ext cx="863758" cy="1369771"/>
      </dsp:txXfrm>
    </dsp:sp>
    <dsp:sp modelId="{F6B76C87-F4D7-42B3-97CC-DC78B28786D3}">
      <dsp:nvSpPr>
        <dsp:cNvPr id="0" name=""/>
        <dsp:cNvSpPr/>
      </dsp:nvSpPr>
      <dsp:spPr>
        <a:xfrm>
          <a:off x="0" y="2022043"/>
          <a:ext cx="3455035" cy="152196"/>
        </a:xfrm>
        <a:prstGeom prst="rect">
          <a:avLst/>
        </a:prstGeom>
        <a:solidFill>
          <a:schemeClr val="accent2">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440E09A-DA6C-440C-8CD5-D577172D2D09}">
      <dsp:nvSpPr>
        <dsp:cNvPr id="0" name=""/>
        <dsp:cNvSpPr/>
      </dsp:nvSpPr>
      <dsp:spPr>
        <a:xfrm>
          <a:off x="0" y="0"/>
          <a:ext cx="4065270" cy="652272"/>
        </a:xfrm>
        <a:prstGeom prst="rect">
          <a:avLst/>
        </a:prstGeom>
        <a:solidFill>
          <a:schemeClr val="accent2">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76200" tIns="76200" rIns="76200" bIns="76200" numCol="1" spcCol="1270" anchor="ctr" anchorCtr="0">
          <a:noAutofit/>
        </a:bodyPr>
        <a:lstStyle/>
        <a:p>
          <a:pPr lvl="0" algn="ctr" defTabSz="889000">
            <a:lnSpc>
              <a:spcPct val="90000"/>
            </a:lnSpc>
            <a:spcBef>
              <a:spcPct val="0"/>
            </a:spcBef>
            <a:spcAft>
              <a:spcPts val="0"/>
            </a:spcAft>
          </a:pPr>
          <a:r>
            <a:rPr lang="pl-PL" sz="2000" b="1" kern="1200">
              <a:solidFill>
                <a:sysClr val="windowText" lastClr="000000"/>
              </a:solidFill>
              <a:latin typeface="Arial" panose="020B0604020202020204" pitchFamily="34" charset="0"/>
              <a:cs typeface="Arial" panose="020B0604020202020204" pitchFamily="34" charset="0"/>
            </a:rPr>
            <a:t>Cele podstawowe</a:t>
          </a:r>
          <a:endParaRPr lang="pl-PL" sz="2000" kern="1200">
            <a:solidFill>
              <a:sysClr val="windowText" lastClr="000000"/>
            </a:solidFill>
            <a:latin typeface="Arial" panose="020B0604020202020204" pitchFamily="34" charset="0"/>
            <a:cs typeface="Arial" panose="020B0604020202020204" pitchFamily="34" charset="0"/>
          </a:endParaRPr>
        </a:p>
      </dsp:txBody>
      <dsp:txXfrm>
        <a:off x="0" y="0"/>
        <a:ext cx="4065270" cy="652272"/>
      </dsp:txXfrm>
    </dsp:sp>
    <dsp:sp modelId="{7AC70843-2DB9-4A8C-AF85-27659AE6F4EB}">
      <dsp:nvSpPr>
        <dsp:cNvPr id="0" name=""/>
        <dsp:cNvSpPr/>
      </dsp:nvSpPr>
      <dsp:spPr>
        <a:xfrm>
          <a:off x="1984" y="652272"/>
          <a:ext cx="1353766" cy="1369771"/>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pl-PL" sz="800" b="1" kern="1200">
              <a:solidFill>
                <a:sysClr val="windowText" lastClr="000000"/>
              </a:solidFill>
              <a:latin typeface="Arial" panose="020B0604020202020204" pitchFamily="34" charset="0"/>
              <a:cs typeface="Arial" panose="020B0604020202020204" pitchFamily="34" charset="0"/>
            </a:rPr>
            <a:t>Cel podstawowy 1 Zwiększenie dostępności </a:t>
          </a:r>
          <a:br>
            <a:rPr lang="pl-PL" sz="800" b="1" kern="1200">
              <a:solidFill>
                <a:sysClr val="windowText" lastClr="000000"/>
              </a:solidFill>
              <a:latin typeface="Arial" panose="020B0604020202020204" pitchFamily="34" charset="0"/>
              <a:cs typeface="Arial" panose="020B0604020202020204" pitchFamily="34" charset="0"/>
            </a:rPr>
          </a:br>
          <a:r>
            <a:rPr lang="pl-PL" sz="800" b="1" kern="1200">
              <a:solidFill>
                <a:sysClr val="windowText" lastClr="000000"/>
              </a:solidFill>
              <a:latin typeface="Arial" panose="020B0604020202020204" pitchFamily="34" charset="0"/>
              <a:cs typeface="Arial" panose="020B0604020202020204" pitchFamily="34" charset="0"/>
            </a:rPr>
            <a:t>zewnętrznej regionu (krajowej i zagranicznej) wynikającej </a:t>
          </a:r>
          <a:br>
            <a:rPr lang="pl-PL" sz="800" b="1" kern="1200">
              <a:solidFill>
                <a:sysClr val="windowText" lastClr="000000"/>
              </a:solidFill>
              <a:latin typeface="Arial" panose="020B0604020202020204" pitchFamily="34" charset="0"/>
              <a:cs typeface="Arial" panose="020B0604020202020204" pitchFamily="34" charset="0"/>
            </a:rPr>
          </a:br>
          <a:r>
            <a:rPr lang="pl-PL" sz="800" b="1" kern="1200">
              <a:solidFill>
                <a:sysClr val="windowText" lastClr="000000"/>
              </a:solidFill>
              <a:latin typeface="Arial" panose="020B0604020202020204" pitchFamily="34" charset="0"/>
              <a:cs typeface="Arial" panose="020B0604020202020204" pitchFamily="34" charset="0"/>
            </a:rPr>
            <a:t>z peryferyjnego położenia województwa</a:t>
          </a:r>
          <a:endParaRPr lang="pl-PL" sz="800" kern="1200">
            <a:solidFill>
              <a:sysClr val="windowText" lastClr="000000"/>
            </a:solidFill>
            <a:latin typeface="Arial" panose="020B0604020202020204" pitchFamily="34" charset="0"/>
            <a:cs typeface="Arial" panose="020B0604020202020204" pitchFamily="34" charset="0"/>
          </a:endParaRPr>
        </a:p>
      </dsp:txBody>
      <dsp:txXfrm>
        <a:off x="1984" y="652272"/>
        <a:ext cx="1353766" cy="1369771"/>
      </dsp:txXfrm>
    </dsp:sp>
    <dsp:sp modelId="{834825FF-7DE1-4D3B-A89B-270184FF04A6}">
      <dsp:nvSpPr>
        <dsp:cNvPr id="0" name=""/>
        <dsp:cNvSpPr/>
      </dsp:nvSpPr>
      <dsp:spPr>
        <a:xfrm>
          <a:off x="1355751" y="652272"/>
          <a:ext cx="1353766" cy="1369771"/>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lvl="0" algn="ctr" defTabSz="333375">
            <a:lnSpc>
              <a:spcPct val="90000"/>
            </a:lnSpc>
            <a:spcBef>
              <a:spcPct val="0"/>
            </a:spcBef>
            <a:spcAft>
              <a:spcPct val="35000"/>
            </a:spcAft>
          </a:pPr>
          <a:r>
            <a:rPr lang="pl-PL" sz="750" b="1" kern="1200">
              <a:solidFill>
                <a:sysClr val="windowText" lastClr="000000"/>
              </a:solidFill>
              <a:latin typeface="Arial" panose="020B0604020202020204" pitchFamily="34" charset="0"/>
              <a:cs typeface="Arial" panose="020B0604020202020204" pitchFamily="34" charset="0"/>
            </a:rPr>
            <a:t>Cel podstawowy 2.</a:t>
          </a:r>
          <a:endParaRPr lang="pl-PL" sz="750" kern="1200">
            <a:solidFill>
              <a:sysClr val="windowText" lastClr="000000"/>
            </a:solidFill>
            <a:latin typeface="Arial" panose="020B0604020202020204" pitchFamily="34" charset="0"/>
            <a:cs typeface="Arial" panose="020B0604020202020204" pitchFamily="34" charset="0"/>
          </a:endParaRPr>
        </a:p>
        <a:p>
          <a:pPr lvl="0" algn="ctr" defTabSz="333375">
            <a:lnSpc>
              <a:spcPct val="90000"/>
            </a:lnSpc>
            <a:spcBef>
              <a:spcPct val="0"/>
            </a:spcBef>
            <a:spcAft>
              <a:spcPct val="35000"/>
            </a:spcAft>
          </a:pPr>
          <a:r>
            <a:rPr lang="pl-PL" sz="750" b="1" kern="1200">
              <a:solidFill>
                <a:sysClr val="windowText" lastClr="000000"/>
              </a:solidFill>
              <a:latin typeface="Arial" panose="020B0604020202020204" pitchFamily="34" charset="0"/>
              <a:cs typeface="Arial" panose="020B0604020202020204" pitchFamily="34" charset="0"/>
            </a:rPr>
            <a:t>Transportowa spójność wewnętrzna</a:t>
          </a:r>
          <a:endParaRPr lang="pl-PL" sz="750" kern="1200">
            <a:solidFill>
              <a:sysClr val="windowText" lastClr="000000"/>
            </a:solidFill>
            <a:latin typeface="Arial" panose="020B0604020202020204" pitchFamily="34" charset="0"/>
            <a:cs typeface="Arial" panose="020B0604020202020204" pitchFamily="34" charset="0"/>
          </a:endParaRPr>
        </a:p>
        <a:p>
          <a:pPr lvl="0" algn="ctr" defTabSz="333375">
            <a:lnSpc>
              <a:spcPct val="90000"/>
            </a:lnSpc>
            <a:spcBef>
              <a:spcPct val="0"/>
            </a:spcBef>
            <a:spcAft>
              <a:spcPct val="35000"/>
            </a:spcAft>
          </a:pPr>
          <a:r>
            <a:rPr lang="pl-PL" sz="750" b="1" kern="1200">
              <a:solidFill>
                <a:sysClr val="windowText" lastClr="000000"/>
              </a:solidFill>
              <a:latin typeface="Arial" panose="020B0604020202020204" pitchFamily="34" charset="0"/>
              <a:cs typeface="Arial" panose="020B0604020202020204" pitchFamily="34" charset="0"/>
            </a:rPr>
            <a:t>Zwiększenie powiązań transportowych w regionie, w tym likwidowanie obszarów wykluczenia transportowego</a:t>
          </a:r>
          <a:r>
            <a:rPr lang="pl-PL" sz="750" kern="1200">
              <a:solidFill>
                <a:sysClr val="windowText" lastClr="000000"/>
              </a:solidFill>
              <a:latin typeface="Arial" panose="020B0604020202020204" pitchFamily="34" charset="0"/>
              <a:cs typeface="Arial" panose="020B0604020202020204" pitchFamily="34" charset="0"/>
            </a:rPr>
            <a:t> </a:t>
          </a:r>
          <a:r>
            <a:rPr lang="pl-PL" sz="750" b="1" kern="1200">
              <a:solidFill>
                <a:sysClr val="windowText" lastClr="000000"/>
              </a:solidFill>
              <a:latin typeface="Arial" panose="020B0604020202020204" pitchFamily="34" charset="0"/>
              <a:cs typeface="Arial" panose="020B0604020202020204" pitchFamily="34" charset="0"/>
            </a:rPr>
            <a:t>spowodowanego niskim zaludnieniem / obszarami górzystymi / obszarami </a:t>
          </a:r>
          <a:br>
            <a:rPr lang="pl-PL" sz="750" b="1" kern="1200">
              <a:solidFill>
                <a:sysClr val="windowText" lastClr="000000"/>
              </a:solidFill>
              <a:latin typeface="Arial" panose="020B0604020202020204" pitchFamily="34" charset="0"/>
              <a:cs typeface="Arial" panose="020B0604020202020204" pitchFamily="34" charset="0"/>
            </a:rPr>
          </a:br>
          <a:r>
            <a:rPr lang="pl-PL" sz="750" b="1" kern="1200">
              <a:solidFill>
                <a:sysClr val="windowText" lastClr="000000"/>
              </a:solidFill>
              <a:latin typeface="Arial" panose="020B0604020202020204" pitchFamily="34" charset="0"/>
              <a:cs typeface="Arial" panose="020B0604020202020204" pitchFamily="34" charset="0"/>
            </a:rPr>
            <a:t>o niskiej skali zatrudniania</a:t>
          </a:r>
          <a:endParaRPr lang="pl-PL" sz="750" kern="1200">
            <a:solidFill>
              <a:sysClr val="windowText" lastClr="000000"/>
            </a:solidFill>
            <a:latin typeface="Arial" panose="020B0604020202020204" pitchFamily="34" charset="0"/>
            <a:cs typeface="Arial" panose="020B0604020202020204" pitchFamily="34" charset="0"/>
          </a:endParaRPr>
        </a:p>
      </dsp:txBody>
      <dsp:txXfrm>
        <a:off x="1355751" y="652272"/>
        <a:ext cx="1353766" cy="1369771"/>
      </dsp:txXfrm>
    </dsp:sp>
    <dsp:sp modelId="{4B39329C-05C3-4477-9FC3-014A05F4551A}">
      <dsp:nvSpPr>
        <dsp:cNvPr id="0" name=""/>
        <dsp:cNvSpPr/>
      </dsp:nvSpPr>
      <dsp:spPr>
        <a:xfrm>
          <a:off x="2709518" y="652272"/>
          <a:ext cx="1353766" cy="1369771"/>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1" kern="1200">
              <a:solidFill>
                <a:sysClr val="windowText" lastClr="000000"/>
              </a:solidFill>
              <a:latin typeface="Arial" panose="020B0604020202020204" pitchFamily="34" charset="0"/>
              <a:cs typeface="Arial" panose="020B0604020202020204" pitchFamily="34" charset="0"/>
            </a:rPr>
            <a:t>Cel podstawowy 3.</a:t>
          </a:r>
          <a:br>
            <a:rPr lang="pl-PL" sz="900" b="1" kern="1200">
              <a:solidFill>
                <a:sysClr val="windowText" lastClr="000000"/>
              </a:solidFill>
              <a:latin typeface="Arial" panose="020B0604020202020204" pitchFamily="34" charset="0"/>
              <a:cs typeface="Arial" panose="020B0604020202020204" pitchFamily="34" charset="0"/>
            </a:rPr>
          </a:br>
          <a:r>
            <a:rPr lang="pl-PL" sz="800" b="1" kern="1200">
              <a:solidFill>
                <a:sysClr val="windowText" lastClr="000000"/>
              </a:solidFill>
              <a:latin typeface="Arial" panose="020B0604020202020204" pitchFamily="34" charset="0"/>
              <a:cs typeface="Arial" panose="020B0604020202020204" pitchFamily="34" charset="0"/>
            </a:rPr>
            <a:t>Integracja wewnętrzna Rzeszowskiego Obszaru Funkcjonalnego i miejskich obszarów funkcjonalnych biegunów wzrostu, uwzględniająca policentryczny układ województwa i umożliwiająca integrację głównych rynków pracy</a:t>
          </a:r>
        </a:p>
      </dsp:txBody>
      <dsp:txXfrm>
        <a:off x="2709518" y="652272"/>
        <a:ext cx="1353766" cy="1369771"/>
      </dsp:txXfrm>
    </dsp:sp>
    <dsp:sp modelId="{3FC12A98-8B54-4907-A033-CE0B80A579E2}">
      <dsp:nvSpPr>
        <dsp:cNvPr id="0" name=""/>
        <dsp:cNvSpPr/>
      </dsp:nvSpPr>
      <dsp:spPr>
        <a:xfrm>
          <a:off x="0" y="2022043"/>
          <a:ext cx="4065270" cy="152196"/>
        </a:xfrm>
        <a:prstGeom prst="rect">
          <a:avLst/>
        </a:prstGeom>
        <a:solidFill>
          <a:schemeClr val="accent2">
            <a:shade val="9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2.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C153A8-B027-4A87-A0E1-8FEB166393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355</Pages>
  <Words>101616</Words>
  <Characters>609701</Characters>
  <Application>Microsoft Office Word</Application>
  <DocSecurity>0</DocSecurity>
  <Lines>5080</Lines>
  <Paragraphs>1419</Paragraphs>
  <ScaleCrop>false</ScaleCrop>
  <HeadingPairs>
    <vt:vector size="2" baseType="variant">
      <vt:variant>
        <vt:lpstr>Tytuł</vt:lpstr>
      </vt:variant>
      <vt:variant>
        <vt:i4>1</vt:i4>
      </vt:variant>
    </vt:vector>
  </HeadingPairs>
  <TitlesOfParts>
    <vt:vector size="1" baseType="lpstr">
      <vt:lpstr>Program strategiczny rozwoju transportu województwa podkarpackiego do roku 2030 wersja 3.0</vt:lpstr>
    </vt:vector>
  </TitlesOfParts>
  <Company/>
  <LinksUpToDate>false</LinksUpToDate>
  <CharactersWithSpaces>709898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strategiczny rozwoju transportu województwa podkarpackiego do roku 2030 wersja 3.0</dc:title>
  <dc:subject/>
  <dc:creator>UMWP</dc:creator>
  <cp:keywords/>
  <dc:description/>
  <cp:lastModifiedBy>Wojturski Konrad</cp:lastModifiedBy>
  <cp:revision>3</cp:revision>
  <cp:lastPrinted>2023-09-28T07:49:00Z</cp:lastPrinted>
  <dcterms:created xsi:type="dcterms:W3CDTF">2023-09-28T10:35:00Z</dcterms:created>
  <dcterms:modified xsi:type="dcterms:W3CDTF">2023-09-28T11:46:00Z</dcterms:modified>
</cp:coreProperties>
</file>